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1D6" w:rsidRPr="00EF5C73" w:rsidRDefault="0044262A" w:rsidP="00EF5C73">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dcc8bd7-af6a-4d6d-899a-f72423fb2155" style="width:574pt;height:413.5pt">
            <v:imagedata r:id="rId8" o:title=""/>
          </v:shape>
        </w:pict>
      </w:r>
      <w:bookmarkEnd w:id="0"/>
    </w:p>
    <w:p w:rsidR="00E254A8" w:rsidRPr="00DE3292" w:rsidRDefault="00E254A8" w:rsidP="00E254A8">
      <w:pPr>
        <w:pStyle w:val="TechnicalBlock"/>
        <w:ind w:left="-1134" w:right="-1134"/>
        <w:sectPr w:rsidR="00E254A8" w:rsidRPr="00DE3292" w:rsidSect="0044262A">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624" w:right="1134" w:bottom="1134" w:left="1134" w:header="567" w:footer="567" w:gutter="0"/>
          <w:pgNumType w:start="1"/>
          <w:cols w:space="708"/>
          <w:titlePg/>
          <w:docGrid w:linePitch="360"/>
        </w:sectPr>
      </w:pPr>
    </w:p>
    <w:tbl>
      <w:tblPr>
        <w:tblW w:w="0" w:type="auto"/>
        <w:tblBorders>
          <w:top w:val="single" w:sz="4" w:space="0" w:color="auto"/>
          <w:left w:val="single" w:sz="4" w:space="0" w:color="auto"/>
          <w:bottom w:val="single" w:sz="4" w:space="0" w:color="auto"/>
          <w:right w:val="single" w:sz="4" w:space="0" w:color="auto"/>
        </w:tblBorders>
        <w:shd w:val="pct10" w:color="auto" w:fill="FFFFFF"/>
        <w:tblLayout w:type="fixed"/>
        <w:tblLook w:val="0000" w:firstRow="0" w:lastRow="0" w:firstColumn="0" w:lastColumn="0" w:noHBand="0" w:noVBand="0"/>
      </w:tblPr>
      <w:tblGrid>
        <w:gridCol w:w="9855"/>
      </w:tblGrid>
      <w:tr w:rsidR="00E254A8" w:rsidRPr="00DE3292" w:rsidTr="00E254A8">
        <w:tc>
          <w:tcPr>
            <w:tcW w:w="9855" w:type="dxa"/>
            <w:shd w:val="pct10" w:color="auto" w:fill="FFFFFF"/>
          </w:tcPr>
          <w:p w:rsidR="00E254A8" w:rsidRPr="00DE3292" w:rsidRDefault="00E254A8" w:rsidP="00E254A8">
            <w:pPr>
              <w:pStyle w:val="MainResultsHeading"/>
            </w:pPr>
            <w:r w:rsidRPr="00DE3292">
              <w:lastRenderedPageBreak/>
              <w:t>Main results of the Council</w:t>
            </w:r>
          </w:p>
          <w:p w:rsidR="00614A33" w:rsidRPr="00DE3292" w:rsidRDefault="00614A33" w:rsidP="00614A33">
            <w:pPr>
              <w:outlineLvl w:val="0"/>
              <w:rPr>
                <w:b/>
                <w:iCs/>
                <w:sz w:val="22"/>
                <w:szCs w:val="22"/>
              </w:rPr>
            </w:pPr>
            <w:r w:rsidRPr="00DE3292">
              <w:rPr>
                <w:b/>
                <w:bCs/>
                <w:iCs/>
              </w:rPr>
              <w:t>Youth employment</w:t>
            </w:r>
          </w:p>
          <w:p w:rsidR="00614A33" w:rsidRPr="00DE3292" w:rsidRDefault="00614A33" w:rsidP="00491C4B">
            <w:r w:rsidRPr="00DE3292">
              <w:t xml:space="preserve">The Council, together with the ministers </w:t>
            </w:r>
            <w:r w:rsidR="00374442" w:rsidRPr="00DE3292">
              <w:t>for</w:t>
            </w:r>
            <w:r w:rsidRPr="00DE3292">
              <w:t xml:space="preserve"> education </w:t>
            </w:r>
            <w:r w:rsidR="00491C4B">
              <w:t>of</w:t>
            </w:r>
            <w:r w:rsidR="00491C4B" w:rsidRPr="00DE3292">
              <w:t xml:space="preserve"> </w:t>
            </w:r>
            <w:r w:rsidRPr="00DE3292">
              <w:t>Italy, Latvia and Luxembourg (</w:t>
            </w:r>
            <w:r w:rsidR="004F64A6" w:rsidRPr="00DE3292">
              <w:t>t</w:t>
            </w:r>
            <w:r w:rsidRPr="00DE3292">
              <w:t xml:space="preserve">rio of presidencies), had an exchange </w:t>
            </w:r>
            <w:r w:rsidR="00374442" w:rsidRPr="00DE3292">
              <w:t xml:space="preserve">of </w:t>
            </w:r>
            <w:r w:rsidRPr="00DE3292">
              <w:t xml:space="preserve">views on how to </w:t>
            </w:r>
            <w:r w:rsidRPr="00DE3292">
              <w:rPr>
                <w:b/>
                <w:bCs/>
              </w:rPr>
              <w:t>invest in youth</w:t>
            </w:r>
            <w:r w:rsidRPr="00DE3292">
              <w:t>, discussing matters including the youth guarantee, education and skills.</w:t>
            </w:r>
          </w:p>
          <w:p w:rsidR="00614A33" w:rsidRPr="00DE3292" w:rsidRDefault="00614A33" w:rsidP="004F64A6">
            <w:r w:rsidRPr="00DE3292">
              <w:t>The President of the Council, Giuliano Poletti, said:</w:t>
            </w:r>
            <w:r w:rsidRPr="00DE3292">
              <w:rPr>
                <w:sz w:val="22"/>
                <w:szCs w:val="22"/>
              </w:rPr>
              <w:t xml:space="preserve"> </w:t>
            </w:r>
            <w:r w:rsidRPr="00DE3292">
              <w:t>“Improving synergies between education and employment policies is crucial to tackle youth unemployment. To facilitate this integrated approach, the Italian Presidency has organi</w:t>
            </w:r>
            <w:r w:rsidR="004F64A6" w:rsidRPr="00DE3292">
              <w:t>s</w:t>
            </w:r>
            <w:r w:rsidRPr="00DE3292">
              <w:t xml:space="preserve">ed, for the first time, a back-to-back meeting of the EPSCO and the Education Council. I am glad that Commissioner Navracsics and the </w:t>
            </w:r>
            <w:r w:rsidR="004F64A6" w:rsidRPr="00DE3292">
              <w:t>t</w:t>
            </w:r>
            <w:r w:rsidRPr="00DE3292">
              <w:t xml:space="preserve">rio ministers of </w:t>
            </w:r>
            <w:r w:rsidR="004F64A6" w:rsidRPr="00DE3292">
              <w:t>e</w:t>
            </w:r>
            <w:r w:rsidRPr="00DE3292">
              <w:t>ducation joined us today to discuss the best ways to help our young generations and invest in their education and skills.”</w:t>
            </w:r>
          </w:p>
          <w:p w:rsidR="00614A33" w:rsidRPr="00DE3292" w:rsidRDefault="00614A33" w:rsidP="00614A33">
            <w:pPr>
              <w:rPr>
                <w:b/>
                <w:bCs/>
              </w:rPr>
            </w:pPr>
            <w:r w:rsidRPr="00DE3292">
              <w:rPr>
                <w:b/>
                <w:bCs/>
              </w:rPr>
              <w:t>EURES</w:t>
            </w:r>
          </w:p>
          <w:p w:rsidR="00614A33" w:rsidRPr="00DE3292" w:rsidRDefault="00614A33" w:rsidP="00D672F8">
            <w:r w:rsidRPr="00DE3292">
              <w:t xml:space="preserve">The Council reached a general approach on the </w:t>
            </w:r>
            <w:r w:rsidRPr="00DE3292">
              <w:rPr>
                <w:b/>
                <w:bCs/>
              </w:rPr>
              <w:t>EURES</w:t>
            </w:r>
            <w:r w:rsidRPr="00DE3292">
              <w:t xml:space="preserve"> (European employment services) </w:t>
            </w:r>
            <w:r w:rsidRPr="00DE3292">
              <w:rPr>
                <w:b/>
                <w:bCs/>
              </w:rPr>
              <w:t>network</w:t>
            </w:r>
            <w:r w:rsidRPr="00DE3292">
              <w:t xml:space="preserve"> regulation</w:t>
            </w:r>
            <w:r w:rsidR="00DE3292" w:rsidRPr="00DE3292">
              <w:t>,</w:t>
            </w:r>
            <w:r w:rsidRPr="00DE3292">
              <w:t xml:space="preserve"> on which </w:t>
            </w:r>
            <w:r w:rsidR="00D672F8">
              <w:t xml:space="preserve">minister </w:t>
            </w:r>
            <w:r w:rsidRPr="00DE3292">
              <w:t>Poletti stated: “Today we complied with the call by the European Council for turning the EURES Portal into a true European placement and recruitment tool and I am glad that such an ambitious step was taken under the Italian Presidency. Labour mobility within the EU is an important factor to tackle unemployment, especially youth unemployment.”</w:t>
            </w:r>
          </w:p>
          <w:p w:rsidR="00614A33" w:rsidRPr="00DE3292" w:rsidRDefault="00614A33" w:rsidP="00614A33">
            <w:pPr>
              <w:rPr>
                <w:b/>
                <w:bCs/>
              </w:rPr>
            </w:pPr>
            <w:r w:rsidRPr="00DE3292">
              <w:rPr>
                <w:b/>
                <w:bCs/>
              </w:rPr>
              <w:t>Women on company boards</w:t>
            </w:r>
          </w:p>
          <w:p w:rsidR="00614A33" w:rsidRPr="00DE3292" w:rsidRDefault="00614A33" w:rsidP="00614A33">
            <w:r w:rsidRPr="00DE3292">
              <w:t>The Council discussed the women on company boards directive. It was not able to reach a general approach. Minister Poletti said: “Enhancing women's participation in economic decision-making is essential to promote equality between women and men in our societies and would be beneficial to our economies. We have been working hard during these six months to unlock negotiations on the proposed directive for improving the gender balance on company boards and we are now closer to an agreement. Building on our progress I am confident that the Council will be able to move forward with this important dossier.”</w:t>
            </w:r>
          </w:p>
          <w:p w:rsidR="00614A33" w:rsidRPr="00DE3292" w:rsidRDefault="00614A33" w:rsidP="00614A33"/>
        </w:tc>
      </w:tr>
    </w:tbl>
    <w:p w:rsidR="00E254A8" w:rsidRPr="00DE3292" w:rsidRDefault="00E254A8" w:rsidP="00E254A8">
      <w:pPr>
        <w:sectPr w:rsidR="00E254A8" w:rsidRPr="00DE3292" w:rsidSect="0044262A">
          <w:headerReference w:type="even" r:id="rId15"/>
          <w:headerReference w:type="default" r:id="rId16"/>
          <w:footerReference w:type="even" r:id="rId17"/>
          <w:headerReference w:type="first" r:id="rId18"/>
          <w:footerReference w:type="first" r:id="rId19"/>
          <w:footnotePr>
            <w:numRestart w:val="eachPage"/>
          </w:footnotePr>
          <w:pgSz w:w="11907" w:h="16840" w:code="9"/>
          <w:pgMar w:top="1134" w:right="1134" w:bottom="1134" w:left="1134" w:header="567" w:footer="567" w:gutter="0"/>
          <w:cols w:space="708"/>
          <w:titlePg/>
          <w:docGrid w:linePitch="360"/>
        </w:sectPr>
      </w:pPr>
    </w:p>
    <w:p w:rsidR="00614A33" w:rsidRDefault="00B74955" w:rsidP="00B74955">
      <w:pPr>
        <w:pStyle w:val="TOCHeading"/>
      </w:pPr>
      <w:r>
        <w:lastRenderedPageBreak/>
        <w:t>CONTENTS</w:t>
      </w:r>
      <w:r w:rsidRPr="00B74955">
        <w:rPr>
          <w:vertAlign w:val="superscript"/>
        </w:rPr>
        <w:t>1</w:t>
      </w:r>
    </w:p>
    <w:p w:rsidR="00B74955" w:rsidRDefault="00B74955" w:rsidP="00B74955">
      <w:pPr>
        <w:pStyle w:val="TOC5"/>
      </w:pPr>
      <w:r>
        <w:t>ITEMS DEBATED</w:t>
      </w:r>
    </w:p>
    <w:p w:rsidR="00B74955" w:rsidRPr="0074098B" w:rsidRDefault="00B74955" w:rsidP="00B74955">
      <w:pPr>
        <w:pStyle w:val="TOC6"/>
        <w:keepNext/>
        <w:rPr>
          <w:rFonts w:ascii="Calibri" w:hAnsi="Calibri" w:cs="Arial"/>
          <w:noProof/>
          <w:sz w:val="22"/>
          <w:szCs w:val="22"/>
          <w:lang w:eastAsia="en-GB"/>
        </w:rPr>
      </w:pPr>
      <w:r>
        <w:rPr>
          <w:noProof/>
        </w:rPr>
        <w:t>EMPLOYMENT AND SOCIAL POLICY</w:t>
      </w:r>
      <w:r>
        <w:rPr>
          <w:noProof/>
        </w:rPr>
        <w:tab/>
      </w:r>
      <w:r>
        <w:rPr>
          <w:noProof/>
        </w:rPr>
        <w:fldChar w:fldCharType="begin"/>
      </w:r>
      <w:r>
        <w:rPr>
          <w:noProof/>
        </w:rPr>
        <w:instrText xml:space="preserve"> PAGEREF \h _Toc410394820 \* MERGEFORMAT </w:instrText>
      </w:r>
      <w:r>
        <w:rPr>
          <w:noProof/>
        </w:rPr>
      </w:r>
      <w:r>
        <w:rPr>
          <w:noProof/>
        </w:rPr>
        <w:fldChar w:fldCharType="separate"/>
      </w:r>
      <w:r w:rsidR="0044262A">
        <w:rPr>
          <w:noProof/>
        </w:rPr>
        <w:t>6</w:t>
      </w:r>
      <w:r>
        <w:rPr>
          <w:noProof/>
        </w:rPr>
        <w:fldChar w:fldCharType="end"/>
      </w:r>
    </w:p>
    <w:p w:rsidR="00B74955" w:rsidRPr="0074098B" w:rsidRDefault="00B74955" w:rsidP="00B74955">
      <w:pPr>
        <w:pStyle w:val="TOC7"/>
        <w:keepNext/>
        <w:rPr>
          <w:rFonts w:ascii="Calibri" w:hAnsi="Calibri" w:cs="Arial"/>
          <w:noProof/>
          <w:sz w:val="22"/>
          <w:szCs w:val="22"/>
          <w:lang w:eastAsia="en-GB"/>
        </w:rPr>
      </w:pPr>
      <w:r>
        <w:rPr>
          <w:noProof/>
        </w:rPr>
        <w:t>Youth employment</w:t>
      </w:r>
      <w:r>
        <w:rPr>
          <w:noProof/>
        </w:rPr>
        <w:tab/>
      </w:r>
      <w:r>
        <w:rPr>
          <w:noProof/>
        </w:rPr>
        <w:fldChar w:fldCharType="begin"/>
      </w:r>
      <w:r>
        <w:rPr>
          <w:noProof/>
        </w:rPr>
        <w:instrText xml:space="preserve"> PAGEREF \h _Toc410394821 \* MERGEFORMAT </w:instrText>
      </w:r>
      <w:r>
        <w:rPr>
          <w:noProof/>
        </w:rPr>
      </w:r>
      <w:r>
        <w:rPr>
          <w:noProof/>
        </w:rPr>
        <w:fldChar w:fldCharType="separate"/>
      </w:r>
      <w:r w:rsidR="0044262A">
        <w:rPr>
          <w:noProof/>
        </w:rPr>
        <w:t>6</w:t>
      </w:r>
      <w:r>
        <w:rPr>
          <w:noProof/>
        </w:rPr>
        <w:fldChar w:fldCharType="end"/>
      </w:r>
    </w:p>
    <w:p w:rsidR="00B74955" w:rsidRPr="0074098B" w:rsidRDefault="00B74955" w:rsidP="00B74955">
      <w:pPr>
        <w:pStyle w:val="TOC7"/>
        <w:keepNext/>
        <w:rPr>
          <w:rFonts w:ascii="Calibri" w:hAnsi="Calibri" w:cs="Arial"/>
          <w:noProof/>
          <w:sz w:val="22"/>
          <w:szCs w:val="22"/>
          <w:lang w:eastAsia="en-GB"/>
        </w:rPr>
      </w:pPr>
      <w:r>
        <w:rPr>
          <w:noProof/>
        </w:rPr>
        <w:t>EURES (European employment services) network</w:t>
      </w:r>
      <w:r>
        <w:rPr>
          <w:noProof/>
        </w:rPr>
        <w:tab/>
      </w:r>
      <w:r>
        <w:rPr>
          <w:noProof/>
        </w:rPr>
        <w:fldChar w:fldCharType="begin"/>
      </w:r>
      <w:r>
        <w:rPr>
          <w:noProof/>
        </w:rPr>
        <w:instrText xml:space="preserve"> PAGEREF \h _Toc410394822 \* MERGEFORMAT </w:instrText>
      </w:r>
      <w:r>
        <w:rPr>
          <w:noProof/>
        </w:rPr>
      </w:r>
      <w:r>
        <w:rPr>
          <w:noProof/>
        </w:rPr>
        <w:fldChar w:fldCharType="separate"/>
      </w:r>
      <w:r w:rsidR="0044262A">
        <w:rPr>
          <w:noProof/>
        </w:rPr>
        <w:t>7</w:t>
      </w:r>
      <w:r>
        <w:rPr>
          <w:noProof/>
        </w:rPr>
        <w:fldChar w:fldCharType="end"/>
      </w:r>
    </w:p>
    <w:p w:rsidR="00B74955" w:rsidRPr="0074098B" w:rsidRDefault="00B74955" w:rsidP="00B74955">
      <w:pPr>
        <w:pStyle w:val="TOC7"/>
        <w:keepNext/>
        <w:rPr>
          <w:rFonts w:ascii="Calibri" w:hAnsi="Calibri" w:cs="Arial"/>
          <w:noProof/>
          <w:sz w:val="22"/>
          <w:szCs w:val="22"/>
          <w:lang w:eastAsia="en-GB"/>
        </w:rPr>
      </w:pPr>
      <w:r>
        <w:rPr>
          <w:noProof/>
        </w:rPr>
        <w:t>Seafarers</w:t>
      </w:r>
      <w:r>
        <w:rPr>
          <w:noProof/>
        </w:rPr>
        <w:tab/>
      </w:r>
      <w:r>
        <w:rPr>
          <w:noProof/>
        </w:rPr>
        <w:fldChar w:fldCharType="begin"/>
      </w:r>
      <w:r>
        <w:rPr>
          <w:noProof/>
        </w:rPr>
        <w:instrText xml:space="preserve"> PAGEREF \h _Toc410394823 \* MERGEFORMAT </w:instrText>
      </w:r>
      <w:r>
        <w:rPr>
          <w:noProof/>
        </w:rPr>
      </w:r>
      <w:r>
        <w:rPr>
          <w:noProof/>
        </w:rPr>
        <w:fldChar w:fldCharType="separate"/>
      </w:r>
      <w:r w:rsidR="0044262A">
        <w:rPr>
          <w:noProof/>
        </w:rPr>
        <w:t>8</w:t>
      </w:r>
      <w:r>
        <w:rPr>
          <w:noProof/>
        </w:rPr>
        <w:fldChar w:fldCharType="end"/>
      </w:r>
    </w:p>
    <w:p w:rsidR="00B74955" w:rsidRPr="0074098B" w:rsidRDefault="00B74955" w:rsidP="00B74955">
      <w:pPr>
        <w:pStyle w:val="TOC7"/>
        <w:keepNext/>
        <w:rPr>
          <w:rFonts w:ascii="Calibri" w:hAnsi="Calibri" w:cs="Arial"/>
          <w:noProof/>
          <w:sz w:val="22"/>
          <w:szCs w:val="22"/>
          <w:lang w:eastAsia="en-GB"/>
        </w:rPr>
      </w:pPr>
      <w:r>
        <w:rPr>
          <w:noProof/>
        </w:rPr>
        <w:t>Women on company boards</w:t>
      </w:r>
      <w:r>
        <w:rPr>
          <w:noProof/>
        </w:rPr>
        <w:tab/>
      </w:r>
      <w:r>
        <w:rPr>
          <w:noProof/>
        </w:rPr>
        <w:fldChar w:fldCharType="begin"/>
      </w:r>
      <w:r>
        <w:rPr>
          <w:noProof/>
        </w:rPr>
        <w:instrText xml:space="preserve"> PAGEREF \h _Toc410394824 \* MERGEFORMAT </w:instrText>
      </w:r>
      <w:r>
        <w:rPr>
          <w:noProof/>
        </w:rPr>
      </w:r>
      <w:r>
        <w:rPr>
          <w:noProof/>
        </w:rPr>
        <w:fldChar w:fldCharType="separate"/>
      </w:r>
      <w:r w:rsidR="0044262A">
        <w:rPr>
          <w:noProof/>
        </w:rPr>
        <w:t>9</w:t>
      </w:r>
      <w:r>
        <w:rPr>
          <w:noProof/>
        </w:rPr>
        <w:fldChar w:fldCharType="end"/>
      </w:r>
    </w:p>
    <w:p w:rsidR="00B74955" w:rsidRPr="0074098B" w:rsidRDefault="00B74955" w:rsidP="00B74955">
      <w:pPr>
        <w:pStyle w:val="TOC7"/>
        <w:keepNext/>
        <w:rPr>
          <w:rFonts w:ascii="Calibri" w:hAnsi="Calibri" w:cs="Arial"/>
          <w:noProof/>
          <w:sz w:val="22"/>
          <w:szCs w:val="22"/>
          <w:lang w:eastAsia="en-GB"/>
        </w:rPr>
      </w:pPr>
      <w:r>
        <w:rPr>
          <w:noProof/>
        </w:rPr>
        <w:t>Equal treatment</w:t>
      </w:r>
      <w:r>
        <w:rPr>
          <w:noProof/>
        </w:rPr>
        <w:tab/>
      </w:r>
      <w:r>
        <w:rPr>
          <w:noProof/>
        </w:rPr>
        <w:fldChar w:fldCharType="begin"/>
      </w:r>
      <w:r>
        <w:rPr>
          <w:noProof/>
        </w:rPr>
        <w:instrText xml:space="preserve"> PAGEREF \h _Toc410394825 \* MERGEFORMAT </w:instrText>
      </w:r>
      <w:r>
        <w:rPr>
          <w:noProof/>
        </w:rPr>
      </w:r>
      <w:r>
        <w:rPr>
          <w:noProof/>
        </w:rPr>
        <w:fldChar w:fldCharType="separate"/>
      </w:r>
      <w:r w:rsidR="0044262A">
        <w:rPr>
          <w:noProof/>
        </w:rPr>
        <w:t>10</w:t>
      </w:r>
      <w:r>
        <w:rPr>
          <w:noProof/>
        </w:rPr>
        <w:fldChar w:fldCharType="end"/>
      </w:r>
    </w:p>
    <w:p w:rsidR="00B74955" w:rsidRPr="0074098B" w:rsidRDefault="00B74955" w:rsidP="00B74955">
      <w:pPr>
        <w:pStyle w:val="TOC7"/>
        <w:keepNext/>
        <w:rPr>
          <w:rFonts w:ascii="Calibri" w:hAnsi="Calibri" w:cs="Arial"/>
          <w:noProof/>
          <w:sz w:val="22"/>
          <w:szCs w:val="22"/>
          <w:lang w:eastAsia="en-GB"/>
        </w:rPr>
      </w:pPr>
      <w:r>
        <w:rPr>
          <w:noProof/>
        </w:rPr>
        <w:t>Maternity leave</w:t>
      </w:r>
      <w:r>
        <w:rPr>
          <w:noProof/>
        </w:rPr>
        <w:tab/>
      </w:r>
      <w:r>
        <w:rPr>
          <w:noProof/>
        </w:rPr>
        <w:fldChar w:fldCharType="begin"/>
      </w:r>
      <w:r>
        <w:rPr>
          <w:noProof/>
        </w:rPr>
        <w:instrText xml:space="preserve"> PAGEREF \h _Toc410394826 \* MERGEFORMAT </w:instrText>
      </w:r>
      <w:r>
        <w:rPr>
          <w:noProof/>
        </w:rPr>
      </w:r>
      <w:r>
        <w:rPr>
          <w:noProof/>
        </w:rPr>
        <w:fldChar w:fldCharType="separate"/>
      </w:r>
      <w:r w:rsidR="0044262A">
        <w:rPr>
          <w:noProof/>
        </w:rPr>
        <w:t>11</w:t>
      </w:r>
      <w:r>
        <w:rPr>
          <w:noProof/>
        </w:rPr>
        <w:fldChar w:fldCharType="end"/>
      </w:r>
    </w:p>
    <w:p w:rsidR="00B74955" w:rsidRPr="0074098B" w:rsidRDefault="00B74955" w:rsidP="00B74955">
      <w:pPr>
        <w:pStyle w:val="TOC7"/>
        <w:keepNext/>
        <w:rPr>
          <w:rFonts w:ascii="Calibri" w:hAnsi="Calibri" w:cs="Arial"/>
          <w:noProof/>
          <w:sz w:val="22"/>
          <w:szCs w:val="22"/>
          <w:lang w:eastAsia="en-GB"/>
        </w:rPr>
      </w:pPr>
      <w:r>
        <w:rPr>
          <w:noProof/>
        </w:rPr>
        <w:t>Working time in inland waterway transport</w:t>
      </w:r>
      <w:r>
        <w:rPr>
          <w:noProof/>
        </w:rPr>
        <w:tab/>
      </w:r>
      <w:r>
        <w:rPr>
          <w:noProof/>
        </w:rPr>
        <w:fldChar w:fldCharType="begin"/>
      </w:r>
      <w:r>
        <w:rPr>
          <w:noProof/>
        </w:rPr>
        <w:instrText xml:space="preserve"> PAGEREF \h _Toc410394827 \* MERGEFORMAT </w:instrText>
      </w:r>
      <w:r>
        <w:rPr>
          <w:noProof/>
        </w:rPr>
      </w:r>
      <w:r>
        <w:rPr>
          <w:noProof/>
        </w:rPr>
        <w:fldChar w:fldCharType="separate"/>
      </w:r>
      <w:r w:rsidR="0044262A">
        <w:rPr>
          <w:noProof/>
        </w:rPr>
        <w:t>11</w:t>
      </w:r>
      <w:r>
        <w:rPr>
          <w:noProof/>
        </w:rPr>
        <w:fldChar w:fldCharType="end"/>
      </w:r>
    </w:p>
    <w:p w:rsidR="00B74955" w:rsidRPr="0074098B" w:rsidRDefault="00B74955" w:rsidP="00B74955">
      <w:pPr>
        <w:pStyle w:val="TOC7"/>
        <w:keepNext/>
        <w:rPr>
          <w:rFonts w:ascii="Calibri" w:hAnsi="Calibri" w:cs="Arial"/>
          <w:noProof/>
          <w:sz w:val="22"/>
          <w:szCs w:val="22"/>
          <w:lang w:eastAsia="en-GB"/>
        </w:rPr>
      </w:pPr>
      <w:r>
        <w:rPr>
          <w:noProof/>
        </w:rPr>
        <w:t>Annual growth survey 2015, joint employment report and alert mechanism report</w:t>
      </w:r>
      <w:r>
        <w:rPr>
          <w:noProof/>
        </w:rPr>
        <w:tab/>
      </w:r>
      <w:r>
        <w:rPr>
          <w:noProof/>
        </w:rPr>
        <w:fldChar w:fldCharType="begin"/>
      </w:r>
      <w:r>
        <w:rPr>
          <w:noProof/>
        </w:rPr>
        <w:instrText xml:space="preserve"> PAGEREF \h _Toc410394828 \* MERGEFORMAT </w:instrText>
      </w:r>
      <w:r>
        <w:rPr>
          <w:noProof/>
        </w:rPr>
      </w:r>
      <w:r>
        <w:rPr>
          <w:noProof/>
        </w:rPr>
        <w:fldChar w:fldCharType="separate"/>
      </w:r>
      <w:r w:rsidR="0044262A">
        <w:rPr>
          <w:noProof/>
        </w:rPr>
        <w:t>12</w:t>
      </w:r>
      <w:r>
        <w:rPr>
          <w:noProof/>
        </w:rPr>
        <w:fldChar w:fldCharType="end"/>
      </w:r>
    </w:p>
    <w:p w:rsidR="00B74955" w:rsidRPr="0074098B" w:rsidRDefault="00B74955" w:rsidP="00B74955">
      <w:pPr>
        <w:pStyle w:val="TOC7"/>
        <w:keepNext/>
        <w:rPr>
          <w:rFonts w:ascii="Calibri" w:hAnsi="Calibri" w:cs="Arial"/>
          <w:noProof/>
          <w:sz w:val="22"/>
          <w:szCs w:val="22"/>
          <w:lang w:eastAsia="en-GB"/>
        </w:rPr>
      </w:pPr>
      <w:r>
        <w:rPr>
          <w:noProof/>
        </w:rPr>
        <w:t>20-year review of the Beijing platform for action</w:t>
      </w:r>
      <w:r>
        <w:rPr>
          <w:noProof/>
        </w:rPr>
        <w:tab/>
      </w:r>
      <w:r>
        <w:rPr>
          <w:noProof/>
        </w:rPr>
        <w:fldChar w:fldCharType="begin"/>
      </w:r>
      <w:r>
        <w:rPr>
          <w:noProof/>
        </w:rPr>
        <w:instrText xml:space="preserve"> PAGEREF \h _Toc410394829 \* MERGEFORMAT </w:instrText>
      </w:r>
      <w:r>
        <w:rPr>
          <w:noProof/>
        </w:rPr>
      </w:r>
      <w:r>
        <w:rPr>
          <w:noProof/>
        </w:rPr>
        <w:fldChar w:fldCharType="separate"/>
      </w:r>
      <w:r w:rsidR="0044262A">
        <w:rPr>
          <w:noProof/>
        </w:rPr>
        <w:t>13</w:t>
      </w:r>
      <w:r>
        <w:rPr>
          <w:noProof/>
        </w:rPr>
        <w:fldChar w:fldCharType="end"/>
      </w:r>
    </w:p>
    <w:p w:rsidR="00B74955" w:rsidRPr="00B74955" w:rsidRDefault="00B74955" w:rsidP="00B74955">
      <w:pPr>
        <w:pStyle w:val="TOC7"/>
      </w:pPr>
      <w:r>
        <w:rPr>
          <w:noProof/>
        </w:rPr>
        <w:t>Any other business</w:t>
      </w:r>
      <w:r>
        <w:rPr>
          <w:noProof/>
        </w:rPr>
        <w:tab/>
      </w:r>
      <w:r>
        <w:rPr>
          <w:noProof/>
        </w:rPr>
        <w:fldChar w:fldCharType="begin"/>
      </w:r>
      <w:r>
        <w:rPr>
          <w:noProof/>
        </w:rPr>
        <w:instrText xml:space="preserve"> PAGEREF \h _Toc410394830 \* MERGEFORMAT </w:instrText>
      </w:r>
      <w:r>
        <w:rPr>
          <w:noProof/>
        </w:rPr>
      </w:r>
      <w:r>
        <w:rPr>
          <w:noProof/>
        </w:rPr>
        <w:fldChar w:fldCharType="separate"/>
      </w:r>
      <w:r w:rsidR="0044262A">
        <w:rPr>
          <w:noProof/>
        </w:rPr>
        <w:t>13</w:t>
      </w:r>
      <w:r>
        <w:rPr>
          <w:noProof/>
        </w:rPr>
        <w:fldChar w:fldCharType="end"/>
      </w:r>
    </w:p>
    <w:p w:rsidR="00B74955" w:rsidRDefault="00B74955" w:rsidP="00B74955">
      <w:pPr>
        <w:pStyle w:val="TOC5"/>
      </w:pPr>
      <w:r>
        <w:t>OTHER ITEMS APPROVED</w:t>
      </w:r>
    </w:p>
    <w:p w:rsidR="00B74955" w:rsidRPr="0074098B" w:rsidRDefault="00B74955" w:rsidP="00B74955">
      <w:pPr>
        <w:pStyle w:val="TOC8"/>
        <w:rPr>
          <w:rFonts w:ascii="Calibri" w:hAnsi="Calibri" w:cs="Arial"/>
          <w:i w:val="0"/>
          <w:noProof/>
          <w:sz w:val="22"/>
          <w:szCs w:val="22"/>
          <w:lang w:eastAsia="en-GB"/>
        </w:rPr>
      </w:pPr>
      <w:r>
        <w:rPr>
          <w:noProof/>
        </w:rPr>
        <w:t>SOCIAL POLICY</w:t>
      </w:r>
    </w:p>
    <w:p w:rsidR="00B74955" w:rsidRPr="0074098B" w:rsidRDefault="00B74955" w:rsidP="00B74955">
      <w:pPr>
        <w:pStyle w:val="TOC9"/>
        <w:keepNext/>
        <w:rPr>
          <w:rFonts w:ascii="Calibri" w:hAnsi="Calibri" w:cs="Arial"/>
          <w:noProof/>
          <w:sz w:val="22"/>
          <w:szCs w:val="22"/>
          <w:lang w:eastAsia="en-GB"/>
        </w:rPr>
      </w:pPr>
      <w:r>
        <w:rPr>
          <w:noProof/>
        </w:rPr>
        <w:t>Community statistics on income and living conditions</w:t>
      </w:r>
      <w:r>
        <w:rPr>
          <w:noProof/>
        </w:rPr>
        <w:tab/>
      </w:r>
      <w:r>
        <w:rPr>
          <w:noProof/>
        </w:rPr>
        <w:fldChar w:fldCharType="begin"/>
      </w:r>
      <w:r>
        <w:rPr>
          <w:noProof/>
        </w:rPr>
        <w:instrText xml:space="preserve"> PAGEREF \h _Toc410394832 \* MERGEFORMAT </w:instrText>
      </w:r>
      <w:r>
        <w:rPr>
          <w:noProof/>
        </w:rPr>
      </w:r>
      <w:r>
        <w:rPr>
          <w:noProof/>
        </w:rPr>
        <w:fldChar w:fldCharType="separate"/>
      </w:r>
      <w:r w:rsidR="0044262A">
        <w:rPr>
          <w:noProof/>
        </w:rPr>
        <w:t>14</w:t>
      </w:r>
      <w:r>
        <w:rPr>
          <w:noProof/>
        </w:rPr>
        <w:fldChar w:fldCharType="end"/>
      </w:r>
    </w:p>
    <w:p w:rsidR="00B74955" w:rsidRPr="0074098B" w:rsidRDefault="00B74955" w:rsidP="00B74955">
      <w:pPr>
        <w:pStyle w:val="TOC9"/>
        <w:rPr>
          <w:rFonts w:ascii="Calibri" w:hAnsi="Calibri" w:cs="Arial"/>
          <w:noProof/>
          <w:sz w:val="22"/>
          <w:szCs w:val="22"/>
          <w:lang w:eastAsia="en-GB"/>
        </w:rPr>
      </w:pPr>
      <w:r>
        <w:rPr>
          <w:noProof/>
        </w:rPr>
        <w:t>Programme for the labour force sample survey</w:t>
      </w:r>
      <w:r>
        <w:rPr>
          <w:noProof/>
        </w:rPr>
        <w:tab/>
      </w:r>
      <w:r>
        <w:rPr>
          <w:noProof/>
        </w:rPr>
        <w:fldChar w:fldCharType="begin"/>
      </w:r>
      <w:r>
        <w:rPr>
          <w:noProof/>
        </w:rPr>
        <w:instrText xml:space="preserve"> PAGEREF \h _Toc410394833 \* MERGEFORMAT </w:instrText>
      </w:r>
      <w:r>
        <w:rPr>
          <w:noProof/>
        </w:rPr>
      </w:r>
      <w:r>
        <w:rPr>
          <w:noProof/>
        </w:rPr>
        <w:fldChar w:fldCharType="separate"/>
      </w:r>
      <w:r w:rsidR="0044262A">
        <w:rPr>
          <w:noProof/>
        </w:rPr>
        <w:t>14</w:t>
      </w:r>
      <w:r>
        <w:rPr>
          <w:noProof/>
        </w:rPr>
        <w:fldChar w:fldCharType="end"/>
      </w:r>
    </w:p>
    <w:p w:rsidR="00B74955" w:rsidRPr="0074098B" w:rsidRDefault="00B74955" w:rsidP="00B74955">
      <w:pPr>
        <w:pStyle w:val="TOC8"/>
        <w:rPr>
          <w:rFonts w:ascii="Calibri" w:hAnsi="Calibri" w:cs="Arial"/>
          <w:i w:val="0"/>
          <w:noProof/>
          <w:sz w:val="22"/>
          <w:szCs w:val="22"/>
          <w:lang w:eastAsia="en-GB"/>
        </w:rPr>
      </w:pPr>
      <w:r>
        <w:rPr>
          <w:noProof/>
        </w:rPr>
        <w:t>INTERNAL MARKET</w:t>
      </w:r>
    </w:p>
    <w:p w:rsidR="00B74955" w:rsidRDefault="00B74955" w:rsidP="00B74955">
      <w:pPr>
        <w:pStyle w:val="TOC9"/>
      </w:pPr>
      <w:r>
        <w:rPr>
          <w:noProof/>
        </w:rPr>
        <w:t>Agricultural and forestry vehicles - Type-approval requirements</w:t>
      </w:r>
      <w:r>
        <w:rPr>
          <w:noProof/>
        </w:rPr>
        <w:tab/>
      </w:r>
      <w:r>
        <w:rPr>
          <w:noProof/>
        </w:rPr>
        <w:fldChar w:fldCharType="begin"/>
      </w:r>
      <w:r>
        <w:rPr>
          <w:noProof/>
        </w:rPr>
        <w:instrText xml:space="preserve"> PAGEREF \h _Toc410394835 \* MERGEFORMAT </w:instrText>
      </w:r>
      <w:r>
        <w:rPr>
          <w:noProof/>
        </w:rPr>
      </w:r>
      <w:r>
        <w:rPr>
          <w:noProof/>
        </w:rPr>
        <w:fldChar w:fldCharType="separate"/>
      </w:r>
      <w:r w:rsidR="0044262A">
        <w:rPr>
          <w:noProof/>
        </w:rPr>
        <w:t>14</w:t>
      </w:r>
      <w:r>
        <w:rPr>
          <w:noProof/>
        </w:rPr>
        <w:fldChar w:fldCharType="end"/>
      </w:r>
    </w:p>
    <w:p w:rsidR="00B74955" w:rsidRPr="00DE3292" w:rsidRDefault="00B74955" w:rsidP="00E254A8">
      <w:pPr>
        <w:sectPr w:rsidR="00B74955" w:rsidRPr="00DE3292" w:rsidSect="0044262A">
          <w:headerReference w:type="even" r:id="rId20"/>
          <w:footerReference w:type="even" r:id="rId21"/>
          <w:headerReference w:type="first" r:id="rId22"/>
          <w:footerReference w:type="first" r:id="rId23"/>
          <w:footnotePr>
            <w:numRestart w:val="eachPage"/>
          </w:footnotePr>
          <w:pgSz w:w="11907" w:h="16840" w:code="9"/>
          <w:pgMar w:top="1134" w:right="1134" w:bottom="1134" w:left="1134" w:header="567" w:footer="567" w:gutter="0"/>
          <w:cols w:space="708"/>
          <w:docGrid w:linePitch="360"/>
        </w:sectPr>
      </w:pPr>
    </w:p>
    <w:p w:rsidR="00E254A8" w:rsidRPr="00DE3292" w:rsidRDefault="00E254A8" w:rsidP="00E254A8">
      <w:pPr>
        <w:pStyle w:val="ParticipantsHeading"/>
      </w:pPr>
      <w:r w:rsidRPr="00DE3292">
        <w:lastRenderedPageBreak/>
        <w:t>PARTICIPANTS</w:t>
      </w:r>
    </w:p>
    <w:p w:rsidR="004D653E" w:rsidRPr="00DE3292" w:rsidRDefault="004D653E" w:rsidP="004D653E">
      <w:pPr>
        <w:pStyle w:val="ParticipantGroup"/>
        <w:outlineLvl w:val="0"/>
      </w:pPr>
      <w:r w:rsidRPr="00DE3292">
        <w:t>Belgium:</w:t>
      </w:r>
    </w:p>
    <w:p w:rsidR="004D653E" w:rsidRPr="00DE3292" w:rsidRDefault="004D653E" w:rsidP="00A60AF4">
      <w:pPr>
        <w:pStyle w:val="Participant"/>
      </w:pPr>
      <w:r w:rsidRPr="00DE3292">
        <w:t>M</w:t>
      </w:r>
      <w:r w:rsidR="008F3325">
        <w:t>r</w:t>
      </w:r>
      <w:r w:rsidRPr="00DE3292">
        <w:t xml:space="preserve"> Kris PEETERS</w:t>
      </w:r>
      <w:r w:rsidRPr="00DE3292">
        <w:tab/>
        <w:t>Deputy Prime Minister and Minister for Employment, the Economy and Consumers, with responsibility for External Trade</w:t>
      </w:r>
    </w:p>
    <w:p w:rsidR="004D653E" w:rsidRPr="00DE3292" w:rsidRDefault="004D653E" w:rsidP="004D653E">
      <w:pPr>
        <w:pStyle w:val="ParticipantGroup"/>
      </w:pPr>
      <w:r w:rsidRPr="00DE3292">
        <w:t>Bulgaria:</w:t>
      </w:r>
    </w:p>
    <w:p w:rsidR="004D653E" w:rsidRPr="00DE3292" w:rsidRDefault="004D653E" w:rsidP="00A60AF4">
      <w:pPr>
        <w:pStyle w:val="Participant"/>
      </w:pPr>
      <w:r w:rsidRPr="00DE3292">
        <w:t>Mr Ivailo KALFIN</w:t>
      </w:r>
      <w:r w:rsidRPr="00DE3292">
        <w:tab/>
        <w:t xml:space="preserve">Deputy Prime Minister for Demographic and Social Policies, Minister </w:t>
      </w:r>
      <w:r w:rsidR="008F3325">
        <w:t>for</w:t>
      </w:r>
      <w:r w:rsidRPr="00DE3292">
        <w:t xml:space="preserve"> Labour and Social Policy</w:t>
      </w:r>
    </w:p>
    <w:p w:rsidR="004D653E" w:rsidRPr="00DE3292" w:rsidRDefault="004D653E" w:rsidP="004D653E">
      <w:pPr>
        <w:pStyle w:val="ParticipantGroup"/>
        <w:outlineLvl w:val="0"/>
      </w:pPr>
      <w:r w:rsidRPr="00DE3292">
        <w:t>Czech Republic:</w:t>
      </w:r>
    </w:p>
    <w:p w:rsidR="004D653E" w:rsidRPr="00DE3292" w:rsidRDefault="004D653E" w:rsidP="00A60AF4">
      <w:pPr>
        <w:pStyle w:val="Participant"/>
      </w:pPr>
      <w:r w:rsidRPr="00DE3292">
        <w:t>M</w:t>
      </w:r>
      <w:r w:rsidR="008F3325">
        <w:t>s</w:t>
      </w:r>
      <w:r w:rsidRPr="00DE3292">
        <w:t xml:space="preserve"> Michaela MARKSOVÁ</w:t>
      </w:r>
      <w:r w:rsidRPr="00DE3292">
        <w:tab/>
        <w:t>Minister for Labour and Social Affairs</w:t>
      </w:r>
    </w:p>
    <w:p w:rsidR="004D653E" w:rsidRPr="00DE3292" w:rsidRDefault="004D653E" w:rsidP="004D653E">
      <w:pPr>
        <w:pStyle w:val="ParticipantGroup"/>
        <w:outlineLvl w:val="0"/>
      </w:pPr>
      <w:r w:rsidRPr="00DE3292">
        <w:t>Denmark:</w:t>
      </w:r>
    </w:p>
    <w:p w:rsidR="004D653E" w:rsidRPr="00DE3292" w:rsidRDefault="004D653E" w:rsidP="00762BCF">
      <w:pPr>
        <w:pStyle w:val="Participant"/>
      </w:pPr>
      <w:r w:rsidRPr="00DE3292">
        <w:t>Mr Henrik DAM KRISTENSEN</w:t>
      </w:r>
      <w:r w:rsidRPr="00DE3292">
        <w:tab/>
        <w:t>Minister for Employment</w:t>
      </w:r>
    </w:p>
    <w:p w:rsidR="004D653E" w:rsidRPr="00DE3292" w:rsidRDefault="004D653E" w:rsidP="00762BCF">
      <w:pPr>
        <w:pStyle w:val="Participant"/>
      </w:pPr>
      <w:r w:rsidRPr="00DE3292">
        <w:t>Mr Manu SAREEN</w:t>
      </w:r>
      <w:r w:rsidRPr="00DE3292">
        <w:tab/>
        <w:t xml:space="preserve">Minister for Children, Gender Equality, Integration </w:t>
      </w:r>
      <w:r w:rsidRPr="00DE3292">
        <w:br/>
        <w:t>and Social Affairs</w:t>
      </w:r>
    </w:p>
    <w:p w:rsidR="004D653E" w:rsidRPr="00DE3292" w:rsidRDefault="004D653E" w:rsidP="004D653E">
      <w:pPr>
        <w:pStyle w:val="ParticipantGroup"/>
        <w:outlineLvl w:val="0"/>
      </w:pPr>
      <w:r w:rsidRPr="00DE3292">
        <w:t>Germany:</w:t>
      </w:r>
    </w:p>
    <w:p w:rsidR="004D653E" w:rsidRPr="00DE3292" w:rsidRDefault="004D653E" w:rsidP="004D653E">
      <w:pPr>
        <w:pStyle w:val="Participant"/>
      </w:pPr>
      <w:r w:rsidRPr="00DE3292">
        <w:t>Mr Jörg ASMUSSEN</w:t>
      </w:r>
      <w:r w:rsidRPr="00DE3292">
        <w:tab/>
        <w:t>State Secretary, Federal Ministry of Labour and Social Affairs</w:t>
      </w:r>
    </w:p>
    <w:p w:rsidR="004D653E" w:rsidRPr="00DE3292" w:rsidRDefault="004D653E" w:rsidP="004D653E">
      <w:pPr>
        <w:pStyle w:val="Participant"/>
      </w:pPr>
      <w:r w:rsidRPr="00DE3292">
        <w:t>Mr Guido PERUZZO</w:t>
      </w:r>
      <w:r w:rsidRPr="00DE3292">
        <w:tab/>
        <w:t>Deputy Permanent Representative</w:t>
      </w:r>
    </w:p>
    <w:p w:rsidR="004D653E" w:rsidRPr="00DE3292" w:rsidRDefault="004D653E" w:rsidP="004D653E">
      <w:pPr>
        <w:pStyle w:val="ParticipantGroup"/>
        <w:outlineLvl w:val="0"/>
      </w:pPr>
      <w:r w:rsidRPr="00DE3292">
        <w:t>Estonia:</w:t>
      </w:r>
    </w:p>
    <w:p w:rsidR="004D653E" w:rsidRPr="00DE3292" w:rsidRDefault="004D653E" w:rsidP="004D653E">
      <w:pPr>
        <w:pStyle w:val="Participant"/>
      </w:pPr>
      <w:r w:rsidRPr="00DE3292">
        <w:t>Ms Helmen KÜTT</w:t>
      </w:r>
      <w:r w:rsidRPr="00DE3292">
        <w:tab/>
        <w:t>Minister for Social Affairs</w:t>
      </w:r>
    </w:p>
    <w:p w:rsidR="004D653E" w:rsidRPr="00DE3292" w:rsidRDefault="004D653E" w:rsidP="004D653E">
      <w:pPr>
        <w:pStyle w:val="ParticipantGroup"/>
        <w:outlineLvl w:val="0"/>
      </w:pPr>
      <w:r w:rsidRPr="00DE3292">
        <w:t>Ireland:</w:t>
      </w:r>
    </w:p>
    <w:p w:rsidR="004D653E" w:rsidRPr="00DE3292" w:rsidRDefault="004D653E" w:rsidP="00762BCF">
      <w:pPr>
        <w:pStyle w:val="Participant"/>
      </w:pPr>
      <w:r w:rsidRPr="00DE3292">
        <w:t>Mr Ged NASH</w:t>
      </w:r>
      <w:r w:rsidRPr="00DE3292">
        <w:tab/>
        <w:t>Minister of State at the Department of Jobs, Enterprise and Innovation</w:t>
      </w:r>
    </w:p>
    <w:p w:rsidR="004D653E" w:rsidRPr="00DE3292" w:rsidRDefault="004D653E" w:rsidP="00762BCF">
      <w:pPr>
        <w:pStyle w:val="Participant"/>
      </w:pPr>
      <w:r w:rsidRPr="00DE3292">
        <w:t>Mr Aodhán Ó RÍORDÁIN</w:t>
      </w:r>
      <w:r w:rsidRPr="00DE3292">
        <w:tab/>
        <w:t>Minister of State at the Department of Justice and Equality and Arts, Heritage and the Gaeltacht</w:t>
      </w:r>
    </w:p>
    <w:p w:rsidR="004D653E" w:rsidRPr="00DE3292" w:rsidRDefault="004D653E" w:rsidP="004D653E">
      <w:pPr>
        <w:pStyle w:val="ParticipantGroup"/>
        <w:outlineLvl w:val="0"/>
      </w:pPr>
      <w:r w:rsidRPr="00DE3292">
        <w:t>Greece:</w:t>
      </w:r>
    </w:p>
    <w:p w:rsidR="004D653E" w:rsidRPr="00DE3292" w:rsidRDefault="004D653E" w:rsidP="004D653E">
      <w:pPr>
        <w:pStyle w:val="Participant"/>
      </w:pPr>
      <w:r w:rsidRPr="00DE3292">
        <w:t>Mr Ioannis VROUTSIS</w:t>
      </w:r>
      <w:r w:rsidRPr="00DE3292">
        <w:tab/>
        <w:t>Minister for Employment, Social Protection and Welfare</w:t>
      </w:r>
    </w:p>
    <w:p w:rsidR="004D653E" w:rsidRPr="00DE3292" w:rsidRDefault="004D653E" w:rsidP="004D653E">
      <w:pPr>
        <w:pStyle w:val="ParticipantGroup"/>
        <w:outlineLvl w:val="0"/>
      </w:pPr>
      <w:r w:rsidRPr="00DE3292">
        <w:t>Spain:</w:t>
      </w:r>
    </w:p>
    <w:p w:rsidR="004D653E" w:rsidRPr="00DE3292" w:rsidRDefault="004D653E" w:rsidP="00762BCF">
      <w:pPr>
        <w:pStyle w:val="Participant"/>
      </w:pPr>
      <w:r w:rsidRPr="00DE3292">
        <w:t>Ms Fátima BAÑEZ GARCIA</w:t>
      </w:r>
      <w:r w:rsidRPr="00DE3292">
        <w:tab/>
        <w:t>Minister for Employment and Social Security</w:t>
      </w:r>
    </w:p>
    <w:p w:rsidR="004D653E" w:rsidRPr="00DE3292" w:rsidRDefault="004D653E" w:rsidP="00A60AF4">
      <w:pPr>
        <w:pStyle w:val="Participant"/>
      </w:pPr>
      <w:r w:rsidRPr="00DE3292">
        <w:t>M</w:t>
      </w:r>
      <w:r w:rsidR="007D16D3">
        <w:t>r</w:t>
      </w:r>
      <w:r w:rsidRPr="00DE3292">
        <w:t xml:space="preserve"> Pedro LLORENTE CACHORRO</w:t>
      </w:r>
      <w:r w:rsidRPr="00DE3292">
        <w:tab/>
        <w:t xml:space="preserve">Deputy State Secretary, Ministry of Employment and Social </w:t>
      </w:r>
      <w:r w:rsidR="007D16D3">
        <w:t>S</w:t>
      </w:r>
      <w:r w:rsidRPr="00DE3292">
        <w:t>ecurity</w:t>
      </w:r>
    </w:p>
    <w:p w:rsidR="004D653E" w:rsidRPr="00DE3292" w:rsidRDefault="004D653E" w:rsidP="004D653E">
      <w:pPr>
        <w:pStyle w:val="ParticipantGroup"/>
      </w:pPr>
      <w:r w:rsidRPr="00DE3292">
        <w:t>France:</w:t>
      </w:r>
    </w:p>
    <w:p w:rsidR="004D653E" w:rsidRPr="00DE3292" w:rsidRDefault="004D653E" w:rsidP="004D653E">
      <w:pPr>
        <w:pStyle w:val="Participant"/>
      </w:pPr>
      <w:r w:rsidRPr="00DE3292">
        <w:t>Mr François REBSAMEN</w:t>
      </w:r>
      <w:r w:rsidRPr="00DE3292">
        <w:tab/>
        <w:t>Minister for Labour, Employment, Vocational Training and Industrial Relations</w:t>
      </w:r>
    </w:p>
    <w:p w:rsidR="004D653E" w:rsidRPr="00DE3292" w:rsidRDefault="004D653E" w:rsidP="004D653E">
      <w:pPr>
        <w:pStyle w:val="ParticipantGroup"/>
      </w:pPr>
      <w:r w:rsidRPr="00DE3292">
        <w:t>Croatia:</w:t>
      </w:r>
    </w:p>
    <w:p w:rsidR="004D653E" w:rsidRPr="00DE3292" w:rsidRDefault="004D653E" w:rsidP="00762BCF">
      <w:pPr>
        <w:pStyle w:val="Participant"/>
      </w:pPr>
      <w:r w:rsidRPr="00DE3292">
        <w:t>Ms Milanka OPAČIĆ</w:t>
      </w:r>
      <w:r w:rsidRPr="00DE3292">
        <w:tab/>
        <w:t>Deputy Prime Minister and Minister for Social Policy and Youth</w:t>
      </w:r>
    </w:p>
    <w:p w:rsidR="004D653E" w:rsidRPr="00DE3292" w:rsidRDefault="004D653E" w:rsidP="00762BCF">
      <w:pPr>
        <w:pStyle w:val="Participant"/>
      </w:pPr>
      <w:r w:rsidRPr="00DE3292">
        <w:t>Mr Mirando MRSIĆ</w:t>
      </w:r>
      <w:r w:rsidRPr="00DE3292">
        <w:tab/>
        <w:t>Minister for Labour and the Pension System</w:t>
      </w:r>
    </w:p>
    <w:p w:rsidR="004D653E" w:rsidRPr="00DE3292" w:rsidRDefault="004D653E" w:rsidP="004D653E">
      <w:pPr>
        <w:pStyle w:val="ParticipantGroup"/>
        <w:outlineLvl w:val="0"/>
      </w:pPr>
      <w:r w:rsidRPr="00DE3292">
        <w:t>Italy:</w:t>
      </w:r>
    </w:p>
    <w:p w:rsidR="004D653E" w:rsidRPr="00DE3292" w:rsidRDefault="004D653E" w:rsidP="004D653E">
      <w:pPr>
        <w:pStyle w:val="Participant"/>
      </w:pPr>
      <w:r w:rsidRPr="00DE3292">
        <w:t>Mr Giuliano POLETTI</w:t>
      </w:r>
      <w:r w:rsidRPr="00DE3292">
        <w:tab/>
        <w:t>Minister for Labour and Social Policy</w:t>
      </w:r>
    </w:p>
    <w:p w:rsidR="004D653E" w:rsidRPr="00DE3292" w:rsidRDefault="004D653E" w:rsidP="004D653E">
      <w:pPr>
        <w:pStyle w:val="Participant"/>
      </w:pPr>
      <w:r w:rsidRPr="00DE3292">
        <w:t>Ms Stefania GIANNINI</w:t>
      </w:r>
      <w:r w:rsidRPr="00DE3292">
        <w:tab/>
        <w:t>Minister for Education, Universities and Research</w:t>
      </w:r>
    </w:p>
    <w:p w:rsidR="004D653E" w:rsidRPr="00DE3292" w:rsidRDefault="004D653E" w:rsidP="004D653E">
      <w:pPr>
        <w:pStyle w:val="ParticipantGroup"/>
        <w:outlineLvl w:val="0"/>
      </w:pPr>
      <w:r w:rsidRPr="00DE3292">
        <w:t>Cyprus:</w:t>
      </w:r>
    </w:p>
    <w:p w:rsidR="004D653E" w:rsidRPr="00DE3292" w:rsidRDefault="004D653E" w:rsidP="004D653E">
      <w:pPr>
        <w:pStyle w:val="Participant"/>
      </w:pPr>
      <w:r w:rsidRPr="00DE3292">
        <w:t>Ms Zeta EMILIANIDOU</w:t>
      </w:r>
      <w:r w:rsidRPr="00DE3292">
        <w:tab/>
        <w:t>Minister for Labour, Welfare and Social Insurance</w:t>
      </w:r>
    </w:p>
    <w:p w:rsidR="004D653E" w:rsidRPr="00DE3292" w:rsidRDefault="004D653E" w:rsidP="004D653E">
      <w:pPr>
        <w:pStyle w:val="ParticipantGroup"/>
        <w:outlineLvl w:val="0"/>
      </w:pPr>
      <w:r w:rsidRPr="00DE3292">
        <w:t>Latvia:</w:t>
      </w:r>
    </w:p>
    <w:p w:rsidR="004D653E" w:rsidRPr="00DE3292" w:rsidRDefault="004D653E" w:rsidP="00762BCF">
      <w:pPr>
        <w:pStyle w:val="Participant"/>
      </w:pPr>
      <w:r w:rsidRPr="00DE3292">
        <w:t>Mr Uldis AUGULIS</w:t>
      </w:r>
      <w:r w:rsidRPr="00DE3292">
        <w:tab/>
        <w:t>Minister for Welfare</w:t>
      </w:r>
    </w:p>
    <w:p w:rsidR="004D653E" w:rsidRPr="00DE3292" w:rsidRDefault="004D653E" w:rsidP="004D653E">
      <w:pPr>
        <w:pStyle w:val="ParticipantGroup"/>
        <w:outlineLvl w:val="0"/>
      </w:pPr>
      <w:r w:rsidRPr="00DE3292">
        <w:t>Lithuania:</w:t>
      </w:r>
    </w:p>
    <w:p w:rsidR="004D653E" w:rsidRPr="00DE3292" w:rsidRDefault="004D653E" w:rsidP="00762BCF">
      <w:pPr>
        <w:pStyle w:val="Participant"/>
      </w:pPr>
      <w:r w:rsidRPr="00DE3292">
        <w:t>Mr Albinas ZANANAVIČIUS</w:t>
      </w:r>
      <w:r w:rsidRPr="00DE3292">
        <w:tab/>
        <w:t>Deputy Permanent Representative to the E</w:t>
      </w:r>
      <w:r w:rsidR="001828CE" w:rsidRPr="00DE3292">
        <w:t>U</w:t>
      </w:r>
    </w:p>
    <w:p w:rsidR="004D653E" w:rsidRPr="00DE3292" w:rsidRDefault="004D653E" w:rsidP="004D653E">
      <w:pPr>
        <w:pStyle w:val="ParticipantGroup"/>
        <w:outlineLvl w:val="0"/>
      </w:pPr>
      <w:r w:rsidRPr="00DE3292">
        <w:t>Luxembourg:</w:t>
      </w:r>
    </w:p>
    <w:p w:rsidR="004D653E" w:rsidRPr="00DE3292" w:rsidRDefault="004D653E" w:rsidP="004D653E">
      <w:pPr>
        <w:pStyle w:val="Participant"/>
      </w:pPr>
      <w:r w:rsidRPr="00DE3292">
        <w:t>Mr Nicolas SCHMIT</w:t>
      </w:r>
      <w:r w:rsidRPr="00DE3292">
        <w:tab/>
        <w:t>Minister for Labour, Employment and the Social and Solidarity Economy</w:t>
      </w:r>
    </w:p>
    <w:p w:rsidR="004D653E" w:rsidRPr="00DE3292" w:rsidRDefault="004D653E" w:rsidP="004D653E">
      <w:pPr>
        <w:pStyle w:val="Participant"/>
      </w:pPr>
      <w:r w:rsidRPr="00DE3292">
        <w:t>Mr Romain SCHNEIDER</w:t>
      </w:r>
      <w:r w:rsidRPr="00DE3292">
        <w:tab/>
        <w:t>Minister for Social Security, Minister for Development Cooperation and Humanitarian Affairs, Minister for Sport</w:t>
      </w:r>
    </w:p>
    <w:p w:rsidR="004D653E" w:rsidRPr="00DE3292" w:rsidRDefault="004D653E" w:rsidP="004D653E">
      <w:pPr>
        <w:pStyle w:val="Participant"/>
      </w:pPr>
      <w:r w:rsidRPr="00DE3292">
        <w:t>Mr Claude MEISCH</w:t>
      </w:r>
      <w:r w:rsidRPr="00DE3292">
        <w:tab/>
        <w:t>Minister for National Education, Children and Young People, Minister for Higher Education and Research</w:t>
      </w:r>
    </w:p>
    <w:p w:rsidR="004D653E" w:rsidRPr="00DE3292" w:rsidRDefault="004D653E" w:rsidP="004D653E">
      <w:pPr>
        <w:pStyle w:val="ParticipantGroup"/>
        <w:outlineLvl w:val="0"/>
      </w:pPr>
      <w:r w:rsidRPr="00DE3292">
        <w:lastRenderedPageBreak/>
        <w:t>Hungary:</w:t>
      </w:r>
    </w:p>
    <w:p w:rsidR="004D653E" w:rsidRPr="00DE3292" w:rsidRDefault="004D653E" w:rsidP="004704BA">
      <w:pPr>
        <w:pStyle w:val="Participant"/>
      </w:pPr>
      <w:r w:rsidRPr="00DE3292">
        <w:t>M</w:t>
      </w:r>
      <w:r w:rsidR="004704BA">
        <w:t>s</w:t>
      </w:r>
      <w:r w:rsidRPr="00DE3292">
        <w:t xml:space="preserve"> Katalin NOVÁK</w:t>
      </w:r>
      <w:r w:rsidRPr="00DE3292">
        <w:tab/>
        <w:t>Minister of State for Family and Youth Affairs, Ministry of Human Resources</w:t>
      </w:r>
    </w:p>
    <w:p w:rsidR="004D653E" w:rsidRPr="00DE3292" w:rsidRDefault="004D653E" w:rsidP="004D653E">
      <w:pPr>
        <w:pStyle w:val="Participant"/>
      </w:pPr>
      <w:r w:rsidRPr="00DE3292">
        <w:t>Mr László MODORI</w:t>
      </w:r>
      <w:r w:rsidRPr="00DE3292">
        <w:tab/>
        <w:t>Deputy State Secretary for the Labour Market</w:t>
      </w:r>
    </w:p>
    <w:p w:rsidR="004D653E" w:rsidRPr="00DE3292" w:rsidRDefault="004D653E" w:rsidP="004D653E">
      <w:pPr>
        <w:pStyle w:val="ParticipantGroup"/>
        <w:tabs>
          <w:tab w:val="left" w:pos="1100"/>
        </w:tabs>
        <w:outlineLvl w:val="0"/>
      </w:pPr>
      <w:r w:rsidRPr="00DE3292">
        <w:t>Malta:</w:t>
      </w:r>
    </w:p>
    <w:p w:rsidR="004D653E" w:rsidRPr="00DE3292" w:rsidRDefault="004D653E" w:rsidP="00762BCF">
      <w:pPr>
        <w:pStyle w:val="Participant"/>
      </w:pPr>
      <w:r w:rsidRPr="00DE3292">
        <w:t>Mr Neil KERR</w:t>
      </w:r>
      <w:r w:rsidRPr="00DE3292">
        <w:tab/>
        <w:t>Deputy Permanent Representative</w:t>
      </w:r>
    </w:p>
    <w:p w:rsidR="004D653E" w:rsidRPr="00DE3292" w:rsidRDefault="004D653E" w:rsidP="004D653E">
      <w:pPr>
        <w:pStyle w:val="ParticipantGroup"/>
        <w:outlineLvl w:val="0"/>
      </w:pPr>
      <w:r w:rsidRPr="00DE3292">
        <w:t>Netherlands:</w:t>
      </w:r>
    </w:p>
    <w:p w:rsidR="004D653E" w:rsidRPr="00DE3292" w:rsidRDefault="004D653E" w:rsidP="00762BCF">
      <w:pPr>
        <w:pStyle w:val="Participant"/>
      </w:pPr>
      <w:r w:rsidRPr="00DE3292">
        <w:t>Mr Lodewijk ASSCHER</w:t>
      </w:r>
      <w:r w:rsidRPr="00DE3292">
        <w:tab/>
        <w:t>Deputy Prime Minister, Minister for Social Affairs and Employment</w:t>
      </w:r>
    </w:p>
    <w:p w:rsidR="004D653E" w:rsidRPr="00DE3292" w:rsidRDefault="004D653E" w:rsidP="004D653E">
      <w:pPr>
        <w:pStyle w:val="ParticipantGroup"/>
        <w:outlineLvl w:val="0"/>
      </w:pPr>
      <w:r w:rsidRPr="00DE3292">
        <w:t>Austria:</w:t>
      </w:r>
    </w:p>
    <w:p w:rsidR="004D653E" w:rsidRPr="00DE3292" w:rsidRDefault="004D653E" w:rsidP="004D653E">
      <w:pPr>
        <w:pStyle w:val="Participant"/>
      </w:pPr>
      <w:r w:rsidRPr="00DE3292">
        <w:t>Mr Rudolf HUNDSTORFER</w:t>
      </w:r>
      <w:r w:rsidRPr="00DE3292">
        <w:tab/>
        <w:t>Federal Minister for Labour, Social Affairs and Consumer Protection</w:t>
      </w:r>
    </w:p>
    <w:p w:rsidR="004D653E" w:rsidRPr="00DE3292" w:rsidRDefault="004D653E" w:rsidP="004D653E">
      <w:pPr>
        <w:pStyle w:val="Participant"/>
        <w:rPr>
          <w:b/>
          <w:u w:val="single"/>
        </w:rPr>
      </w:pPr>
      <w:r w:rsidRPr="00DE3292">
        <w:t>Mr Gregor SCHUSTERSCHITZ</w:t>
      </w:r>
      <w:r w:rsidRPr="00DE3292">
        <w:tab/>
        <w:t>Deputy Permanent Representative</w:t>
      </w:r>
    </w:p>
    <w:p w:rsidR="004D653E" w:rsidRPr="00DE3292" w:rsidRDefault="004D653E" w:rsidP="004D653E">
      <w:pPr>
        <w:pStyle w:val="ParticipantGroup"/>
        <w:outlineLvl w:val="0"/>
      </w:pPr>
      <w:r w:rsidRPr="00DE3292">
        <w:t>Poland:</w:t>
      </w:r>
    </w:p>
    <w:p w:rsidR="004D653E" w:rsidRPr="00DE3292" w:rsidRDefault="004D653E" w:rsidP="00A60AF4">
      <w:pPr>
        <w:pStyle w:val="Participant"/>
      </w:pPr>
      <w:r w:rsidRPr="00DE3292">
        <w:t>Mr Władysław KOSINIAK-KAMYSZ</w:t>
      </w:r>
      <w:r w:rsidRPr="00DE3292">
        <w:tab/>
        <w:t>Minister for Labour and Social Policy</w:t>
      </w:r>
    </w:p>
    <w:p w:rsidR="004D653E" w:rsidRPr="00DE3292" w:rsidRDefault="004D653E" w:rsidP="004D653E">
      <w:pPr>
        <w:pStyle w:val="ParticipantGroup"/>
        <w:outlineLvl w:val="0"/>
      </w:pPr>
      <w:r w:rsidRPr="00DE3292">
        <w:t>Portugal:</w:t>
      </w:r>
    </w:p>
    <w:p w:rsidR="004D653E" w:rsidRPr="00DE3292" w:rsidRDefault="004D653E" w:rsidP="00762BCF">
      <w:pPr>
        <w:pStyle w:val="Participant"/>
      </w:pPr>
      <w:r w:rsidRPr="00DE3292">
        <w:t>Mr Pedro MOTA SOARES</w:t>
      </w:r>
      <w:r w:rsidRPr="00DE3292">
        <w:tab/>
        <w:t>Minister for Solidarity, Employment and Social Security</w:t>
      </w:r>
    </w:p>
    <w:p w:rsidR="004D653E" w:rsidRPr="00DE3292" w:rsidRDefault="004D653E" w:rsidP="004D653E">
      <w:pPr>
        <w:pStyle w:val="ParticipantGroup"/>
        <w:outlineLvl w:val="0"/>
      </w:pPr>
      <w:r w:rsidRPr="00DE3292">
        <w:t>Romania:</w:t>
      </w:r>
    </w:p>
    <w:p w:rsidR="004D653E" w:rsidRPr="00DE3292" w:rsidRDefault="004D653E" w:rsidP="00762BCF">
      <w:pPr>
        <w:pStyle w:val="Participant"/>
        <w:rPr>
          <w:lang w:eastAsia="de-DE"/>
        </w:rPr>
      </w:pPr>
      <w:r w:rsidRPr="00DE3292">
        <w:rPr>
          <w:lang w:eastAsia="de-DE"/>
        </w:rPr>
        <w:t>Mr Cristian BĂDESCU</w:t>
      </w:r>
      <w:r w:rsidRPr="00DE3292">
        <w:rPr>
          <w:lang w:eastAsia="de-DE"/>
        </w:rPr>
        <w:tab/>
        <w:t>Deputy Permanent Representative</w:t>
      </w:r>
    </w:p>
    <w:p w:rsidR="004D653E" w:rsidRPr="00DE3292" w:rsidRDefault="004D653E" w:rsidP="004D653E">
      <w:pPr>
        <w:pStyle w:val="ParticipantGroup"/>
        <w:outlineLvl w:val="0"/>
      </w:pPr>
      <w:r w:rsidRPr="00DE3292">
        <w:t>Slovenia:</w:t>
      </w:r>
    </w:p>
    <w:p w:rsidR="004D653E" w:rsidRPr="00DE3292" w:rsidRDefault="004D653E" w:rsidP="00762BCF">
      <w:pPr>
        <w:pStyle w:val="Participant"/>
        <w:rPr>
          <w:lang w:eastAsia="de-DE"/>
        </w:rPr>
      </w:pPr>
      <w:r w:rsidRPr="00DE3292">
        <w:rPr>
          <w:lang w:eastAsia="de-DE"/>
        </w:rPr>
        <w:t>Ms Anja KOPAČ MRAK</w:t>
      </w:r>
      <w:r w:rsidRPr="00DE3292">
        <w:rPr>
          <w:lang w:eastAsia="de-DE"/>
        </w:rPr>
        <w:tab/>
        <w:t>Minister for Labour, Family, Social Affairs and Equal Opportunities</w:t>
      </w:r>
    </w:p>
    <w:p w:rsidR="004D653E" w:rsidRPr="00DE3292" w:rsidRDefault="004D653E" w:rsidP="004D653E">
      <w:pPr>
        <w:pStyle w:val="ParticipantGroup"/>
        <w:outlineLvl w:val="0"/>
      </w:pPr>
      <w:r w:rsidRPr="00DE3292">
        <w:t>Slovakia:</w:t>
      </w:r>
    </w:p>
    <w:p w:rsidR="004D653E" w:rsidRPr="00DE3292" w:rsidRDefault="004D653E" w:rsidP="00762BCF">
      <w:pPr>
        <w:pStyle w:val="Participant"/>
      </w:pPr>
      <w:r w:rsidRPr="00DE3292">
        <w:t>Mr Branislav ONDRUŠ</w:t>
      </w:r>
      <w:r w:rsidRPr="00DE3292">
        <w:tab/>
        <w:t>State Secretary at the Ministry of Labour, Social Affairs and the Family</w:t>
      </w:r>
    </w:p>
    <w:p w:rsidR="004D653E" w:rsidRPr="00DE3292" w:rsidRDefault="004D653E" w:rsidP="004D653E">
      <w:pPr>
        <w:pStyle w:val="ParticipantGroup"/>
        <w:outlineLvl w:val="0"/>
      </w:pPr>
      <w:r w:rsidRPr="00DE3292">
        <w:t>Finland:</w:t>
      </w:r>
    </w:p>
    <w:p w:rsidR="004D653E" w:rsidRPr="00DE3292" w:rsidRDefault="004D653E" w:rsidP="00762BCF">
      <w:pPr>
        <w:pStyle w:val="Participant"/>
        <w:rPr>
          <w:lang w:eastAsia="de-DE"/>
        </w:rPr>
      </w:pPr>
      <w:r w:rsidRPr="00DE3292">
        <w:rPr>
          <w:lang w:eastAsia="de-DE"/>
        </w:rPr>
        <w:t>Mr Lauri IHALAINEN</w:t>
      </w:r>
      <w:r w:rsidRPr="00DE3292">
        <w:rPr>
          <w:lang w:eastAsia="de-DE"/>
        </w:rPr>
        <w:tab/>
        <w:t>Minister for Labour</w:t>
      </w:r>
    </w:p>
    <w:p w:rsidR="004D653E" w:rsidRPr="00DE3292" w:rsidRDefault="004D653E" w:rsidP="00762BCF">
      <w:pPr>
        <w:pStyle w:val="Participant"/>
        <w:rPr>
          <w:lang w:eastAsia="de-DE"/>
        </w:rPr>
      </w:pPr>
      <w:r w:rsidRPr="00DE3292">
        <w:rPr>
          <w:lang w:eastAsia="de-DE"/>
        </w:rPr>
        <w:t>Ms Laura RÄTY</w:t>
      </w:r>
      <w:r w:rsidRPr="00DE3292">
        <w:rPr>
          <w:lang w:eastAsia="de-DE"/>
        </w:rPr>
        <w:tab/>
        <w:t>Minister for Social Affairs and Health</w:t>
      </w:r>
    </w:p>
    <w:p w:rsidR="004D653E" w:rsidRPr="00DE3292" w:rsidRDefault="004D653E" w:rsidP="004D653E">
      <w:pPr>
        <w:pStyle w:val="ParticipantGroup"/>
        <w:outlineLvl w:val="0"/>
      </w:pPr>
      <w:r w:rsidRPr="00DE3292">
        <w:t>Sweden:</w:t>
      </w:r>
    </w:p>
    <w:p w:rsidR="004D653E" w:rsidRPr="00DE3292" w:rsidRDefault="004D653E" w:rsidP="00762BCF">
      <w:pPr>
        <w:pStyle w:val="Participant"/>
        <w:rPr>
          <w:lang w:eastAsia="de-DE"/>
        </w:rPr>
      </w:pPr>
      <w:r w:rsidRPr="00DE3292">
        <w:rPr>
          <w:lang w:eastAsia="de-DE"/>
        </w:rPr>
        <w:t>Ms Ylva JOHANSSON</w:t>
      </w:r>
      <w:r w:rsidRPr="00DE3292">
        <w:rPr>
          <w:lang w:eastAsia="de-DE"/>
        </w:rPr>
        <w:tab/>
        <w:t>Minister for Employment</w:t>
      </w:r>
    </w:p>
    <w:p w:rsidR="004D653E" w:rsidRPr="00DE3292" w:rsidRDefault="004D653E" w:rsidP="00762BCF">
      <w:pPr>
        <w:pStyle w:val="Participant"/>
        <w:rPr>
          <w:lang w:eastAsia="de-DE"/>
        </w:rPr>
      </w:pPr>
      <w:r w:rsidRPr="00DE3292">
        <w:rPr>
          <w:lang w:eastAsia="de-DE"/>
        </w:rPr>
        <w:t>Ms Pernilla BARALT</w:t>
      </w:r>
      <w:r w:rsidRPr="00DE3292">
        <w:rPr>
          <w:lang w:eastAsia="de-DE"/>
        </w:rPr>
        <w:tab/>
        <w:t xml:space="preserve">State Secretary to </w:t>
      </w:r>
      <w:r w:rsidR="001806EC">
        <w:rPr>
          <w:lang w:eastAsia="de-DE"/>
        </w:rPr>
        <w:t xml:space="preserve">the </w:t>
      </w:r>
      <w:r w:rsidRPr="00DE3292">
        <w:rPr>
          <w:lang w:eastAsia="de-DE"/>
        </w:rPr>
        <w:t>Minister for Children, the Elderly and Gender Equality</w:t>
      </w:r>
    </w:p>
    <w:p w:rsidR="004D653E" w:rsidRPr="00DE3292" w:rsidRDefault="004D653E" w:rsidP="004D653E">
      <w:pPr>
        <w:pStyle w:val="ParticipantGroup"/>
      </w:pPr>
      <w:r w:rsidRPr="00DE3292">
        <w:t>United Kingdom:</w:t>
      </w:r>
    </w:p>
    <w:p w:rsidR="004D653E" w:rsidRPr="00DE3292" w:rsidRDefault="004D653E" w:rsidP="00762BCF">
      <w:pPr>
        <w:pStyle w:val="Participant"/>
        <w:rPr>
          <w:lang w:eastAsia="de-DE"/>
        </w:rPr>
      </w:pPr>
      <w:r w:rsidRPr="00DE3292">
        <w:rPr>
          <w:lang w:eastAsia="de-DE"/>
        </w:rPr>
        <w:t>Ms Esther McVEY</w:t>
      </w:r>
      <w:r w:rsidRPr="00DE3292">
        <w:rPr>
          <w:lang w:eastAsia="de-DE"/>
        </w:rPr>
        <w:tab/>
        <w:t>Minister of State for Employment, Department for Work and Pensions</w:t>
      </w:r>
    </w:p>
    <w:p w:rsidR="004D653E" w:rsidRPr="00DE3292" w:rsidRDefault="004D653E" w:rsidP="004D653E">
      <w:pPr>
        <w:pStyle w:val="ParticipantsSeparator"/>
      </w:pPr>
    </w:p>
    <w:p w:rsidR="004D653E" w:rsidRPr="00DE3292" w:rsidRDefault="004D653E" w:rsidP="004D653E">
      <w:pPr>
        <w:pStyle w:val="ParticipantGroup"/>
        <w:rPr>
          <w:b w:val="0"/>
        </w:rPr>
      </w:pPr>
      <w:r w:rsidRPr="00DE3292">
        <w:t>Commission</w:t>
      </w:r>
      <w:r w:rsidRPr="00DE3292">
        <w:rPr>
          <w:b w:val="0"/>
        </w:rPr>
        <w:t>:</w:t>
      </w:r>
    </w:p>
    <w:p w:rsidR="004D653E" w:rsidRPr="00DE3292" w:rsidRDefault="004D653E" w:rsidP="00A60AF4">
      <w:pPr>
        <w:pStyle w:val="Participant"/>
        <w:rPr>
          <w:lang w:eastAsia="de-DE"/>
        </w:rPr>
      </w:pPr>
      <w:r w:rsidRPr="00DE3292">
        <w:rPr>
          <w:lang w:eastAsia="de-DE"/>
        </w:rPr>
        <w:t>M</w:t>
      </w:r>
      <w:r w:rsidR="00240D79">
        <w:rPr>
          <w:lang w:eastAsia="de-DE"/>
        </w:rPr>
        <w:t>r</w:t>
      </w:r>
      <w:r w:rsidRPr="00DE3292">
        <w:rPr>
          <w:lang w:eastAsia="de-DE"/>
        </w:rPr>
        <w:t xml:space="preserve"> Valdis DOMBROVSKIS</w:t>
      </w:r>
      <w:r w:rsidRPr="00DE3292">
        <w:rPr>
          <w:lang w:eastAsia="de-DE"/>
        </w:rPr>
        <w:tab/>
      </w:r>
      <w:r w:rsidR="00240D79">
        <w:rPr>
          <w:lang w:eastAsia="de-DE"/>
        </w:rPr>
        <w:t>Vice President</w:t>
      </w:r>
    </w:p>
    <w:p w:rsidR="004D653E" w:rsidRPr="00DE3292" w:rsidRDefault="004D653E" w:rsidP="00D672F8">
      <w:pPr>
        <w:pStyle w:val="Participant"/>
        <w:rPr>
          <w:lang w:eastAsia="de-DE"/>
        </w:rPr>
      </w:pPr>
      <w:r w:rsidRPr="00DE3292">
        <w:rPr>
          <w:lang w:eastAsia="de-DE"/>
        </w:rPr>
        <w:t>M</w:t>
      </w:r>
      <w:r w:rsidR="00240D79">
        <w:rPr>
          <w:lang w:eastAsia="de-DE"/>
        </w:rPr>
        <w:t>s</w:t>
      </w:r>
      <w:r w:rsidRPr="00DE3292">
        <w:rPr>
          <w:lang w:eastAsia="de-DE"/>
        </w:rPr>
        <w:t xml:space="preserve"> Marianne THYSSEN</w:t>
      </w:r>
      <w:r w:rsidRPr="00DE3292">
        <w:rPr>
          <w:lang w:eastAsia="de-DE"/>
        </w:rPr>
        <w:tab/>
      </w:r>
      <w:r w:rsidR="00240D79">
        <w:rPr>
          <w:lang w:eastAsia="de-DE"/>
        </w:rPr>
        <w:t>Member</w:t>
      </w:r>
    </w:p>
    <w:p w:rsidR="004D653E" w:rsidRPr="00DE3292" w:rsidRDefault="004D653E" w:rsidP="00D672F8">
      <w:pPr>
        <w:pStyle w:val="Participant"/>
        <w:rPr>
          <w:lang w:eastAsia="de-DE"/>
        </w:rPr>
      </w:pPr>
      <w:r w:rsidRPr="00DE3292">
        <w:rPr>
          <w:lang w:eastAsia="de-DE"/>
        </w:rPr>
        <w:t>M</w:t>
      </w:r>
      <w:r w:rsidR="00240D79">
        <w:rPr>
          <w:lang w:eastAsia="de-DE"/>
        </w:rPr>
        <w:t>s</w:t>
      </w:r>
      <w:r w:rsidRPr="00DE3292">
        <w:rPr>
          <w:lang w:eastAsia="de-DE"/>
        </w:rPr>
        <w:t xml:space="preserve"> Věra JOUROVÁ</w:t>
      </w:r>
      <w:r w:rsidRPr="00DE3292">
        <w:rPr>
          <w:lang w:eastAsia="de-DE"/>
        </w:rPr>
        <w:tab/>
      </w:r>
      <w:r w:rsidR="00240D79">
        <w:rPr>
          <w:lang w:eastAsia="de-DE"/>
        </w:rPr>
        <w:t>Member</w:t>
      </w:r>
    </w:p>
    <w:p w:rsidR="004D653E" w:rsidRPr="00DE3292" w:rsidRDefault="004D653E" w:rsidP="00D672F8">
      <w:pPr>
        <w:pStyle w:val="Participant"/>
        <w:rPr>
          <w:lang w:eastAsia="de-DE"/>
        </w:rPr>
      </w:pPr>
      <w:r w:rsidRPr="00DE3292">
        <w:rPr>
          <w:lang w:eastAsia="de-DE"/>
        </w:rPr>
        <w:t>M</w:t>
      </w:r>
      <w:r w:rsidR="00240D79">
        <w:rPr>
          <w:lang w:eastAsia="de-DE"/>
        </w:rPr>
        <w:t>r</w:t>
      </w:r>
      <w:r w:rsidRPr="00DE3292">
        <w:rPr>
          <w:lang w:eastAsia="de-DE"/>
        </w:rPr>
        <w:t xml:space="preserve"> Tibor NAVRACSICS</w:t>
      </w:r>
      <w:r w:rsidRPr="00DE3292">
        <w:rPr>
          <w:lang w:eastAsia="de-DE"/>
        </w:rPr>
        <w:tab/>
      </w:r>
      <w:r w:rsidR="00240D79">
        <w:rPr>
          <w:lang w:eastAsia="de-DE"/>
        </w:rPr>
        <w:t>Member</w:t>
      </w:r>
    </w:p>
    <w:p w:rsidR="00E254A8" w:rsidRPr="00DE3292" w:rsidRDefault="00E254A8" w:rsidP="00E254A8">
      <w:pPr>
        <w:pStyle w:val="Participant"/>
      </w:pPr>
      <w:r w:rsidRPr="00DE3292">
        <w:tab/>
      </w:r>
    </w:p>
    <w:p w:rsidR="00E254A8" w:rsidRPr="00DE3292" w:rsidRDefault="00E254A8" w:rsidP="00E254A8">
      <w:pPr>
        <w:sectPr w:rsidR="00E254A8" w:rsidRPr="00DE3292" w:rsidSect="0044262A">
          <w:headerReference w:type="even" r:id="rId24"/>
          <w:footerReference w:type="even" r:id="rId25"/>
          <w:headerReference w:type="first" r:id="rId26"/>
          <w:footerReference w:type="first" r:id="rId27"/>
          <w:footnotePr>
            <w:numRestart w:val="eachPage"/>
          </w:footnotePr>
          <w:pgSz w:w="11907" w:h="16840" w:code="9"/>
          <w:pgMar w:top="1134" w:right="1134" w:bottom="1134" w:left="1134" w:header="567" w:footer="567" w:gutter="0"/>
          <w:cols w:space="708"/>
          <w:docGrid w:linePitch="360"/>
        </w:sectPr>
      </w:pPr>
    </w:p>
    <w:p w:rsidR="00E254A8" w:rsidRPr="00DE3292" w:rsidRDefault="00E254A8" w:rsidP="00E254A8">
      <w:pPr>
        <w:pStyle w:val="ItemsDebatedHeading"/>
      </w:pPr>
      <w:r w:rsidRPr="00DE3292">
        <w:lastRenderedPageBreak/>
        <w:t>ITEMS DEBATED</w:t>
      </w:r>
    </w:p>
    <w:p w:rsidR="00896AB1" w:rsidRPr="00DE3292" w:rsidRDefault="00896AB1" w:rsidP="00896AB1">
      <w:pPr>
        <w:pStyle w:val="ItemDebated"/>
      </w:pPr>
      <w:bookmarkStart w:id="6" w:name="_Toc410394820"/>
      <w:r w:rsidRPr="00DE3292">
        <w:t>EMPLOYMENT AND SOCIAL POLICY</w:t>
      </w:r>
      <w:bookmarkEnd w:id="6"/>
    </w:p>
    <w:p w:rsidR="00896AB1" w:rsidRPr="00DE3292" w:rsidRDefault="00896AB1" w:rsidP="00896AB1">
      <w:pPr>
        <w:pStyle w:val="Sub-itemDebated"/>
      </w:pPr>
      <w:bookmarkStart w:id="7" w:name="_Toc410394821"/>
      <w:r w:rsidRPr="00DE3292">
        <w:t>Youth employment</w:t>
      </w:r>
      <w:bookmarkEnd w:id="7"/>
    </w:p>
    <w:p w:rsidR="00E70C28" w:rsidRPr="00DE3292" w:rsidRDefault="00E70C28" w:rsidP="00A60AF4">
      <w:pPr>
        <w:outlineLvl w:val="0"/>
        <w:rPr>
          <w:rFonts w:ascii="Arial" w:hAnsi="Arial" w:cs="Arial"/>
        </w:rPr>
      </w:pPr>
      <w:r w:rsidRPr="00DE3292">
        <w:t xml:space="preserve">The Council held an exchange of views on youth employment together with the ministers </w:t>
      </w:r>
      <w:r w:rsidR="009F4E01">
        <w:t>for</w:t>
      </w:r>
      <w:r w:rsidR="009F4E01" w:rsidRPr="00DE3292">
        <w:t xml:space="preserve"> </w:t>
      </w:r>
      <w:r w:rsidRPr="00DE3292">
        <w:t xml:space="preserve">education </w:t>
      </w:r>
      <w:r w:rsidR="00491C4B">
        <w:t>of</w:t>
      </w:r>
      <w:r w:rsidR="00491C4B" w:rsidRPr="00DE3292">
        <w:t xml:space="preserve"> </w:t>
      </w:r>
      <w:r w:rsidRPr="00DE3292">
        <w:t xml:space="preserve">the </w:t>
      </w:r>
      <w:r w:rsidR="009F4E01">
        <w:t>t</w:t>
      </w:r>
      <w:r w:rsidRPr="00DE3292">
        <w:t>rio (IT-LV-LU); it called upon member states to step up their ongoing efforts to tackle the problem of youth unemployment and to continue to follow up this matter as a matter of urgency</w:t>
      </w:r>
      <w:r w:rsidRPr="00DE3292">
        <w:rPr>
          <w:rFonts w:ascii="Arial" w:hAnsi="Arial" w:cs="Arial"/>
        </w:rPr>
        <w:t xml:space="preserve"> </w:t>
      </w:r>
      <w:r w:rsidRPr="00DE3292">
        <w:rPr>
          <w:i/>
          <w:iCs/>
        </w:rPr>
        <w:t>(</w:t>
      </w:r>
      <w:hyperlink r:id="rId28" w:tooltip="http://register.consilium.europa.eu/pdf/en/14/st15/st15949.en14.pdf" w:history="1">
        <w:r w:rsidRPr="00DE3292">
          <w:rPr>
            <w:rStyle w:val="Hyperlink"/>
            <w:i/>
            <w:iCs/>
          </w:rPr>
          <w:t>15949/14</w:t>
        </w:r>
      </w:hyperlink>
      <w:r w:rsidRPr="00DE3292">
        <w:rPr>
          <w:i/>
          <w:iCs/>
        </w:rPr>
        <w:t>)</w:t>
      </w:r>
      <w:r w:rsidRPr="00DE3292">
        <w:t>.</w:t>
      </w:r>
    </w:p>
    <w:p w:rsidR="00E70C28" w:rsidRPr="00DE3292" w:rsidRDefault="00E70C28" w:rsidP="00E70C28">
      <w:pPr>
        <w:outlineLvl w:val="0"/>
      </w:pPr>
      <w:r w:rsidRPr="00DE3292">
        <w:t xml:space="preserve">Ministers expressed their satisfaction </w:t>
      </w:r>
      <w:r w:rsidR="001D6581">
        <w:t xml:space="preserve">at </w:t>
      </w:r>
      <w:r w:rsidRPr="00DE3292">
        <w:t>having a dialogue with their education colleagues</w:t>
      </w:r>
      <w:r w:rsidR="009707DC">
        <w:t>,</w:t>
      </w:r>
      <w:r w:rsidRPr="00DE3292">
        <w:t xml:space="preserve"> since youth employment is a cross-cutting issue linked to education, skills, training and competences.</w:t>
      </w:r>
    </w:p>
    <w:p w:rsidR="00E70C28" w:rsidRPr="00DE3292" w:rsidRDefault="00E70C28" w:rsidP="00A60AF4">
      <w:pPr>
        <w:outlineLvl w:val="0"/>
      </w:pPr>
      <w:r w:rsidRPr="00DE3292">
        <w:t xml:space="preserve">They pointed out that investing in employability is vital; overcoming high levels of unemployment is a major challenge for </w:t>
      </w:r>
      <w:r w:rsidR="009707DC">
        <w:t xml:space="preserve">the </w:t>
      </w:r>
      <w:r w:rsidRPr="00DE3292">
        <w:t>EU</w:t>
      </w:r>
      <w:r w:rsidR="001828CE" w:rsidRPr="00DE3292">
        <w:t>'s</w:t>
      </w:r>
      <w:r w:rsidRPr="00DE3292">
        <w:t xml:space="preserve"> credibility </w:t>
      </w:r>
      <w:r w:rsidR="009E6D97">
        <w:t>in</w:t>
      </w:r>
      <w:r w:rsidR="009E6D97" w:rsidRPr="00DE3292">
        <w:t xml:space="preserve"> </w:t>
      </w:r>
      <w:r w:rsidRPr="00DE3292">
        <w:t>the years ahead.</w:t>
      </w:r>
    </w:p>
    <w:p w:rsidR="00E70C28" w:rsidRPr="00DE3292" w:rsidRDefault="00E70C28" w:rsidP="00D672F8">
      <w:pPr>
        <w:outlineLvl w:val="0"/>
      </w:pPr>
      <w:r w:rsidRPr="00DE3292">
        <w:t>The EU needs a</w:t>
      </w:r>
      <w:r w:rsidR="009E6D97">
        <w:t>n</w:t>
      </w:r>
      <w:r w:rsidRPr="00DE3292">
        <w:t xml:space="preserve"> ambitious </w:t>
      </w:r>
      <w:r w:rsidR="009E6D97">
        <w:t xml:space="preserve">new </w:t>
      </w:r>
      <w:r w:rsidRPr="00DE3292">
        <w:t>approach to respond to global challenges by better matching competences and skills with the demands and needs of the labour market.</w:t>
      </w:r>
    </w:p>
    <w:p w:rsidR="00E70C28" w:rsidRPr="00DE3292" w:rsidRDefault="00E70C28" w:rsidP="00D672F8">
      <w:pPr>
        <w:outlineLvl w:val="0"/>
      </w:pPr>
      <w:r w:rsidRPr="00DE3292">
        <w:t>The member states should ensure an effective transition from education</w:t>
      </w:r>
      <w:r w:rsidR="001828CE" w:rsidRPr="00DE3292">
        <w:t xml:space="preserve"> </w:t>
      </w:r>
      <w:r w:rsidRPr="00DE3292">
        <w:t xml:space="preserve">to work; young people have to be informed about the requirements of the labour market. Young people need to be </w:t>
      </w:r>
      <w:r w:rsidR="00544C4A" w:rsidRPr="00DE3292">
        <w:t xml:space="preserve">offered </w:t>
      </w:r>
      <w:r w:rsidRPr="00DE3292">
        <w:t xml:space="preserve">apprenticeships, paid traineeships and </w:t>
      </w:r>
      <w:r w:rsidR="003C35F5">
        <w:t xml:space="preserve">opportunities to acquire </w:t>
      </w:r>
      <w:r w:rsidRPr="00DE3292">
        <w:t>language skills since they come from a different background.</w:t>
      </w:r>
    </w:p>
    <w:p w:rsidR="001828CE" w:rsidRPr="00DE3292" w:rsidRDefault="00E70C28" w:rsidP="00BD720A">
      <w:pPr>
        <w:outlineLvl w:val="0"/>
      </w:pPr>
      <w:r w:rsidRPr="00DE3292">
        <w:t>The economic development of the EU depends</w:t>
      </w:r>
      <w:r w:rsidR="00FD346D">
        <w:t>,</w:t>
      </w:r>
      <w:r w:rsidRPr="00DE3292">
        <w:t xml:space="preserve"> among other</w:t>
      </w:r>
      <w:r w:rsidR="00FD346D">
        <w:t xml:space="preserve"> thing</w:t>
      </w:r>
      <w:r w:rsidRPr="00DE3292">
        <w:t>s</w:t>
      </w:r>
      <w:r w:rsidR="00FD346D">
        <w:t>,</w:t>
      </w:r>
      <w:r w:rsidRPr="00DE3292">
        <w:t xml:space="preserve"> on youth training and skills. The EU should </w:t>
      </w:r>
      <w:r w:rsidR="00BD720A">
        <w:t xml:space="preserve">encourage </w:t>
      </w:r>
      <w:r w:rsidRPr="00DE3292">
        <w:t xml:space="preserve">entrepreneurial spirit among young people, </w:t>
      </w:r>
      <w:r w:rsidRPr="00D2608A">
        <w:t>pushing them to take more risks</w:t>
      </w:r>
      <w:r w:rsidRPr="00DE3292">
        <w:t>.</w:t>
      </w:r>
    </w:p>
    <w:p w:rsidR="00E70C28" w:rsidRPr="00DE3292" w:rsidRDefault="00E70C28" w:rsidP="00D672F8">
      <w:pPr>
        <w:outlineLvl w:val="0"/>
      </w:pPr>
      <w:r w:rsidRPr="00DE3292">
        <w:t xml:space="preserve">Youth employment remains high on the political agenda. Investment needs to be boosted, both nationally and at EU level, to support the economic and employment recovery, </w:t>
      </w:r>
      <w:r w:rsidR="00217066">
        <w:t>facilitating</w:t>
      </w:r>
      <w:r w:rsidR="00217066" w:rsidRPr="00DE3292">
        <w:t xml:space="preserve"> </w:t>
      </w:r>
      <w:r w:rsidRPr="00DE3292">
        <w:t>the integration of unemployed young people into the labour market.</w:t>
      </w:r>
    </w:p>
    <w:p w:rsidR="00E70C28" w:rsidRPr="00DE3292" w:rsidRDefault="00614A33" w:rsidP="00F52562">
      <w:pPr>
        <w:outlineLvl w:val="0"/>
      </w:pPr>
      <w:r w:rsidRPr="00DE3292">
        <w:br w:type="page"/>
      </w:r>
      <w:r w:rsidR="00E70C28" w:rsidRPr="00DE3292">
        <w:lastRenderedPageBreak/>
        <w:t>Investing in education and skills for employment</w:t>
      </w:r>
      <w:r w:rsidR="00E70C28" w:rsidRPr="00DE3292" w:rsidDel="007427E9">
        <w:t xml:space="preserve"> </w:t>
      </w:r>
      <w:r w:rsidR="00E70C28" w:rsidRPr="00DE3292">
        <w:t>is key in order for the EU to increase its global competitiveness, while safeguarding its model of economic development and social cohesion. It is also crucial to build a stronger relationship between the institutions in charge of education and training (in particular schools and universities) and companies. This will not only improve training for young people and facilitate their transition from school to work, but will also ensure they have the right skills, increasing their employability, mobility and flexibility. Social partners have a special responsibility in this context.</w:t>
      </w:r>
    </w:p>
    <w:p w:rsidR="00E70C28" w:rsidRPr="00DE3292" w:rsidRDefault="00E70C28" w:rsidP="00A60AF4">
      <w:pPr>
        <w:outlineLvl w:val="0"/>
      </w:pPr>
      <w:r w:rsidRPr="00DE3292">
        <w:t xml:space="preserve">A number of initiatives in this field have already been taken and are ongoing both at national and EU level, such as the recommendation on establishing a youth guarantee, the European alliance for apprenticeships </w:t>
      </w:r>
      <w:r w:rsidR="00FD346D">
        <w:t>and</w:t>
      </w:r>
      <w:r w:rsidRPr="00DE3292">
        <w:t xml:space="preserve"> the quality framework for traineeships.</w:t>
      </w:r>
    </w:p>
    <w:p w:rsidR="00896AB1" w:rsidRPr="00DE3292" w:rsidRDefault="00896AB1" w:rsidP="00D672F8">
      <w:pPr>
        <w:pStyle w:val="Sub-itemDebated"/>
      </w:pPr>
      <w:bookmarkStart w:id="8" w:name="_Toc410394822"/>
      <w:r w:rsidRPr="00DE3292">
        <w:t>EURES (E</w:t>
      </w:r>
      <w:r w:rsidR="00734541">
        <w:t>ur</w:t>
      </w:r>
      <w:r w:rsidRPr="00DE3292">
        <w:t>opean employment services) network</w:t>
      </w:r>
      <w:bookmarkEnd w:id="8"/>
    </w:p>
    <w:p w:rsidR="00896AB1" w:rsidRPr="00DE3292" w:rsidRDefault="00896AB1" w:rsidP="00D672F8">
      <w:pPr>
        <w:pStyle w:val="EntEmet"/>
        <w:spacing w:after="120"/>
        <w:rPr>
          <w:rFonts w:eastAsia="Calibri"/>
          <w:szCs w:val="24"/>
          <w:lang w:eastAsia="en-GB"/>
        </w:rPr>
      </w:pPr>
      <w:r w:rsidRPr="00DE3292">
        <w:rPr>
          <w:rFonts w:eastAsia="Calibri"/>
          <w:szCs w:val="24"/>
          <w:lang w:eastAsia="en-GB"/>
        </w:rPr>
        <w:t xml:space="preserve">The Council reached a general approach on a regulation which establishes new rules </w:t>
      </w:r>
      <w:r w:rsidR="00734541">
        <w:rPr>
          <w:rFonts w:eastAsia="Calibri"/>
          <w:szCs w:val="24"/>
          <w:lang w:eastAsia="en-GB"/>
        </w:rPr>
        <w:t xml:space="preserve">to </w:t>
      </w:r>
      <w:r w:rsidRPr="00DE3292">
        <w:rPr>
          <w:rFonts w:eastAsia="Calibri"/>
          <w:szCs w:val="24"/>
          <w:lang w:eastAsia="en-GB"/>
        </w:rPr>
        <w:t>improv</w:t>
      </w:r>
      <w:r w:rsidR="00734541">
        <w:rPr>
          <w:rFonts w:eastAsia="Calibri"/>
          <w:szCs w:val="24"/>
          <w:lang w:eastAsia="en-GB"/>
        </w:rPr>
        <w:t>e</w:t>
      </w:r>
      <w:r w:rsidRPr="00DE3292">
        <w:rPr>
          <w:rFonts w:eastAsia="Calibri"/>
          <w:szCs w:val="24"/>
          <w:lang w:eastAsia="en-GB"/>
        </w:rPr>
        <w:t xml:space="preserve"> the efficiency of EURES as well as the cooperation among member states </w:t>
      </w:r>
      <w:r w:rsidRPr="00DE3292">
        <w:rPr>
          <w:rFonts w:eastAsia="Calibri"/>
          <w:i/>
          <w:iCs/>
          <w:szCs w:val="24"/>
          <w:lang w:eastAsia="en-GB"/>
        </w:rPr>
        <w:t>(</w:t>
      </w:r>
      <w:hyperlink r:id="rId29" w:tooltip="http://register.consilium.europa.eu/pdf/en/14/st16/st16333.en14.pdf" w:history="1">
        <w:r w:rsidR="004E25BA" w:rsidRPr="00DE3292">
          <w:rPr>
            <w:rStyle w:val="Hyperlink"/>
            <w:rFonts w:eastAsia="Calibri"/>
            <w:i/>
            <w:iCs/>
            <w:szCs w:val="24"/>
            <w:lang w:eastAsia="en-GB"/>
          </w:rPr>
          <w:t>16333/14</w:t>
        </w:r>
      </w:hyperlink>
      <w:r w:rsidRPr="00DE3292">
        <w:rPr>
          <w:rFonts w:eastAsia="Calibri"/>
          <w:i/>
          <w:iCs/>
          <w:szCs w:val="24"/>
          <w:lang w:eastAsia="en-GB"/>
        </w:rPr>
        <w:t xml:space="preserve"> + </w:t>
      </w:r>
      <w:hyperlink r:id="rId30" w:tooltip="http://register.consilium.europa.eu/pdf/en/14/st16/st16333-co01.en14.pdf" w:history="1">
        <w:r w:rsidR="004E25BA" w:rsidRPr="00DE3292">
          <w:rPr>
            <w:rStyle w:val="Hyperlink"/>
            <w:rFonts w:eastAsia="Calibri"/>
            <w:i/>
            <w:iCs/>
            <w:szCs w:val="24"/>
            <w:lang w:eastAsia="en-GB"/>
          </w:rPr>
          <w:t>16333/14 COR1</w:t>
        </w:r>
      </w:hyperlink>
      <w:r w:rsidRPr="00DE3292">
        <w:rPr>
          <w:rFonts w:eastAsia="Calibri"/>
          <w:i/>
          <w:iCs/>
          <w:szCs w:val="24"/>
          <w:lang w:eastAsia="en-GB"/>
        </w:rPr>
        <w:t>)</w:t>
      </w:r>
      <w:r w:rsidRPr="00DE3292">
        <w:rPr>
          <w:rFonts w:eastAsia="Calibri"/>
          <w:szCs w:val="24"/>
          <w:lang w:eastAsia="en-GB"/>
        </w:rPr>
        <w:t>.</w:t>
      </w:r>
    </w:p>
    <w:p w:rsidR="00896AB1" w:rsidRPr="00DE3292" w:rsidRDefault="00896AB1" w:rsidP="00D672F8">
      <w:pPr>
        <w:pStyle w:val="EntEmet"/>
        <w:spacing w:after="120"/>
        <w:rPr>
          <w:rFonts w:eastAsia="Calibri"/>
          <w:szCs w:val="24"/>
          <w:lang w:eastAsia="en-GB"/>
        </w:rPr>
      </w:pPr>
      <w:r w:rsidRPr="00DE3292">
        <w:rPr>
          <w:rFonts w:eastAsia="Calibri"/>
          <w:szCs w:val="24"/>
          <w:lang w:eastAsia="en-GB"/>
        </w:rPr>
        <w:t xml:space="preserve">The </w:t>
      </w:r>
      <w:r w:rsidR="00544BB2">
        <w:rPr>
          <w:rFonts w:eastAsia="Calibri"/>
          <w:szCs w:val="24"/>
          <w:lang w:eastAsia="en-GB"/>
        </w:rPr>
        <w:t>improved</w:t>
      </w:r>
      <w:r w:rsidR="00544BB2" w:rsidRPr="00DE3292">
        <w:rPr>
          <w:rFonts w:eastAsia="Calibri"/>
          <w:szCs w:val="24"/>
          <w:lang w:eastAsia="en-GB"/>
        </w:rPr>
        <w:t xml:space="preserve"> </w:t>
      </w:r>
      <w:r w:rsidRPr="00DE3292">
        <w:rPr>
          <w:rFonts w:eastAsia="Calibri"/>
          <w:szCs w:val="24"/>
          <w:lang w:eastAsia="en-GB"/>
        </w:rPr>
        <w:t xml:space="preserve">EURES network </w:t>
      </w:r>
      <w:r w:rsidR="00544BB2">
        <w:rPr>
          <w:rFonts w:eastAsia="Calibri"/>
          <w:szCs w:val="24"/>
          <w:lang w:eastAsia="en-GB"/>
        </w:rPr>
        <w:t>offers</w:t>
      </w:r>
      <w:r w:rsidR="00544BB2" w:rsidRPr="00DE3292">
        <w:rPr>
          <w:rFonts w:eastAsia="Calibri"/>
          <w:szCs w:val="24"/>
          <w:lang w:eastAsia="en-GB"/>
        </w:rPr>
        <w:t xml:space="preserve"> </w:t>
      </w:r>
      <w:r w:rsidRPr="00DE3292">
        <w:rPr>
          <w:rFonts w:eastAsia="Calibri"/>
          <w:szCs w:val="24"/>
          <w:lang w:eastAsia="en-GB"/>
        </w:rPr>
        <w:t xml:space="preserve">workers </w:t>
      </w:r>
      <w:r w:rsidR="00544BB2">
        <w:rPr>
          <w:rFonts w:eastAsia="Calibri"/>
          <w:szCs w:val="24"/>
          <w:lang w:eastAsia="en-GB"/>
        </w:rPr>
        <w:t>enhanced assistance to</w:t>
      </w:r>
      <w:r w:rsidRPr="00DE3292">
        <w:rPr>
          <w:rFonts w:eastAsia="Calibri"/>
          <w:szCs w:val="24"/>
          <w:lang w:eastAsia="en-GB"/>
        </w:rPr>
        <w:t xml:space="preserve"> overcom</w:t>
      </w:r>
      <w:r w:rsidR="00544BB2">
        <w:rPr>
          <w:rFonts w:eastAsia="Calibri"/>
          <w:szCs w:val="24"/>
          <w:lang w:eastAsia="en-GB"/>
        </w:rPr>
        <w:t>e</w:t>
      </w:r>
      <w:r w:rsidRPr="00DE3292">
        <w:rPr>
          <w:rFonts w:eastAsia="Calibri"/>
          <w:szCs w:val="24"/>
          <w:lang w:eastAsia="en-GB"/>
        </w:rPr>
        <w:t xml:space="preserve"> barriers to mobility, increases access to employment opportunities throughout the EU and facilitates job creation by helping to better match supply and demand in the labour market.</w:t>
      </w:r>
    </w:p>
    <w:p w:rsidR="00896AB1" w:rsidRPr="00DE3292" w:rsidRDefault="00896AB1" w:rsidP="00896AB1">
      <w:pPr>
        <w:pStyle w:val="EntEmet"/>
        <w:spacing w:after="120"/>
        <w:rPr>
          <w:rFonts w:eastAsia="Calibri"/>
          <w:szCs w:val="24"/>
          <w:lang w:eastAsia="en-GB"/>
        </w:rPr>
      </w:pPr>
      <w:r w:rsidRPr="00DE3292">
        <w:rPr>
          <w:rFonts w:eastAsia="Calibri"/>
          <w:szCs w:val="24"/>
          <w:lang w:eastAsia="en-GB"/>
        </w:rPr>
        <w:t>The aim is to strengthen the capacity of the existing EURES network so that it becomes more accessible and user friendly for EU citizens.</w:t>
      </w:r>
    </w:p>
    <w:p w:rsidR="00896AB1" w:rsidRPr="00DE3292" w:rsidRDefault="00896AB1" w:rsidP="00A60AF4">
      <w:pPr>
        <w:pStyle w:val="EntEmet"/>
        <w:spacing w:after="120"/>
        <w:rPr>
          <w:rFonts w:eastAsia="Calibri"/>
          <w:szCs w:val="24"/>
          <w:lang w:eastAsia="en-GB"/>
        </w:rPr>
      </w:pPr>
      <w:r w:rsidRPr="00DE3292">
        <w:rPr>
          <w:rFonts w:eastAsia="Calibri"/>
          <w:szCs w:val="24"/>
          <w:lang w:eastAsia="en-GB"/>
        </w:rPr>
        <w:t xml:space="preserve">The final Council text followed the Commission proposal in opening up the network to private partners, but it obliges profit-making employment agencies to provide all </w:t>
      </w:r>
      <w:r w:rsidR="009E080B">
        <w:rPr>
          <w:rFonts w:eastAsia="Calibri"/>
          <w:szCs w:val="24"/>
          <w:lang w:eastAsia="en-GB"/>
        </w:rPr>
        <w:t xml:space="preserve">the </w:t>
      </w:r>
      <w:r w:rsidRPr="00DE3292">
        <w:rPr>
          <w:rFonts w:eastAsia="Calibri"/>
          <w:szCs w:val="24"/>
          <w:lang w:eastAsia="en-GB"/>
        </w:rPr>
        <w:t xml:space="preserve">core services </w:t>
      </w:r>
      <w:r w:rsidR="009E080B">
        <w:rPr>
          <w:rFonts w:eastAsia="Calibri"/>
          <w:szCs w:val="24"/>
          <w:lang w:eastAsia="en-GB"/>
        </w:rPr>
        <w:t>included</w:t>
      </w:r>
      <w:r w:rsidR="009E080B" w:rsidRPr="00DE3292">
        <w:rPr>
          <w:rFonts w:eastAsia="Calibri"/>
          <w:szCs w:val="24"/>
          <w:lang w:eastAsia="en-GB"/>
        </w:rPr>
        <w:t xml:space="preserve"> </w:t>
      </w:r>
      <w:r w:rsidRPr="00DE3292">
        <w:rPr>
          <w:rFonts w:eastAsia="Calibri"/>
          <w:szCs w:val="24"/>
          <w:lang w:eastAsia="en-GB"/>
        </w:rPr>
        <w:t xml:space="preserve">in the regulation. This substantially </w:t>
      </w:r>
      <w:r w:rsidR="009E080B" w:rsidRPr="00DE3292">
        <w:rPr>
          <w:rFonts w:eastAsia="Calibri"/>
          <w:szCs w:val="24"/>
          <w:lang w:eastAsia="en-GB"/>
        </w:rPr>
        <w:t xml:space="preserve">increases </w:t>
      </w:r>
      <w:r w:rsidRPr="00DE3292">
        <w:rPr>
          <w:rFonts w:eastAsia="Calibri"/>
          <w:szCs w:val="24"/>
          <w:lang w:eastAsia="en-GB"/>
        </w:rPr>
        <w:t>the pool of vacancies.</w:t>
      </w:r>
    </w:p>
    <w:p w:rsidR="00896AB1" w:rsidRPr="00DE3292" w:rsidRDefault="00896AB1" w:rsidP="00D672F8">
      <w:pPr>
        <w:pStyle w:val="EntEmet"/>
        <w:spacing w:after="120"/>
        <w:rPr>
          <w:rFonts w:eastAsia="Calibri"/>
          <w:szCs w:val="24"/>
          <w:lang w:eastAsia="en-GB"/>
        </w:rPr>
      </w:pPr>
      <w:r w:rsidRPr="00DE3292">
        <w:rPr>
          <w:rFonts w:eastAsia="Calibri"/>
          <w:szCs w:val="24"/>
          <w:lang w:eastAsia="en-GB"/>
        </w:rPr>
        <w:t xml:space="preserve">Member states have to set up an admission procedure, while </w:t>
      </w:r>
      <w:r w:rsidR="00AA3C40">
        <w:rPr>
          <w:rFonts w:eastAsia="Calibri"/>
          <w:szCs w:val="24"/>
          <w:lang w:eastAsia="en-GB"/>
        </w:rPr>
        <w:t>maintaining a</w:t>
      </w:r>
      <w:r w:rsidRPr="00DE3292">
        <w:rPr>
          <w:rFonts w:eastAsia="Calibri"/>
          <w:szCs w:val="24"/>
          <w:lang w:eastAsia="en-GB"/>
        </w:rPr>
        <w:t xml:space="preserve"> certain </w:t>
      </w:r>
      <w:r w:rsidR="00AA3C40">
        <w:rPr>
          <w:rFonts w:eastAsia="Calibri"/>
          <w:szCs w:val="24"/>
          <w:lang w:eastAsia="en-GB"/>
        </w:rPr>
        <w:t xml:space="preserve">degree of </w:t>
      </w:r>
      <w:r w:rsidRPr="00DE3292">
        <w:rPr>
          <w:rFonts w:eastAsia="Calibri"/>
          <w:szCs w:val="24"/>
          <w:lang w:eastAsia="en-GB"/>
        </w:rPr>
        <w:t>flexibility to adapt it to their national systems; public employment services are given privileged status in line with their specia</w:t>
      </w:r>
      <w:r w:rsidR="00FD420C" w:rsidRPr="00DE3292">
        <w:rPr>
          <w:rFonts w:eastAsia="Calibri"/>
          <w:szCs w:val="24"/>
          <w:lang w:eastAsia="en-GB"/>
        </w:rPr>
        <w:t>l role and national obligations.</w:t>
      </w:r>
    </w:p>
    <w:p w:rsidR="00896AB1" w:rsidRPr="00DE3292" w:rsidRDefault="00896AB1" w:rsidP="00D672F8">
      <w:pPr>
        <w:pStyle w:val="EntEmet"/>
        <w:spacing w:after="120"/>
        <w:rPr>
          <w:rFonts w:eastAsia="Calibri"/>
          <w:szCs w:val="24"/>
          <w:lang w:eastAsia="en-GB"/>
        </w:rPr>
      </w:pPr>
      <w:r w:rsidRPr="00DE3292">
        <w:rPr>
          <w:rFonts w:eastAsia="Calibri"/>
          <w:szCs w:val="24"/>
          <w:lang w:eastAsia="en-GB"/>
        </w:rPr>
        <w:t>Workers and employers with good prospects of finding a job or filling a post receive tailor-made assistance</w:t>
      </w:r>
      <w:r w:rsidR="00AA3C40">
        <w:rPr>
          <w:rFonts w:eastAsia="Calibri"/>
          <w:szCs w:val="24"/>
          <w:lang w:eastAsia="en-GB"/>
        </w:rPr>
        <w:t xml:space="preserve"> in addition to</w:t>
      </w:r>
      <w:r w:rsidR="00AA3C40" w:rsidRPr="00DE3292">
        <w:rPr>
          <w:rFonts w:eastAsia="Calibri"/>
          <w:szCs w:val="24"/>
          <w:lang w:eastAsia="en-GB"/>
        </w:rPr>
        <w:t xml:space="preserve"> general information</w:t>
      </w:r>
      <w:r w:rsidRPr="00DE3292">
        <w:rPr>
          <w:rFonts w:eastAsia="Calibri"/>
          <w:szCs w:val="24"/>
          <w:lang w:eastAsia="en-GB"/>
        </w:rPr>
        <w:t>.</w:t>
      </w:r>
    </w:p>
    <w:p w:rsidR="00896AB1" w:rsidRPr="00DE3292" w:rsidRDefault="00896AB1" w:rsidP="00D672F8">
      <w:pPr>
        <w:pStyle w:val="EntEmet"/>
        <w:spacing w:after="120"/>
        <w:rPr>
          <w:rFonts w:eastAsia="Calibri"/>
          <w:szCs w:val="24"/>
          <w:lang w:eastAsia="en-GB"/>
        </w:rPr>
      </w:pPr>
      <w:r w:rsidRPr="00DE3292">
        <w:rPr>
          <w:rFonts w:eastAsia="Calibri"/>
          <w:szCs w:val="24"/>
          <w:lang w:eastAsia="en-GB"/>
        </w:rPr>
        <w:t xml:space="preserve">An automated system to match vacancies with job applications, based on the interoperability of national classifications with the European classification of skills/competences, qualifications and occupations (ESCO), improves the chances of both workers and employers </w:t>
      </w:r>
      <w:r w:rsidR="00852181">
        <w:rPr>
          <w:rFonts w:eastAsia="Calibri"/>
          <w:szCs w:val="24"/>
          <w:lang w:eastAsia="en-GB"/>
        </w:rPr>
        <w:t>having</w:t>
      </w:r>
      <w:r w:rsidR="00852181" w:rsidRPr="00DE3292">
        <w:rPr>
          <w:rFonts w:eastAsia="Calibri"/>
          <w:szCs w:val="24"/>
          <w:lang w:eastAsia="en-GB"/>
        </w:rPr>
        <w:t xml:space="preserve"> </w:t>
      </w:r>
      <w:r w:rsidRPr="00DE3292">
        <w:rPr>
          <w:rFonts w:eastAsia="Calibri"/>
          <w:szCs w:val="24"/>
          <w:lang w:eastAsia="en-GB"/>
        </w:rPr>
        <w:t>their expectations</w:t>
      </w:r>
      <w:r w:rsidR="00852181">
        <w:rPr>
          <w:rFonts w:eastAsia="Calibri"/>
          <w:szCs w:val="24"/>
          <w:lang w:eastAsia="en-GB"/>
        </w:rPr>
        <w:t xml:space="preserve"> met</w:t>
      </w:r>
      <w:r w:rsidRPr="00DE3292">
        <w:rPr>
          <w:rFonts w:eastAsia="Calibri"/>
          <w:szCs w:val="24"/>
          <w:lang w:eastAsia="en-GB"/>
        </w:rPr>
        <w:t>. The final compromise includes a new implementing act on the adoption and updat</w:t>
      </w:r>
      <w:r w:rsidR="000071BC">
        <w:rPr>
          <w:rFonts w:eastAsia="Calibri"/>
          <w:szCs w:val="24"/>
          <w:lang w:eastAsia="en-GB"/>
        </w:rPr>
        <w:t>ing</w:t>
      </w:r>
      <w:r w:rsidRPr="00DE3292">
        <w:rPr>
          <w:rFonts w:eastAsia="Calibri"/>
          <w:szCs w:val="24"/>
          <w:lang w:eastAsia="en-GB"/>
        </w:rPr>
        <w:t xml:space="preserve"> of a selective list of skills/competences and occupations for the use of the EURES network, giving the member states a formal say in the adoption of the list.</w:t>
      </w:r>
    </w:p>
    <w:p w:rsidR="00896AB1" w:rsidRPr="00DE3292" w:rsidRDefault="00614A33" w:rsidP="008231F9">
      <w:pPr>
        <w:pStyle w:val="EntEmet"/>
        <w:spacing w:after="120"/>
        <w:rPr>
          <w:rFonts w:eastAsia="Calibri"/>
          <w:szCs w:val="24"/>
          <w:lang w:eastAsia="en-GB"/>
        </w:rPr>
      </w:pPr>
      <w:r w:rsidRPr="00DE3292">
        <w:rPr>
          <w:rFonts w:eastAsia="Calibri"/>
          <w:szCs w:val="24"/>
          <w:lang w:eastAsia="en-GB"/>
        </w:rPr>
        <w:br w:type="page"/>
      </w:r>
      <w:r w:rsidR="00896AB1" w:rsidRPr="00DE3292">
        <w:rPr>
          <w:rFonts w:eastAsia="Calibri"/>
          <w:szCs w:val="24"/>
          <w:lang w:eastAsia="en-GB"/>
        </w:rPr>
        <w:lastRenderedPageBreak/>
        <w:t xml:space="preserve">Apprenticeships and traineeships are included in the scope of the regulation, but limited to those outside educational or vocational curricula and training or those </w:t>
      </w:r>
      <w:r w:rsidR="008231F9">
        <w:rPr>
          <w:rFonts w:eastAsia="Calibri"/>
          <w:szCs w:val="24"/>
          <w:lang w:eastAsia="en-GB"/>
        </w:rPr>
        <w:t xml:space="preserve">which are </w:t>
      </w:r>
      <w:r w:rsidR="005E58E7">
        <w:rPr>
          <w:rFonts w:eastAsia="Calibri"/>
          <w:szCs w:val="24"/>
          <w:lang w:eastAsia="en-GB"/>
        </w:rPr>
        <w:t xml:space="preserve">not </w:t>
      </w:r>
      <w:r w:rsidR="00896AB1" w:rsidRPr="00DE3292">
        <w:rPr>
          <w:rFonts w:eastAsia="Calibri"/>
          <w:szCs w:val="24"/>
          <w:lang w:eastAsia="en-GB"/>
        </w:rPr>
        <w:t>funded publicly, as part of the member state's active labour market policies.</w:t>
      </w:r>
    </w:p>
    <w:p w:rsidR="00896AB1" w:rsidRPr="00DE3292" w:rsidRDefault="00896AB1" w:rsidP="00896AB1">
      <w:pPr>
        <w:pStyle w:val="EntEmet"/>
        <w:spacing w:after="120"/>
        <w:rPr>
          <w:rFonts w:eastAsia="Calibri"/>
          <w:szCs w:val="24"/>
          <w:lang w:eastAsia="en-GB"/>
        </w:rPr>
      </w:pPr>
      <w:r w:rsidRPr="00DE3292">
        <w:rPr>
          <w:rFonts w:eastAsia="Calibri"/>
          <w:szCs w:val="24"/>
          <w:lang w:eastAsia="en-GB"/>
        </w:rPr>
        <w:t xml:space="preserve">The final text also provides for </w:t>
      </w:r>
      <w:r w:rsidR="008231F9">
        <w:rPr>
          <w:rFonts w:eastAsia="Calibri"/>
          <w:szCs w:val="24"/>
          <w:lang w:eastAsia="en-GB"/>
        </w:rPr>
        <w:t xml:space="preserve">a </w:t>
      </w:r>
      <w:r w:rsidRPr="00DE3292">
        <w:rPr>
          <w:rFonts w:eastAsia="Calibri"/>
          <w:szCs w:val="24"/>
          <w:lang w:eastAsia="en-GB"/>
        </w:rPr>
        <w:t>one</w:t>
      </w:r>
      <w:r w:rsidR="008231F9">
        <w:rPr>
          <w:rFonts w:eastAsia="Calibri"/>
          <w:szCs w:val="24"/>
          <w:lang w:eastAsia="en-GB"/>
        </w:rPr>
        <w:t>-</w:t>
      </w:r>
      <w:r w:rsidRPr="00DE3292">
        <w:rPr>
          <w:rFonts w:eastAsia="Calibri"/>
          <w:szCs w:val="24"/>
          <w:lang w:eastAsia="en-GB"/>
        </w:rPr>
        <w:t>year derogation from the admission procedure for the existing EURES partners to ensure a smooth transition from the old to the new legislative framework.</w:t>
      </w:r>
    </w:p>
    <w:p w:rsidR="00896AB1" w:rsidRPr="00DE3292" w:rsidRDefault="00896AB1" w:rsidP="00BE6BD1">
      <w:pPr>
        <w:pStyle w:val="EntEmet"/>
        <w:spacing w:after="120"/>
        <w:rPr>
          <w:rFonts w:eastAsia="Calibri"/>
          <w:szCs w:val="24"/>
          <w:lang w:eastAsia="en-GB"/>
        </w:rPr>
      </w:pPr>
      <w:r w:rsidRPr="00DE3292">
        <w:rPr>
          <w:rFonts w:eastAsia="Calibri"/>
          <w:szCs w:val="24"/>
          <w:lang w:eastAsia="en-GB"/>
        </w:rPr>
        <w:t xml:space="preserve">The European Parliament has not yet delivered its position </w:t>
      </w:r>
      <w:r w:rsidR="00BE6BD1" w:rsidRPr="00DE3292">
        <w:rPr>
          <w:rFonts w:eastAsia="Calibri"/>
          <w:szCs w:val="24"/>
          <w:lang w:eastAsia="en-GB"/>
        </w:rPr>
        <w:t>at</w:t>
      </w:r>
      <w:r w:rsidRPr="00DE3292">
        <w:rPr>
          <w:rFonts w:eastAsia="Calibri"/>
          <w:szCs w:val="24"/>
          <w:lang w:eastAsia="en-GB"/>
        </w:rPr>
        <w:t xml:space="preserve"> first reading.</w:t>
      </w:r>
    </w:p>
    <w:p w:rsidR="00896AB1" w:rsidRPr="00DE3292" w:rsidRDefault="00896AB1" w:rsidP="00614A33">
      <w:pPr>
        <w:pStyle w:val="Sub-itemDebated"/>
      </w:pPr>
      <w:bookmarkStart w:id="9" w:name="_Toc410394823"/>
      <w:r w:rsidRPr="00DE3292">
        <w:t>Seafarers</w:t>
      </w:r>
      <w:bookmarkEnd w:id="9"/>
    </w:p>
    <w:p w:rsidR="00896AB1" w:rsidRPr="00DE3292" w:rsidRDefault="00896AB1" w:rsidP="004E25BA">
      <w:pPr>
        <w:outlineLvl w:val="0"/>
      </w:pPr>
      <w:r w:rsidRPr="00DE3292">
        <w:t xml:space="preserve">The Council reached a general approach on an amending directive on seafarers </w:t>
      </w:r>
      <w:r w:rsidRPr="00DE3292">
        <w:rPr>
          <w:i/>
          <w:iCs/>
        </w:rPr>
        <w:t>(</w:t>
      </w:r>
      <w:hyperlink r:id="rId31" w:tooltip="http://register.consilium.europa.eu/pdf/en/14/st16/st16148-re01.en14.pdf" w:history="1">
        <w:r w:rsidRPr="00DE3292">
          <w:rPr>
            <w:rStyle w:val="Hyperlink"/>
            <w:i/>
            <w:iCs/>
          </w:rPr>
          <w:t>16148/1/14 REV1</w:t>
        </w:r>
      </w:hyperlink>
      <w:r w:rsidRPr="00DE3292">
        <w:rPr>
          <w:i/>
          <w:iCs/>
        </w:rPr>
        <w:t>)</w:t>
      </w:r>
      <w:r w:rsidRPr="00DE3292">
        <w:t>.</w:t>
      </w:r>
    </w:p>
    <w:p w:rsidR="00896AB1" w:rsidRPr="00DE3292" w:rsidRDefault="00896AB1" w:rsidP="00A60AF4">
      <w:pPr>
        <w:outlineLvl w:val="0"/>
      </w:pPr>
      <w:r w:rsidRPr="00DE3292">
        <w:t xml:space="preserve">The directive provides for more uniform protection of seafarers' labour rights, including the right to information and consultation, and gives seafarers the same rights as those enjoyed by workers on shore. It </w:t>
      </w:r>
      <w:r w:rsidR="006B0E79">
        <w:t xml:space="preserve">also </w:t>
      </w:r>
      <w:r w:rsidRPr="00DE3292">
        <w:t>takes into account the particular nature of the shipping sector.</w:t>
      </w:r>
    </w:p>
    <w:p w:rsidR="00896AB1" w:rsidRPr="00DE3292" w:rsidRDefault="00896AB1" w:rsidP="00896AB1">
      <w:pPr>
        <w:outlineLvl w:val="0"/>
      </w:pPr>
      <w:r w:rsidRPr="00DE3292">
        <w:t>The proposal aims to remedy the current legal situation</w:t>
      </w:r>
      <w:r w:rsidR="00A15D2D">
        <w:t>,</w:t>
      </w:r>
      <w:r w:rsidRPr="00DE3292">
        <w:t xml:space="preserve"> which gives rise to unequal treatment of the same category of workers by different member states, depending on whether or not they apply the exemptions and derogations allowed by the current legislation.</w:t>
      </w:r>
    </w:p>
    <w:p w:rsidR="00896AB1" w:rsidRPr="00DE3292" w:rsidRDefault="00896AB1" w:rsidP="00A60AF4">
      <w:pPr>
        <w:outlineLvl w:val="0"/>
      </w:pPr>
      <w:r w:rsidRPr="00DE3292">
        <w:t xml:space="preserve">In addition to ensuring a level playing field in the maritime sector, it also aims to increase the quality of maritime jobs in order to reverse the current decline in the numbers of young Europeans entering certain maritime professions and retain skilled workers in </w:t>
      </w:r>
      <w:r w:rsidR="00A15D2D">
        <w:t>those</w:t>
      </w:r>
      <w:r w:rsidRPr="00DE3292">
        <w:t xml:space="preserve"> profession</w:t>
      </w:r>
      <w:r w:rsidR="00A15D2D">
        <w:t>s</w:t>
      </w:r>
      <w:r w:rsidRPr="00DE3292">
        <w:t>.</w:t>
      </w:r>
    </w:p>
    <w:p w:rsidR="00896AB1" w:rsidRPr="00DE3292" w:rsidRDefault="00896AB1" w:rsidP="00852181">
      <w:pPr>
        <w:outlineLvl w:val="0"/>
      </w:pPr>
      <w:r w:rsidRPr="00DE3292">
        <w:t xml:space="preserve">The directive introduces more flexibility in the way five labour law directives are applied to seafarers, namely the directives on insolvency, European works councils, information and consultation, collective redundancies and transfer of undertakings. These directives are aimed at land-based workers and currently either exempt seagoing workers and/or fishermen or allow member states to exclude them from the scope </w:t>
      </w:r>
      <w:r w:rsidR="00852181">
        <w:t xml:space="preserve">of the legislation </w:t>
      </w:r>
      <w:r w:rsidRPr="00DE3292">
        <w:t>without express justification.</w:t>
      </w:r>
    </w:p>
    <w:p w:rsidR="00896AB1" w:rsidRPr="00DE3292" w:rsidRDefault="00896AB1" w:rsidP="00896AB1">
      <w:pPr>
        <w:outlineLvl w:val="0"/>
      </w:pPr>
      <w:r w:rsidRPr="00DE3292">
        <w:t>Maritime transport is an essential component of the European economy. A quarter of the world fleet flies a European flag and two million Europeans work in maritime industries.</w:t>
      </w:r>
    </w:p>
    <w:p w:rsidR="00896AB1" w:rsidRPr="00DE3292" w:rsidRDefault="00896AB1" w:rsidP="00896AB1">
      <w:pPr>
        <w:outlineLvl w:val="0"/>
      </w:pPr>
      <w:r w:rsidRPr="00DE3292">
        <w:t>Today more than ever, Europe's maritime economy needs a sufficient degree of regulatory flexibility to operate in a highly competitive global environment. This is also a sector where social dialogue plays a particular role in view of the prevailing diversified contractual relationships.</w:t>
      </w:r>
    </w:p>
    <w:p w:rsidR="00896AB1" w:rsidRPr="00DE3292" w:rsidRDefault="00896AB1" w:rsidP="00896AB1">
      <w:pPr>
        <w:outlineLvl w:val="0"/>
      </w:pPr>
      <w:r w:rsidRPr="00DE3292">
        <w:t>The European Parliament has not yet issued its opinion at first reading.</w:t>
      </w:r>
    </w:p>
    <w:p w:rsidR="00896AB1" w:rsidRPr="00DE3292" w:rsidRDefault="004E25BA" w:rsidP="00896AB1">
      <w:pPr>
        <w:pStyle w:val="Sub-itemDebated"/>
      </w:pPr>
      <w:r w:rsidRPr="00DE3292">
        <w:br w:type="page"/>
      </w:r>
      <w:bookmarkStart w:id="10" w:name="_Toc410394824"/>
      <w:r w:rsidR="00896AB1" w:rsidRPr="00DE3292">
        <w:lastRenderedPageBreak/>
        <w:t>Women on company boards</w:t>
      </w:r>
      <w:bookmarkEnd w:id="10"/>
    </w:p>
    <w:p w:rsidR="00896AB1" w:rsidRPr="00DE3292" w:rsidRDefault="00896AB1" w:rsidP="003B3F53">
      <w:pPr>
        <w:rPr>
          <w:iCs/>
        </w:rPr>
      </w:pPr>
      <w:r w:rsidRPr="00DE3292">
        <w:rPr>
          <w:iCs/>
        </w:rPr>
        <w:t xml:space="preserve">The Council </w:t>
      </w:r>
      <w:r w:rsidR="003B3F53" w:rsidRPr="00DE3292">
        <w:rPr>
          <w:iCs/>
        </w:rPr>
        <w:t xml:space="preserve">was not able to reach </w:t>
      </w:r>
      <w:r w:rsidRPr="00DE3292">
        <w:rPr>
          <w:iCs/>
        </w:rPr>
        <w:t>a g</w:t>
      </w:r>
      <w:r w:rsidR="003B3F53" w:rsidRPr="00DE3292">
        <w:rPr>
          <w:iCs/>
        </w:rPr>
        <w:t xml:space="preserve">eneral approach on a directive </w:t>
      </w:r>
      <w:r w:rsidRPr="00DE3292">
        <w:rPr>
          <w:iCs/>
        </w:rPr>
        <w:t xml:space="preserve">improving the gender balance on company boards </w:t>
      </w:r>
      <w:r w:rsidRPr="00DE3292">
        <w:rPr>
          <w:i/>
        </w:rPr>
        <w:t>(</w:t>
      </w:r>
      <w:hyperlink r:id="rId32" w:tooltip="http://register.consilium.europa.eu/pdf/en/14/st16/st16300.en14.pdf" w:history="1">
        <w:r w:rsidRPr="00DE3292">
          <w:rPr>
            <w:rStyle w:val="Hyperlink"/>
            <w:i/>
          </w:rPr>
          <w:t>16300/14</w:t>
        </w:r>
      </w:hyperlink>
      <w:r w:rsidRPr="00DE3292">
        <w:rPr>
          <w:i/>
        </w:rPr>
        <w:t>)</w:t>
      </w:r>
      <w:r w:rsidRPr="00DE3292">
        <w:rPr>
          <w:iCs/>
        </w:rPr>
        <w:t>.</w:t>
      </w:r>
    </w:p>
    <w:p w:rsidR="00896AB1" w:rsidRPr="00DE3292" w:rsidRDefault="00896AB1" w:rsidP="00A60AF4">
      <w:pPr>
        <w:outlineLvl w:val="0"/>
      </w:pPr>
      <w:r w:rsidRPr="00DE3292">
        <w:t xml:space="preserve">Aiming to address the serious problem of women's under-representation in economic decision-making at the highest level, the proposed directive would set a quantitative objective for the proportion of the under-represented sex on the boards of listed companies of 40 % by 2020 (by 2018 in the case of public undertakings). </w:t>
      </w:r>
      <w:r w:rsidR="00A15D2D">
        <w:t>C</w:t>
      </w:r>
      <w:r w:rsidRPr="00DE3292">
        <w:t xml:space="preserve">ompanies would be obliged to work towards that objective by, </w:t>
      </w:r>
      <w:r w:rsidRPr="00DE3292">
        <w:rPr>
          <w:i/>
          <w:iCs/>
        </w:rPr>
        <w:t>inter alia</w:t>
      </w:r>
      <w:r w:rsidRPr="00DE3292">
        <w:t>, introducing procedural rules on the selection and appointment of non-executive board members.</w:t>
      </w:r>
    </w:p>
    <w:p w:rsidR="00896AB1" w:rsidRPr="00DE3292" w:rsidRDefault="00896AB1" w:rsidP="00896AB1">
      <w:pPr>
        <w:outlineLvl w:val="0"/>
      </w:pPr>
      <w:r w:rsidRPr="00DE3292">
        <w:t>Companies which failed to reach the 40 % target would be required to continue to apply the procedural rules, as well as to explain what measures they had taken and intended to take in order to reach it. In member states that choose to apply the objective to both executive and non-executive directors, a lower target (33 %) would apply.</w:t>
      </w:r>
    </w:p>
    <w:p w:rsidR="00896AB1" w:rsidRPr="00DE3292" w:rsidRDefault="00896AB1" w:rsidP="002D5C5C">
      <w:pPr>
        <w:outlineLvl w:val="0"/>
      </w:pPr>
      <w:r w:rsidRPr="00DE3292">
        <w:t xml:space="preserve">Seeking a compromise on this proposal, the presidency has </w:t>
      </w:r>
      <w:r w:rsidR="002D5C5C">
        <w:t xml:space="preserve">tabled </w:t>
      </w:r>
      <w:r w:rsidRPr="00DE3292">
        <w:t xml:space="preserve">a </w:t>
      </w:r>
      <w:r w:rsidR="002D5C5C">
        <w:t xml:space="preserve">revised </w:t>
      </w:r>
      <w:r w:rsidRPr="00DE3292">
        <w:t>flexibility clause (article 4b) and extended the deadlines for implementation and reporting (articles 5, 8 and 9).</w:t>
      </w:r>
    </w:p>
    <w:p w:rsidR="00896AB1" w:rsidRPr="00DE3292" w:rsidRDefault="00896AB1" w:rsidP="00896AB1">
      <w:pPr>
        <w:widowControl w:val="0"/>
        <w:outlineLvl w:val="0"/>
        <w:rPr>
          <w:b/>
          <w:lang w:eastAsia="fr-BE"/>
        </w:rPr>
      </w:pPr>
      <w:r w:rsidRPr="00DE3292">
        <w:rPr>
          <w:b/>
          <w:lang w:eastAsia="fr-BE"/>
        </w:rPr>
        <w:t>Flexibility clause (article 4b)</w:t>
      </w:r>
    </w:p>
    <w:p w:rsidR="00896AB1" w:rsidRPr="00DE3292" w:rsidRDefault="00896AB1" w:rsidP="00896AB1">
      <w:pPr>
        <w:widowControl w:val="0"/>
        <w:ind w:left="709"/>
        <w:outlineLvl w:val="0"/>
      </w:pPr>
      <w:r w:rsidRPr="00DE3292">
        <w:t>Conceived in line with the principle of subsidiarity, the flexibility clause set out in article 4b would allow member states to pursue the aims of the directive by means of their own choosing and to suspend the procedural requirements, provided that they have already taken equally effective measures or attained progress coming close to the objectives set in the directive.</w:t>
      </w:r>
    </w:p>
    <w:p w:rsidR="00896AB1" w:rsidRPr="00DE3292" w:rsidRDefault="00896AB1" w:rsidP="00896AB1">
      <w:pPr>
        <w:widowControl w:val="0"/>
        <w:ind w:left="709"/>
        <w:outlineLvl w:val="0"/>
      </w:pPr>
      <w:r w:rsidRPr="00DE3292">
        <w:t>To combine flexibility with maximum legal certainty, article 4b defines the scenarios which would be deemed by law to guarantee "equal effectiveness"</w:t>
      </w:r>
      <w:r w:rsidR="00A15D2D">
        <w:t>.</w:t>
      </w:r>
      <w:r w:rsidRPr="00DE3292">
        <w:t xml:space="preserve"> It also leaves open the possibility that member states might be entitled to use the flexibility clause in other legitimate cases where equal effectiveness or sufficient progress had been demonstrated.</w:t>
      </w:r>
    </w:p>
    <w:p w:rsidR="00896AB1" w:rsidRPr="00DE3292" w:rsidRDefault="004E25BA" w:rsidP="00896AB1">
      <w:pPr>
        <w:widowControl w:val="0"/>
        <w:outlineLvl w:val="0"/>
        <w:rPr>
          <w:b/>
          <w:lang w:eastAsia="fr-BE"/>
        </w:rPr>
      </w:pPr>
      <w:r w:rsidRPr="00DE3292">
        <w:rPr>
          <w:b/>
          <w:lang w:eastAsia="fr-BE"/>
        </w:rPr>
        <w:br w:type="page"/>
      </w:r>
      <w:r w:rsidR="00896AB1" w:rsidRPr="00DE3292">
        <w:rPr>
          <w:b/>
          <w:lang w:eastAsia="fr-BE"/>
        </w:rPr>
        <w:lastRenderedPageBreak/>
        <w:t>Revised implementation and reporting calendar (articles 5, 8 and 9)</w:t>
      </w:r>
    </w:p>
    <w:p w:rsidR="00896AB1" w:rsidRPr="00DE3292" w:rsidRDefault="00896AB1" w:rsidP="00896AB1">
      <w:pPr>
        <w:widowControl w:val="0"/>
        <w:ind w:left="709"/>
        <w:outlineLvl w:val="0"/>
      </w:pPr>
      <w:r w:rsidRPr="00DE3292">
        <w:t>The revised implementation calendar would require the member states to transpose the directive no later than three years after its adoption (article 8). In the current text, the reporting deadlines have also been extended in line with this new implementation date (articles 5 and 9). The revised calendar would give member states and companies more time to prepare their own measures and to make progress, including any preparations for applying the flexibility clause.</w:t>
      </w:r>
    </w:p>
    <w:p w:rsidR="00896AB1" w:rsidRPr="00DE3292" w:rsidRDefault="00896AB1" w:rsidP="003B3F53">
      <w:pPr>
        <w:outlineLvl w:val="0"/>
      </w:pPr>
      <w:r w:rsidRPr="00DE3292">
        <w:t>The European Parliament has already adopted its position at first reading.</w:t>
      </w:r>
    </w:p>
    <w:p w:rsidR="00896AB1" w:rsidRPr="00DE3292" w:rsidRDefault="00896AB1" w:rsidP="00896AB1">
      <w:pPr>
        <w:pStyle w:val="Sub-itemDebated"/>
      </w:pPr>
      <w:bookmarkStart w:id="11" w:name="_Toc410394825"/>
      <w:r w:rsidRPr="00DE3292">
        <w:t>Equal treatment</w:t>
      </w:r>
      <w:bookmarkEnd w:id="11"/>
    </w:p>
    <w:p w:rsidR="00896AB1" w:rsidRPr="00DE3292" w:rsidRDefault="00896AB1" w:rsidP="00A60AF4">
      <w:pPr>
        <w:outlineLvl w:val="0"/>
      </w:pPr>
      <w:r w:rsidRPr="00DE3292">
        <w:t>Ministers had an orientation debate on the equal treatment directive</w:t>
      </w:r>
      <w:r w:rsidR="001C0938" w:rsidRPr="00DE3292">
        <w:t xml:space="preserve">. </w:t>
      </w:r>
      <w:r w:rsidR="00DC2A36" w:rsidRPr="00DE3292">
        <w:t>Summarising the discussions, t</w:t>
      </w:r>
      <w:r w:rsidR="001C0938" w:rsidRPr="00DE3292">
        <w:t xml:space="preserve">he presidency noted that </w:t>
      </w:r>
      <w:r w:rsidR="00A15D2D">
        <w:t>there</w:t>
      </w:r>
      <w:r w:rsidR="001C0938" w:rsidRPr="00DE3292">
        <w:t xml:space="preserve"> was considerable support </w:t>
      </w:r>
      <w:r w:rsidR="00A15D2D">
        <w:t>for</w:t>
      </w:r>
      <w:r w:rsidR="001C0938" w:rsidRPr="00DE3292">
        <w:t xml:space="preserve"> continu</w:t>
      </w:r>
      <w:r w:rsidR="00A15D2D">
        <w:t>ing</w:t>
      </w:r>
      <w:r w:rsidR="001C0938" w:rsidRPr="00DE3292">
        <w:t xml:space="preserve"> the work on this dossier </w:t>
      </w:r>
      <w:r w:rsidRPr="00DE3292">
        <w:t xml:space="preserve">in order to reach a unanimous agreement. The directive is designed to extend protection against discrimination on the grounds of religion or belief, disability, age or sexual orientation to areas outside employment </w:t>
      </w:r>
      <w:r w:rsidRPr="00DE3292">
        <w:rPr>
          <w:i/>
          <w:iCs/>
        </w:rPr>
        <w:t>(</w:t>
      </w:r>
      <w:hyperlink r:id="rId33" w:tooltip="http://register.consilium.europa.eu/pdf/en/14/st15/st15705-ad01re01.en14.pdf" w:history="1">
        <w:r w:rsidRPr="00DE3292">
          <w:rPr>
            <w:rStyle w:val="Hyperlink"/>
            <w:i/>
          </w:rPr>
          <w:t>15705/14 ADD 1 REV 2</w:t>
        </w:r>
      </w:hyperlink>
      <w:r w:rsidRPr="00DE3292">
        <w:t>).</w:t>
      </w:r>
    </w:p>
    <w:p w:rsidR="00896AB1" w:rsidRPr="00DE3292" w:rsidRDefault="00896AB1" w:rsidP="00896AB1">
      <w:pPr>
        <w:outlineLvl w:val="0"/>
      </w:pPr>
      <w:r w:rsidRPr="00DE3292">
        <w:t>Complementing existing EC legislation</w:t>
      </w:r>
      <w:r w:rsidRPr="00D672F8">
        <w:rPr>
          <w:b/>
          <w:vertAlign w:val="superscript"/>
        </w:rPr>
        <w:footnoteReference w:id="1"/>
      </w:r>
      <w:r w:rsidRPr="00DE3292">
        <w:t xml:space="preserve"> in this area, the proposed directive would prohibit discrimination on the above-mentioned grounds in the following areas: social protection, including social security and healthcare; education; and access to goods and services, including housing.</w:t>
      </w:r>
    </w:p>
    <w:p w:rsidR="00896AB1" w:rsidRPr="00DE3292" w:rsidRDefault="00896AB1" w:rsidP="00896AB1">
      <w:pPr>
        <w:outlineLvl w:val="0"/>
      </w:pPr>
      <w:r w:rsidRPr="00DE3292">
        <w:t>The directive has been on the Council's agenda since 2008. Extensive discussions and redrafting exercises in the Council working party have not led to the desired breakthrough. The directive is seen as a priority by the new Commission.</w:t>
      </w:r>
    </w:p>
    <w:p w:rsidR="00896AB1" w:rsidRPr="00DE3292" w:rsidRDefault="004E25BA" w:rsidP="00614A33">
      <w:pPr>
        <w:pStyle w:val="Sub-itemDebated"/>
      </w:pPr>
      <w:r w:rsidRPr="00DE3292">
        <w:br w:type="page"/>
      </w:r>
      <w:bookmarkStart w:id="12" w:name="_Toc410394826"/>
      <w:r w:rsidR="00896AB1" w:rsidRPr="00DE3292">
        <w:lastRenderedPageBreak/>
        <w:t>Maternity leave</w:t>
      </w:r>
      <w:bookmarkEnd w:id="12"/>
    </w:p>
    <w:p w:rsidR="00896AB1" w:rsidRPr="00DE3292" w:rsidRDefault="00896AB1" w:rsidP="0093043D">
      <w:pPr>
        <w:rPr>
          <w:bCs/>
        </w:rPr>
      </w:pPr>
      <w:r w:rsidRPr="00DE3292">
        <w:rPr>
          <w:bCs/>
        </w:rPr>
        <w:t>The presidency informed the Council on the latest developments concerning the maternity leave directive. This proposal has been the subject of informal contacts between the presidency and the European Parliament.</w:t>
      </w:r>
    </w:p>
    <w:p w:rsidR="00896AB1" w:rsidRPr="00DE3292" w:rsidRDefault="00896AB1" w:rsidP="00896AB1">
      <w:pPr>
        <w:rPr>
          <w:bCs/>
        </w:rPr>
      </w:pPr>
      <w:r w:rsidRPr="00DE3292">
        <w:rPr>
          <w:bCs/>
        </w:rPr>
        <w:t>The latest Council progress report was submitted to the EPSCO Council in December 2011.</w:t>
      </w:r>
    </w:p>
    <w:p w:rsidR="00896AB1" w:rsidRPr="00DE3292" w:rsidRDefault="00896AB1" w:rsidP="00A8589D">
      <w:pPr>
        <w:rPr>
          <w:bCs/>
        </w:rPr>
      </w:pPr>
      <w:r w:rsidRPr="00DE3292">
        <w:rPr>
          <w:bCs/>
        </w:rPr>
        <w:t>The presidency has tried to explore the possibility of reopening discussions with the new</w:t>
      </w:r>
      <w:r w:rsidR="00BC39B5">
        <w:rPr>
          <w:bCs/>
        </w:rPr>
        <w:t>ly</w:t>
      </w:r>
      <w:r w:rsidRPr="00DE3292">
        <w:rPr>
          <w:bCs/>
        </w:rPr>
        <w:t xml:space="preserve"> elected Parliament. </w:t>
      </w:r>
      <w:r w:rsidR="00A8589D">
        <w:rPr>
          <w:bCs/>
        </w:rPr>
        <w:t>Meanwhile</w:t>
      </w:r>
      <w:r w:rsidRPr="00DE3292">
        <w:rPr>
          <w:bCs/>
        </w:rPr>
        <w:t>, the Commission is considering withdrawing this proposal.</w:t>
      </w:r>
    </w:p>
    <w:p w:rsidR="00896AB1" w:rsidRPr="00DE3292" w:rsidRDefault="00896AB1" w:rsidP="00896AB1">
      <w:pPr>
        <w:rPr>
          <w:bCs/>
        </w:rPr>
      </w:pPr>
      <w:r w:rsidRPr="00DE3292">
        <w:rPr>
          <w:bCs/>
        </w:rPr>
        <w:t>The Commission's proposal would extend the minimum length of maternity leave from 14 weeks to 18 weeks, with a minimum allowance on a par with sick pay (as in the current directive). This would include compulsory leave of at least six weeks after childbirth (as compared with two weeks of compulsory leave before or after childbirth in the current directive).</w:t>
      </w:r>
    </w:p>
    <w:p w:rsidR="00896AB1" w:rsidRPr="00DE3292" w:rsidRDefault="00896AB1" w:rsidP="00896AB1">
      <w:pPr>
        <w:rPr>
          <w:bCs/>
        </w:rPr>
      </w:pPr>
      <w:r w:rsidRPr="00DE3292">
        <w:rPr>
          <w:bCs/>
        </w:rPr>
        <w:t>In its opinion, the European Parliament went considerably further, calling for 20 weeks of maternity leave on full pay, including six weeks of compulsory leave after childbirth.</w:t>
      </w:r>
    </w:p>
    <w:p w:rsidR="00896AB1" w:rsidRPr="00DE3292" w:rsidRDefault="00896AB1" w:rsidP="00896AB1">
      <w:pPr>
        <w:rPr>
          <w:bCs/>
        </w:rPr>
      </w:pPr>
      <w:r w:rsidRPr="00DE3292">
        <w:rPr>
          <w:bCs/>
        </w:rPr>
        <w:t>Discussions have shown that 20 weeks on full pay is unacceptable to the Council and an unrealistic basis for further discussion, particularly in the context of the economic crisis and the pressure to ensure fiscal consolidation.</w:t>
      </w:r>
    </w:p>
    <w:p w:rsidR="00896AB1" w:rsidRPr="00DE3292" w:rsidRDefault="00896AB1" w:rsidP="00896AB1">
      <w:pPr>
        <w:pStyle w:val="Sub-itemDebated"/>
      </w:pPr>
      <w:bookmarkStart w:id="13" w:name="_Toc410394827"/>
      <w:r w:rsidRPr="00DE3292">
        <w:t>Working time in inland waterway transport</w:t>
      </w:r>
      <w:bookmarkEnd w:id="13"/>
    </w:p>
    <w:p w:rsidR="00896AB1" w:rsidRPr="00DE3292" w:rsidRDefault="00896AB1" w:rsidP="00896AB1">
      <w:pPr>
        <w:pStyle w:val="EntEmet"/>
        <w:spacing w:after="120"/>
        <w:rPr>
          <w:szCs w:val="24"/>
        </w:rPr>
      </w:pPr>
      <w:r w:rsidRPr="00DE3292">
        <w:rPr>
          <w:szCs w:val="24"/>
        </w:rPr>
        <w:t xml:space="preserve">The Council reached a political agreement on a directive which concerns certain aspects of the organisation of working time in inland waterway transport </w:t>
      </w:r>
      <w:r w:rsidRPr="00DE3292">
        <w:rPr>
          <w:i/>
          <w:iCs/>
          <w:szCs w:val="24"/>
        </w:rPr>
        <w:t>(</w:t>
      </w:r>
      <w:hyperlink r:id="rId34" w:tooltip="http://register.consilium.europa.eu/pdf/en/14/st16/st16031.en14.pdf" w:history="1">
        <w:r w:rsidRPr="00DE3292">
          <w:rPr>
            <w:rStyle w:val="Hyperlink"/>
            <w:i/>
            <w:iCs/>
            <w:szCs w:val="24"/>
          </w:rPr>
          <w:t>16031/14</w:t>
        </w:r>
      </w:hyperlink>
      <w:r w:rsidRPr="00DE3292">
        <w:rPr>
          <w:i/>
          <w:iCs/>
          <w:szCs w:val="24"/>
        </w:rPr>
        <w:t xml:space="preserve"> </w:t>
      </w:r>
      <w:r w:rsidR="00FD5B64">
        <w:rPr>
          <w:i/>
          <w:iCs/>
          <w:szCs w:val="24"/>
        </w:rPr>
        <w:t xml:space="preserve">+ </w:t>
      </w:r>
      <w:hyperlink r:id="rId35" w:tooltip="http://register.consilium.europa.eu/pdf/en/14/st16/st16031-ad01.en14.pdf" w:history="1">
        <w:r w:rsidR="00B47A45">
          <w:rPr>
            <w:rStyle w:val="Hyperlink"/>
            <w:i/>
            <w:iCs/>
            <w:szCs w:val="24"/>
          </w:rPr>
          <w:t>16031/14 ADD 1</w:t>
        </w:r>
      </w:hyperlink>
      <w:r w:rsidR="00FD5B64">
        <w:rPr>
          <w:i/>
          <w:iCs/>
          <w:szCs w:val="24"/>
        </w:rPr>
        <w:t xml:space="preserve"> </w:t>
      </w:r>
      <w:r w:rsidRPr="00DE3292">
        <w:rPr>
          <w:i/>
          <w:iCs/>
          <w:szCs w:val="24"/>
        </w:rPr>
        <w:t xml:space="preserve">+ </w:t>
      </w:r>
      <w:hyperlink r:id="rId36" w:tooltip="http://register.consilium.europa.eu/pdf/en/14/st16/st16031-ad02.en14.pdf" w:history="1">
        <w:r w:rsidRPr="00DE3292">
          <w:rPr>
            <w:rStyle w:val="Hyperlink"/>
            <w:i/>
            <w:iCs/>
            <w:szCs w:val="24"/>
          </w:rPr>
          <w:t>16031/14 ADD 2</w:t>
        </w:r>
      </w:hyperlink>
      <w:r w:rsidRPr="00DE3292">
        <w:rPr>
          <w:i/>
          <w:iCs/>
          <w:szCs w:val="24"/>
        </w:rPr>
        <w:t>)</w:t>
      </w:r>
      <w:r w:rsidRPr="00DE3292">
        <w:rPr>
          <w:szCs w:val="24"/>
        </w:rPr>
        <w:t>.</w:t>
      </w:r>
    </w:p>
    <w:p w:rsidR="00896AB1" w:rsidRPr="00DE3292" w:rsidRDefault="00896AB1" w:rsidP="00A60AF4">
      <w:pPr>
        <w:pStyle w:val="EntEmet"/>
        <w:spacing w:after="120"/>
        <w:rPr>
          <w:szCs w:val="24"/>
        </w:rPr>
      </w:pPr>
      <w:r w:rsidRPr="00DE3292">
        <w:rPr>
          <w:szCs w:val="24"/>
        </w:rPr>
        <w:t xml:space="preserve">The proposed directive aims </w:t>
      </w:r>
      <w:r w:rsidR="005F7F46">
        <w:rPr>
          <w:szCs w:val="24"/>
        </w:rPr>
        <w:t>to</w:t>
      </w:r>
      <w:r w:rsidRPr="00DE3292">
        <w:rPr>
          <w:szCs w:val="24"/>
        </w:rPr>
        <w:t xml:space="preserve"> giv</w:t>
      </w:r>
      <w:r w:rsidR="005F7F46">
        <w:rPr>
          <w:szCs w:val="24"/>
        </w:rPr>
        <w:t>e</w:t>
      </w:r>
      <w:r w:rsidRPr="00DE3292">
        <w:rPr>
          <w:szCs w:val="24"/>
        </w:rPr>
        <w:t xml:space="preserve"> legal effect to the European agreement concluded by the European barge union, the European skippers organisation and the European transport workers’ federation.</w:t>
      </w:r>
    </w:p>
    <w:p w:rsidR="00896AB1" w:rsidRPr="00DE3292" w:rsidRDefault="00896AB1" w:rsidP="00896AB1">
      <w:pPr>
        <w:pStyle w:val="EntEmet"/>
        <w:spacing w:after="120"/>
        <w:rPr>
          <w:szCs w:val="24"/>
        </w:rPr>
      </w:pPr>
      <w:r w:rsidRPr="00DE3292">
        <w:rPr>
          <w:szCs w:val="24"/>
        </w:rPr>
        <w:t>This EU-level agreement among the sector's social partners introduces specific minimum rules governing working time for workers on passenger or cargo transport boats on inland waterways across the EU. Working time in this area can be characterised by high levels of unplanned downtime such as waiting at locks, or loading and unloading, which may take place at night. More specifically, the agreement provides for:</w:t>
      </w:r>
    </w:p>
    <w:p w:rsidR="00896AB1" w:rsidRPr="00DE3292" w:rsidRDefault="004E25BA" w:rsidP="00896AB1">
      <w:pPr>
        <w:pStyle w:val="Tiret0"/>
        <w:numPr>
          <w:ilvl w:val="0"/>
          <w:numId w:val="46"/>
        </w:numPr>
      </w:pPr>
      <w:r w:rsidRPr="00DE3292">
        <w:br w:type="page"/>
      </w:r>
      <w:r w:rsidR="00896AB1" w:rsidRPr="00DE3292">
        <w:lastRenderedPageBreak/>
        <w:t>weekly working time (up to 48 hours, averaged over up to 12 months);</w:t>
      </w:r>
    </w:p>
    <w:p w:rsidR="00896AB1" w:rsidRPr="00DE3292" w:rsidRDefault="00896AB1" w:rsidP="00896AB1">
      <w:pPr>
        <w:pStyle w:val="Tiret0"/>
      </w:pPr>
      <w:r w:rsidRPr="00DE3292">
        <w:t>night work (up to 42 hours per week);</w:t>
      </w:r>
    </w:p>
    <w:p w:rsidR="00896AB1" w:rsidRPr="00DE3292" w:rsidRDefault="00896AB1" w:rsidP="00896AB1">
      <w:pPr>
        <w:pStyle w:val="Tiret0"/>
      </w:pPr>
      <w:r w:rsidRPr="00DE3292">
        <w:t>holidays (at least four weeks</w:t>
      </w:r>
      <w:r w:rsidR="00BC39B5">
        <w:t>'</w:t>
      </w:r>
      <w:r w:rsidRPr="00DE3292">
        <w:t xml:space="preserve"> paid annual leave);</w:t>
      </w:r>
    </w:p>
    <w:p w:rsidR="00896AB1" w:rsidRPr="00DE3292" w:rsidRDefault="00896AB1" w:rsidP="00896AB1">
      <w:pPr>
        <w:pStyle w:val="Tiret0"/>
      </w:pPr>
      <w:r w:rsidRPr="00DE3292">
        <w:t>daily and weekly rest periods (at least 10 hours' rest every day).</w:t>
      </w:r>
    </w:p>
    <w:p w:rsidR="00896AB1" w:rsidRPr="00DE3292" w:rsidRDefault="00896AB1" w:rsidP="00896AB1">
      <w:pPr>
        <w:pStyle w:val="EntEmet"/>
        <w:spacing w:after="120"/>
        <w:rPr>
          <w:szCs w:val="24"/>
        </w:rPr>
      </w:pPr>
      <w:r w:rsidRPr="00DE3292">
        <w:rPr>
          <w:szCs w:val="24"/>
        </w:rPr>
        <w:t>The proposed directive contains a clause allowing member states to maintain more favourable provisions than those contained in the agreement.</w:t>
      </w:r>
    </w:p>
    <w:p w:rsidR="00896AB1" w:rsidRPr="00DE3292" w:rsidRDefault="00896AB1" w:rsidP="00896AB1">
      <w:pPr>
        <w:pStyle w:val="Sub-itemDebated"/>
      </w:pPr>
      <w:bookmarkStart w:id="14" w:name="_Toc410394828"/>
      <w:r w:rsidRPr="00DE3292">
        <w:t>Annual growth survey 2015, joint employment report and alert mechanism report</w:t>
      </w:r>
      <w:bookmarkEnd w:id="14"/>
    </w:p>
    <w:p w:rsidR="00896AB1" w:rsidRPr="00DE3292" w:rsidRDefault="00896AB1" w:rsidP="00896AB1">
      <w:pPr>
        <w:pStyle w:val="EntEmet"/>
        <w:spacing w:after="120"/>
        <w:rPr>
          <w:iCs/>
          <w:szCs w:val="24"/>
        </w:rPr>
      </w:pPr>
      <w:r w:rsidRPr="00DE3292">
        <w:rPr>
          <w:iCs/>
          <w:szCs w:val="24"/>
        </w:rPr>
        <w:t xml:space="preserve">The Commission presented to the Council the annual growth survey for 2015, the joint employment report and the alert mechanism report </w:t>
      </w:r>
      <w:r w:rsidRPr="00DE3292">
        <w:rPr>
          <w:i/>
          <w:szCs w:val="24"/>
        </w:rPr>
        <w:t>(</w:t>
      </w:r>
      <w:hyperlink r:id="rId37" w:tooltip="http://register.consilium.europa.eu/pdf/en/14/st15/st15985.en14.pdf" w:history="1">
        <w:r w:rsidRPr="00DE3292">
          <w:rPr>
            <w:rStyle w:val="Hyperlink"/>
            <w:i/>
            <w:szCs w:val="24"/>
          </w:rPr>
          <w:t>15985/14</w:t>
        </w:r>
      </w:hyperlink>
      <w:r w:rsidRPr="00DE3292">
        <w:rPr>
          <w:i/>
          <w:szCs w:val="24"/>
        </w:rPr>
        <w:t xml:space="preserve">, </w:t>
      </w:r>
      <w:hyperlink r:id="rId38" w:tooltip="http://register.consilium.europa.eu/pdf/en/14/st15/st15953.en14.pdf" w:history="1">
        <w:r w:rsidRPr="00DE3292">
          <w:rPr>
            <w:rStyle w:val="Hyperlink"/>
            <w:i/>
            <w:szCs w:val="24"/>
          </w:rPr>
          <w:t>15953/14</w:t>
        </w:r>
      </w:hyperlink>
      <w:r w:rsidRPr="00DE3292">
        <w:rPr>
          <w:i/>
          <w:szCs w:val="24"/>
        </w:rPr>
        <w:t xml:space="preserve">, </w:t>
      </w:r>
      <w:hyperlink r:id="rId39" w:tooltip="http://register.consilium.europa.eu/pdf/en/14/st15/st15988.en14.pdf" w:history="1">
        <w:r w:rsidRPr="00DE3292">
          <w:rPr>
            <w:rStyle w:val="Hyperlink"/>
            <w:i/>
            <w:szCs w:val="24"/>
          </w:rPr>
          <w:t>15988/14</w:t>
        </w:r>
      </w:hyperlink>
      <w:r w:rsidRPr="00DE3292">
        <w:rPr>
          <w:i/>
          <w:szCs w:val="24"/>
        </w:rPr>
        <w:t>)</w:t>
      </w:r>
      <w:r w:rsidRPr="00DE3292">
        <w:rPr>
          <w:iCs/>
          <w:szCs w:val="24"/>
        </w:rPr>
        <w:t>.</w:t>
      </w:r>
    </w:p>
    <w:p w:rsidR="00695521" w:rsidRPr="00DE3292" w:rsidRDefault="00695521" w:rsidP="00A60AF4">
      <w:pPr>
        <w:spacing w:after="200"/>
        <w:rPr>
          <w:lang w:eastAsia="fr-BE"/>
        </w:rPr>
      </w:pPr>
      <w:r w:rsidRPr="00DE3292">
        <w:rPr>
          <w:lang w:eastAsia="fr-BE"/>
        </w:rPr>
        <w:t>Among other</w:t>
      </w:r>
      <w:r w:rsidR="00EC7F7A">
        <w:rPr>
          <w:lang w:eastAsia="fr-BE"/>
        </w:rPr>
        <w:t xml:space="preserve"> thing</w:t>
      </w:r>
      <w:r w:rsidRPr="00DE3292">
        <w:rPr>
          <w:lang w:eastAsia="fr-BE"/>
        </w:rPr>
        <w:t xml:space="preserve">s, the presidency stated that the economic and social situation in the EU remains challenging. The restructuring of EU economies and labour markets </w:t>
      </w:r>
      <w:r w:rsidR="00EC7F7A">
        <w:rPr>
          <w:lang w:eastAsia="fr-BE"/>
        </w:rPr>
        <w:t>following</w:t>
      </w:r>
      <w:r w:rsidRPr="00DE3292">
        <w:rPr>
          <w:lang w:eastAsia="fr-BE"/>
        </w:rPr>
        <w:t xml:space="preserve"> the crisis has come with painful changes and is having serious consequences for jobs and the social fabric of EU societies.</w:t>
      </w:r>
    </w:p>
    <w:p w:rsidR="00695521" w:rsidRPr="00DE3292" w:rsidRDefault="00695521" w:rsidP="00D672F8">
      <w:pPr>
        <w:spacing w:after="200"/>
        <w:rPr>
          <w:lang w:eastAsia="fr-BE"/>
        </w:rPr>
      </w:pPr>
      <w:r w:rsidRPr="00DE3292">
        <w:rPr>
          <w:lang w:eastAsia="fr-BE"/>
        </w:rPr>
        <w:t xml:space="preserve">The expected recovery is not taking off. </w:t>
      </w:r>
      <w:r w:rsidR="009E33EB">
        <w:rPr>
          <w:lang w:eastAsia="fr-BE"/>
        </w:rPr>
        <w:t>T</w:t>
      </w:r>
      <w:r w:rsidRPr="00DE3292">
        <w:rPr>
          <w:lang w:eastAsia="fr-BE"/>
        </w:rPr>
        <w:t xml:space="preserve">here have been some positive signs over the past months, </w:t>
      </w:r>
      <w:r w:rsidR="009E33EB">
        <w:rPr>
          <w:lang w:eastAsia="fr-BE"/>
        </w:rPr>
        <w:t>but</w:t>
      </w:r>
      <w:r w:rsidR="00EC7F7A">
        <w:rPr>
          <w:lang w:eastAsia="fr-BE"/>
        </w:rPr>
        <w:t xml:space="preserve"> not enough</w:t>
      </w:r>
      <w:r w:rsidRPr="00DE3292">
        <w:rPr>
          <w:lang w:eastAsia="fr-BE"/>
        </w:rPr>
        <w:t xml:space="preserve"> to provide visible results on economic, employment and social prospects. The new annual growth survey presents a picture which is not </w:t>
      </w:r>
      <w:r w:rsidR="00EC7F7A">
        <w:rPr>
          <w:lang w:eastAsia="fr-BE"/>
        </w:rPr>
        <w:t>entirely</w:t>
      </w:r>
      <w:r w:rsidR="00EC7F7A" w:rsidRPr="00DE3292">
        <w:rPr>
          <w:lang w:eastAsia="fr-BE"/>
        </w:rPr>
        <w:t xml:space="preserve"> </w:t>
      </w:r>
      <w:r w:rsidRPr="00DE3292">
        <w:rPr>
          <w:lang w:eastAsia="fr-BE"/>
        </w:rPr>
        <w:t xml:space="preserve">encouraging: </w:t>
      </w:r>
      <w:r w:rsidR="00EC7F7A">
        <w:rPr>
          <w:lang w:eastAsia="fr-BE"/>
        </w:rPr>
        <w:t xml:space="preserve">the </w:t>
      </w:r>
      <w:r w:rsidRPr="00DE3292">
        <w:rPr>
          <w:lang w:eastAsia="fr-BE"/>
        </w:rPr>
        <w:t xml:space="preserve">EU is not out of the </w:t>
      </w:r>
      <w:r w:rsidR="00EC7F7A">
        <w:rPr>
          <w:lang w:eastAsia="fr-BE"/>
        </w:rPr>
        <w:t>woods yet</w:t>
      </w:r>
      <w:r w:rsidRPr="00DE3292">
        <w:rPr>
          <w:lang w:eastAsia="fr-BE"/>
        </w:rPr>
        <w:t>.</w:t>
      </w:r>
    </w:p>
    <w:p w:rsidR="00896AB1" w:rsidRPr="00DE3292" w:rsidRDefault="00896AB1" w:rsidP="00896AB1">
      <w:pPr>
        <w:pStyle w:val="EntEmet"/>
        <w:spacing w:after="120"/>
        <w:rPr>
          <w:iCs/>
          <w:szCs w:val="24"/>
        </w:rPr>
      </w:pPr>
      <w:r w:rsidRPr="00DE3292">
        <w:rPr>
          <w:iCs/>
          <w:szCs w:val="24"/>
        </w:rPr>
        <w:t>On 28 November, the Commission presented its 2015 economic package, containing the annual growth survey (AGS), the draft joint employment report (JER) and the alert mechanism report (AMR).</w:t>
      </w:r>
    </w:p>
    <w:p w:rsidR="00896AB1" w:rsidRPr="00DE3292" w:rsidRDefault="00896AB1" w:rsidP="00896AB1">
      <w:pPr>
        <w:pStyle w:val="EntEmet"/>
        <w:spacing w:after="120"/>
        <w:rPr>
          <w:iCs/>
          <w:szCs w:val="24"/>
        </w:rPr>
      </w:pPr>
      <w:r w:rsidRPr="00DE3292">
        <w:rPr>
          <w:iCs/>
          <w:szCs w:val="24"/>
        </w:rPr>
        <w:t>The 2015 AGS recommends three main pillars for the EU's economic and social policy for 2015: a coordinated boost for investment, a renewed commitment to structural reforms</w:t>
      </w:r>
      <w:r w:rsidR="00EC7F7A">
        <w:rPr>
          <w:iCs/>
          <w:szCs w:val="24"/>
        </w:rPr>
        <w:t>,</w:t>
      </w:r>
      <w:r w:rsidRPr="00DE3292">
        <w:rPr>
          <w:iCs/>
          <w:szCs w:val="24"/>
        </w:rPr>
        <w:t xml:space="preserve"> and pursuing fiscal responsibility. It calls for an integrated approach via simultaneous action in all three areas.</w:t>
      </w:r>
    </w:p>
    <w:p w:rsidR="00896AB1" w:rsidRPr="00DE3292" w:rsidRDefault="00896AB1" w:rsidP="00A60AF4">
      <w:pPr>
        <w:pStyle w:val="EntEmet"/>
        <w:spacing w:after="120"/>
        <w:rPr>
          <w:iCs/>
          <w:szCs w:val="24"/>
        </w:rPr>
      </w:pPr>
      <w:r w:rsidRPr="00DE3292">
        <w:rPr>
          <w:iCs/>
          <w:szCs w:val="24"/>
        </w:rPr>
        <w:t xml:space="preserve">This AGS also makes certain proposals to streamline and reinforce the 2015 Semester. The Commission promises to enhance its engagement with </w:t>
      </w:r>
      <w:r w:rsidR="009E33EB">
        <w:rPr>
          <w:iCs/>
          <w:szCs w:val="24"/>
        </w:rPr>
        <w:t xml:space="preserve">the </w:t>
      </w:r>
      <w:r w:rsidRPr="00DE3292">
        <w:rPr>
          <w:iCs/>
          <w:szCs w:val="24"/>
        </w:rPr>
        <w:t>E</w:t>
      </w:r>
      <w:r w:rsidR="009E33EB">
        <w:rPr>
          <w:iCs/>
          <w:szCs w:val="24"/>
        </w:rPr>
        <w:t xml:space="preserve">uropean </w:t>
      </w:r>
      <w:r w:rsidRPr="00DE3292">
        <w:rPr>
          <w:iCs/>
          <w:szCs w:val="24"/>
        </w:rPr>
        <w:t>P</w:t>
      </w:r>
      <w:r w:rsidR="009E33EB">
        <w:rPr>
          <w:iCs/>
          <w:szCs w:val="24"/>
        </w:rPr>
        <w:t>arliament</w:t>
      </w:r>
      <w:r w:rsidRPr="00DE3292">
        <w:rPr>
          <w:iCs/>
          <w:szCs w:val="24"/>
        </w:rPr>
        <w:t xml:space="preserve"> and social partners before the AGS is presented, and to discuss certain cross-cutting aspects with them. The new governance arrangements aim </w:t>
      </w:r>
      <w:r w:rsidR="009E33EB">
        <w:rPr>
          <w:iCs/>
          <w:szCs w:val="24"/>
        </w:rPr>
        <w:t>to</w:t>
      </w:r>
      <w:r w:rsidR="009E33EB" w:rsidRPr="00DE3292">
        <w:rPr>
          <w:iCs/>
          <w:szCs w:val="24"/>
        </w:rPr>
        <w:t xml:space="preserve"> </w:t>
      </w:r>
      <w:r w:rsidRPr="00DE3292">
        <w:rPr>
          <w:iCs/>
          <w:szCs w:val="24"/>
        </w:rPr>
        <w:t>ensur</w:t>
      </w:r>
      <w:r w:rsidR="009E33EB">
        <w:rPr>
          <w:iCs/>
          <w:szCs w:val="24"/>
        </w:rPr>
        <w:t>e</w:t>
      </w:r>
      <w:r w:rsidRPr="00DE3292">
        <w:rPr>
          <w:iCs/>
          <w:szCs w:val="24"/>
        </w:rPr>
        <w:t xml:space="preserve"> a more political and multilateral process, including continuous cross-examination of policies and performance within the Council.</w:t>
      </w:r>
    </w:p>
    <w:p w:rsidR="00896AB1" w:rsidRPr="00DE3292" w:rsidRDefault="00614A33" w:rsidP="00896AB1">
      <w:pPr>
        <w:pStyle w:val="EntEmet"/>
        <w:spacing w:after="120"/>
        <w:rPr>
          <w:iCs/>
          <w:szCs w:val="24"/>
        </w:rPr>
      </w:pPr>
      <w:r w:rsidRPr="00DE3292">
        <w:rPr>
          <w:iCs/>
          <w:szCs w:val="24"/>
        </w:rPr>
        <w:br w:type="page"/>
      </w:r>
      <w:r w:rsidR="00896AB1" w:rsidRPr="00DE3292">
        <w:rPr>
          <w:iCs/>
          <w:szCs w:val="24"/>
        </w:rPr>
        <w:lastRenderedPageBreak/>
        <w:t>The draft JER stresses that the employment and social situation is a continued cause for concern.</w:t>
      </w:r>
    </w:p>
    <w:p w:rsidR="00896AB1" w:rsidRPr="00DE3292" w:rsidRDefault="00896AB1" w:rsidP="00896AB1">
      <w:pPr>
        <w:pStyle w:val="EntEmet"/>
        <w:spacing w:after="120"/>
        <w:rPr>
          <w:iCs/>
          <w:szCs w:val="24"/>
        </w:rPr>
      </w:pPr>
      <w:r w:rsidRPr="00DE3292">
        <w:rPr>
          <w:iCs/>
          <w:szCs w:val="24"/>
        </w:rPr>
        <w:t>The AMR points out that economic growth is insufficient to lead to a marked improvement in labour and social figures; it highlights that negative employment and social developments can have a downward effect on potential GDP growth and risk compounding macroeconomic imbalances.</w:t>
      </w:r>
    </w:p>
    <w:p w:rsidR="00896AB1" w:rsidRPr="00DE3292" w:rsidRDefault="00896AB1" w:rsidP="00A60AF4">
      <w:pPr>
        <w:pStyle w:val="Sub-itemDebated"/>
      </w:pPr>
      <w:bookmarkStart w:id="15" w:name="_Toc410394829"/>
      <w:r w:rsidRPr="00DE3292">
        <w:t>20-year review of</w:t>
      </w:r>
      <w:r w:rsidR="0068702A" w:rsidRPr="00DE3292">
        <w:t xml:space="preserve"> </w:t>
      </w:r>
      <w:r w:rsidRPr="00DE3292">
        <w:t xml:space="preserve">the </w:t>
      </w:r>
      <w:r w:rsidR="0068702A" w:rsidRPr="00DE3292">
        <w:t>B</w:t>
      </w:r>
      <w:r w:rsidRPr="00DE3292">
        <w:t>eijing platform for action</w:t>
      </w:r>
      <w:bookmarkEnd w:id="15"/>
    </w:p>
    <w:p w:rsidR="00896AB1" w:rsidRPr="00DE3292" w:rsidRDefault="00896AB1" w:rsidP="00896AB1">
      <w:pPr>
        <w:pStyle w:val="EntEmet"/>
        <w:spacing w:after="120"/>
        <w:rPr>
          <w:iCs/>
          <w:szCs w:val="24"/>
        </w:rPr>
      </w:pPr>
      <w:r w:rsidRPr="00DE3292">
        <w:rPr>
          <w:iCs/>
          <w:szCs w:val="24"/>
        </w:rPr>
        <w:t>The Council adopted conclusions on the 20-year review of the implementation by the member states and the EU institutions of the Beijing platform for action (</w:t>
      </w:r>
      <w:hyperlink r:id="rId40" w:tooltip="http://register.consilium.europa.eu/pdf/en/14/st16/st16304.en14.pdf" w:history="1">
        <w:r w:rsidRPr="00DE3292">
          <w:rPr>
            <w:rStyle w:val="Hyperlink"/>
            <w:i/>
            <w:szCs w:val="24"/>
          </w:rPr>
          <w:t>16304/14</w:t>
        </w:r>
      </w:hyperlink>
      <w:r w:rsidRPr="00DE3292">
        <w:rPr>
          <w:iCs/>
          <w:szCs w:val="24"/>
        </w:rPr>
        <w:t>).</w:t>
      </w:r>
    </w:p>
    <w:p w:rsidR="00896AB1" w:rsidRPr="00DE3292" w:rsidRDefault="00896AB1" w:rsidP="003A068F">
      <w:pPr>
        <w:pStyle w:val="EntEmet"/>
        <w:spacing w:after="120"/>
        <w:rPr>
          <w:iCs/>
          <w:szCs w:val="24"/>
        </w:rPr>
      </w:pPr>
      <w:r w:rsidRPr="00DE3292">
        <w:rPr>
          <w:iCs/>
          <w:szCs w:val="24"/>
        </w:rPr>
        <w:t xml:space="preserve">The conclusions are based on a report prepared by the European Institute for </w:t>
      </w:r>
      <w:r w:rsidR="003A068F">
        <w:rPr>
          <w:iCs/>
          <w:szCs w:val="24"/>
        </w:rPr>
        <w:t>G</w:t>
      </w:r>
      <w:r w:rsidRPr="00DE3292">
        <w:rPr>
          <w:iCs/>
          <w:szCs w:val="24"/>
        </w:rPr>
        <w:t xml:space="preserve">ender </w:t>
      </w:r>
      <w:r w:rsidR="003A068F">
        <w:rPr>
          <w:iCs/>
          <w:szCs w:val="24"/>
        </w:rPr>
        <w:t>E</w:t>
      </w:r>
      <w:r w:rsidRPr="00DE3292">
        <w:rPr>
          <w:iCs/>
          <w:szCs w:val="24"/>
        </w:rPr>
        <w:t>quality (EIGE).</w:t>
      </w:r>
    </w:p>
    <w:p w:rsidR="00896AB1" w:rsidRPr="00DE3292" w:rsidRDefault="00896AB1" w:rsidP="00896AB1">
      <w:pPr>
        <w:pStyle w:val="EntEmet"/>
        <w:spacing w:after="120"/>
        <w:rPr>
          <w:iCs/>
          <w:szCs w:val="24"/>
        </w:rPr>
      </w:pPr>
      <w:r w:rsidRPr="00DE3292">
        <w:rPr>
          <w:iCs/>
          <w:szCs w:val="24"/>
        </w:rPr>
        <w:t>Much of the Council's work in the area of gender equality takes place on the basis of the Beijing platform for action, an international agenda for women's empowerment established within the UN framework during the fourth world conference on women in 1995. To monitor implementation of the Beijing platform's 12 critical areas for action, successive EU presidencies have worked together to collect and analyse data and develop indicators on specific critical areas.</w:t>
      </w:r>
    </w:p>
    <w:p w:rsidR="00896AB1" w:rsidRPr="00DE3292" w:rsidRDefault="00896AB1" w:rsidP="00896AB1">
      <w:pPr>
        <w:pStyle w:val="Sub-itemDebated"/>
      </w:pPr>
      <w:bookmarkStart w:id="16" w:name="_Toc410394830"/>
      <w:r w:rsidRPr="00DE3292">
        <w:t>Any other business</w:t>
      </w:r>
      <w:bookmarkEnd w:id="16"/>
    </w:p>
    <w:p w:rsidR="00896AB1" w:rsidRPr="00DE3292" w:rsidRDefault="00896AB1" w:rsidP="00896AB1">
      <w:pPr>
        <w:pStyle w:val="Tiret0"/>
        <w:numPr>
          <w:ilvl w:val="0"/>
          <w:numId w:val="19"/>
        </w:numPr>
        <w:spacing w:before="0" w:after="120"/>
        <w:rPr>
          <w:b/>
          <w:bCs/>
        </w:rPr>
      </w:pPr>
      <w:r w:rsidRPr="00DE3292">
        <w:rPr>
          <w:b/>
          <w:bCs/>
        </w:rPr>
        <w:t>Outcome of the "Rome strategy" conference</w:t>
      </w:r>
    </w:p>
    <w:p w:rsidR="00896AB1" w:rsidRPr="00DE3292" w:rsidRDefault="00896AB1" w:rsidP="00896AB1">
      <w:pPr>
        <w:pStyle w:val="Tiret0"/>
        <w:numPr>
          <w:ilvl w:val="0"/>
          <w:numId w:val="0"/>
        </w:numPr>
        <w:ind w:left="850"/>
        <w:rPr>
          <w:b/>
          <w:bCs/>
        </w:rPr>
      </w:pPr>
      <w:r w:rsidRPr="00DE3292">
        <w:t xml:space="preserve">The presidency informed ministers on the </w:t>
      </w:r>
      <w:r w:rsidR="0093043D">
        <w:t>"</w:t>
      </w:r>
      <w:r w:rsidRPr="00DE3292">
        <w:t>Rome strategy" as the outcome of the conference on social economy in Europe.</w:t>
      </w:r>
    </w:p>
    <w:p w:rsidR="00896AB1" w:rsidRPr="00DE3292" w:rsidRDefault="00896AB1" w:rsidP="00896AB1">
      <w:pPr>
        <w:pStyle w:val="Tiret0"/>
        <w:numPr>
          <w:ilvl w:val="0"/>
          <w:numId w:val="19"/>
        </w:numPr>
        <w:spacing w:before="0" w:after="120"/>
      </w:pPr>
      <w:r w:rsidRPr="00DE3292">
        <w:rPr>
          <w:b/>
          <w:bCs/>
        </w:rPr>
        <w:t xml:space="preserve">Presentation of the programme of the incoming Latvian presidency </w:t>
      </w:r>
      <w:r w:rsidRPr="00DE3292">
        <w:rPr>
          <w:b/>
          <w:bCs/>
        </w:rPr>
        <w:br/>
      </w:r>
      <w:r w:rsidRPr="00DE3292">
        <w:t>The incoming Latvian presidency presented its work programme to the Council.</w:t>
      </w:r>
    </w:p>
    <w:p w:rsidR="00896AB1" w:rsidRPr="00DE3292" w:rsidRDefault="00896AB1" w:rsidP="00E254A8">
      <w:pPr>
        <w:sectPr w:rsidR="00896AB1" w:rsidRPr="00DE3292" w:rsidSect="0044262A">
          <w:headerReference w:type="even" r:id="rId41"/>
          <w:footerReference w:type="even" r:id="rId42"/>
          <w:headerReference w:type="first" r:id="rId43"/>
          <w:footerReference w:type="first" r:id="rId44"/>
          <w:footnotePr>
            <w:numRestart w:val="eachPage"/>
          </w:footnotePr>
          <w:pgSz w:w="11907" w:h="16840" w:code="9"/>
          <w:pgMar w:top="1134" w:right="1134" w:bottom="1134" w:left="1134" w:header="567" w:footer="567" w:gutter="0"/>
          <w:cols w:space="708"/>
          <w:docGrid w:linePitch="360"/>
        </w:sectPr>
      </w:pPr>
    </w:p>
    <w:p w:rsidR="00E254A8" w:rsidRPr="00DE3292" w:rsidRDefault="00E254A8" w:rsidP="00E254A8">
      <w:pPr>
        <w:pStyle w:val="ItemsApprovedHeading"/>
      </w:pPr>
      <w:r w:rsidRPr="00DE3292">
        <w:lastRenderedPageBreak/>
        <w:t>OTHER ITEMS APPROVED</w:t>
      </w:r>
    </w:p>
    <w:p w:rsidR="000259E1" w:rsidRPr="00DE3292" w:rsidRDefault="000259E1" w:rsidP="000259E1">
      <w:pPr>
        <w:pStyle w:val="ItemApproved"/>
      </w:pPr>
      <w:r w:rsidRPr="00DE3292">
        <w:t>SOCIAL POLICY</w:t>
      </w:r>
    </w:p>
    <w:p w:rsidR="000259E1" w:rsidRPr="00DE3292" w:rsidRDefault="000259E1" w:rsidP="000259E1">
      <w:pPr>
        <w:pStyle w:val="Sub-itemApproved"/>
      </w:pPr>
      <w:bookmarkStart w:id="17" w:name="_Toc410394832"/>
      <w:r w:rsidRPr="00DE3292">
        <w:t>Community statistics on income and living conditions</w:t>
      </w:r>
      <w:bookmarkEnd w:id="17"/>
    </w:p>
    <w:p w:rsidR="000259E1" w:rsidRPr="00DE3292" w:rsidRDefault="000259E1" w:rsidP="00A60AF4">
      <w:pPr>
        <w:pStyle w:val="pointmanual"/>
        <w:spacing w:before="200" w:beforeAutospacing="0" w:after="0" w:afterAutospacing="0"/>
      </w:pPr>
      <w:r w:rsidRPr="00DE3292">
        <w:rPr>
          <w:bCs/>
          <w:lang w:eastAsia="fr-BE"/>
        </w:rPr>
        <w:t>The Council decided not to oppose the adoption of</w:t>
      </w:r>
      <w:r w:rsidRPr="00DE3292">
        <w:t xml:space="preserve"> Commission regulation (EU) No …/.. of XXX implementing regulation (EC) No 1177/2003 concerning Community statistics on income and living conditions (EU-SILC) as regards the 2016 list of target secondary variables on access to services </w:t>
      </w:r>
      <w:r w:rsidRPr="00DE3292">
        <w:rPr>
          <w:i/>
          <w:iCs/>
        </w:rPr>
        <w:t>(</w:t>
      </w:r>
      <w:hyperlink r:id="rId45" w:tooltip="http://register.consilium.europa.eu/pdf/en/14/st14/st14431.en14.pdf" w:history="1">
        <w:r w:rsidRPr="00DE3292">
          <w:rPr>
            <w:rStyle w:val="Hyperlink"/>
            <w:i/>
            <w:iCs/>
          </w:rPr>
          <w:t>14431/14</w:t>
        </w:r>
      </w:hyperlink>
      <w:r w:rsidRPr="00DE3292">
        <w:rPr>
          <w:i/>
          <w:iCs/>
        </w:rPr>
        <w:t xml:space="preserve"> + </w:t>
      </w:r>
      <w:hyperlink r:id="rId46" w:tooltip="http://register.consilium.europa.eu/pdf/en/14/st14/st14431-ad01.en14.pdf" w:history="1">
        <w:r w:rsidRPr="00DE3292">
          <w:rPr>
            <w:rStyle w:val="Hyperlink"/>
            <w:i/>
            <w:iCs/>
          </w:rPr>
          <w:t>14431/14 ADD1</w:t>
        </w:r>
      </w:hyperlink>
      <w:r w:rsidRPr="00DE3292">
        <w:rPr>
          <w:i/>
          <w:iCs/>
        </w:rPr>
        <w:t>)</w:t>
      </w:r>
      <w:r w:rsidRPr="00DE3292">
        <w:t>.</w:t>
      </w:r>
    </w:p>
    <w:p w:rsidR="000259E1" w:rsidRPr="00DE3292" w:rsidRDefault="000259E1" w:rsidP="000259E1">
      <w:pPr>
        <w:pStyle w:val="Sub-itemApproved"/>
      </w:pPr>
      <w:bookmarkStart w:id="18" w:name="_Toc410394833"/>
      <w:r w:rsidRPr="00DE3292">
        <w:t>Programme for the labour force sample survey</w:t>
      </w:r>
      <w:bookmarkEnd w:id="18"/>
    </w:p>
    <w:p w:rsidR="000259E1" w:rsidRPr="00DE3292" w:rsidRDefault="000259E1" w:rsidP="00A60AF4">
      <w:pPr>
        <w:pStyle w:val="Text3"/>
        <w:ind w:left="0"/>
        <w:rPr>
          <w:bCs/>
          <w:lang w:eastAsia="fr-BE"/>
        </w:rPr>
      </w:pPr>
      <w:r w:rsidRPr="00DE3292">
        <w:rPr>
          <w:bCs/>
          <w:lang w:eastAsia="fr-BE"/>
        </w:rPr>
        <w:t xml:space="preserve">The Council expressed its intention not to oppose the adoption of Commission delegated regulation (EU) No …/.. of 22.10.2014 amending regulation (EU) No 318/2013 adopting the programme of ad hoc modules, covering the years 2016 to 2018, for the labour force sample survey provided for by Council regulation (EC) No 577/98 </w:t>
      </w:r>
      <w:r w:rsidRPr="00DE3292">
        <w:rPr>
          <w:bCs/>
          <w:i/>
          <w:iCs/>
          <w:lang w:eastAsia="fr-BE"/>
        </w:rPr>
        <w:t>(</w:t>
      </w:r>
      <w:hyperlink r:id="rId47" w:tooltip="http://register.consilium.europa.eu/pdf/en/14/st14/st14729.en14.pdf" w:history="1">
        <w:r w:rsidRPr="00DE3292">
          <w:rPr>
            <w:rStyle w:val="Hyperlink"/>
            <w:bCs/>
            <w:i/>
            <w:iCs/>
            <w:lang w:eastAsia="fr-BE"/>
          </w:rPr>
          <w:t>14729/14</w:t>
        </w:r>
      </w:hyperlink>
      <w:r w:rsidRPr="00DE3292">
        <w:rPr>
          <w:bCs/>
          <w:i/>
          <w:iCs/>
          <w:lang w:eastAsia="fr-BE"/>
        </w:rPr>
        <w:t xml:space="preserve"> + </w:t>
      </w:r>
      <w:hyperlink r:id="rId48" w:tooltip="http://register.consilium.europa.eu/pdf/en/14/st14/st14729-ad01.en14.pdf" w:history="1">
        <w:r w:rsidRPr="00DE3292">
          <w:rPr>
            <w:rStyle w:val="Hyperlink"/>
            <w:bCs/>
            <w:i/>
            <w:iCs/>
            <w:lang w:eastAsia="fr-BE"/>
          </w:rPr>
          <w:t>14729/14 ADD1</w:t>
        </w:r>
      </w:hyperlink>
      <w:r w:rsidRPr="00DE3292">
        <w:rPr>
          <w:bCs/>
          <w:i/>
          <w:iCs/>
          <w:lang w:eastAsia="fr-BE"/>
        </w:rPr>
        <w:t>)</w:t>
      </w:r>
      <w:r w:rsidRPr="00DE3292">
        <w:rPr>
          <w:bCs/>
          <w:lang w:eastAsia="fr-BE"/>
        </w:rPr>
        <w:t>.</w:t>
      </w:r>
    </w:p>
    <w:p w:rsidR="000259E1" w:rsidRPr="00DE3292" w:rsidRDefault="000259E1" w:rsidP="000259E1">
      <w:pPr>
        <w:pStyle w:val="ItemApproved"/>
      </w:pPr>
      <w:r w:rsidRPr="00DE3292">
        <w:t>INTERNAL MARKET</w:t>
      </w:r>
    </w:p>
    <w:p w:rsidR="000259E1" w:rsidRPr="00DE3292" w:rsidRDefault="000259E1" w:rsidP="000259E1">
      <w:pPr>
        <w:pStyle w:val="Sub-itemApproved"/>
      </w:pPr>
      <w:bookmarkStart w:id="19" w:name="_Toc410394835"/>
      <w:r w:rsidRPr="00DE3292">
        <w:t>Agricultural and forestry vehicles - Type-approval requirements</w:t>
      </w:r>
      <w:bookmarkEnd w:id="19"/>
    </w:p>
    <w:p w:rsidR="000259E1" w:rsidRPr="00DE3292" w:rsidRDefault="000259E1" w:rsidP="00A60AF4">
      <w:pPr>
        <w:pStyle w:val="PointManual0"/>
        <w:spacing w:before="0"/>
        <w:ind w:left="0" w:firstLine="0"/>
        <w:rPr>
          <w:noProof/>
        </w:rPr>
      </w:pPr>
      <w:r w:rsidRPr="00DE3292">
        <w:rPr>
          <w:noProof/>
        </w:rPr>
        <w:t xml:space="preserve">The Council decided not to oppose the entry into force of Commission regulations supplementing regulation </w:t>
      </w:r>
      <w:r w:rsidR="00FA2445">
        <w:rPr>
          <w:noProof/>
        </w:rPr>
        <w:t xml:space="preserve">(EU) No </w:t>
      </w:r>
      <w:r w:rsidRPr="00DE3292">
        <w:rPr>
          <w:noProof/>
        </w:rPr>
        <w:t xml:space="preserve">167/2013 with regard to </w:t>
      </w:r>
      <w:r w:rsidRPr="00DE3292">
        <w:t xml:space="preserve">environmental and propulsion unit performance requirements </w:t>
      </w:r>
      <w:r w:rsidRPr="00DE3292">
        <w:rPr>
          <w:i/>
          <w:iCs/>
        </w:rPr>
        <w:t>(</w:t>
      </w:r>
      <w:hyperlink r:id="rId49" w:tooltip="http://register.consilium.europa.eu/pdf/en/14/st14/st14538.en14.pdf" w:history="1">
        <w:r w:rsidRPr="00DE3292">
          <w:rPr>
            <w:rStyle w:val="Hyperlink"/>
            <w:i/>
            <w:iCs/>
          </w:rPr>
          <w:t>14538/14</w:t>
        </w:r>
      </w:hyperlink>
      <w:r w:rsidRPr="00DE3292">
        <w:rPr>
          <w:i/>
          <w:iCs/>
        </w:rPr>
        <w:t>)</w:t>
      </w:r>
      <w:r w:rsidRPr="00DE3292">
        <w:t xml:space="preserve"> and braking requirements </w:t>
      </w:r>
      <w:r w:rsidRPr="00DE3292">
        <w:rPr>
          <w:i/>
          <w:iCs/>
        </w:rPr>
        <w:t>(</w:t>
      </w:r>
      <w:hyperlink r:id="rId50" w:tooltip="http://register.consilium.europa.eu/pdf/en/14/st14/st14419.en14.pdf" w:history="1">
        <w:r w:rsidRPr="00DE3292">
          <w:rPr>
            <w:rStyle w:val="Hyperlink"/>
            <w:i/>
            <w:iCs/>
          </w:rPr>
          <w:t>14419/14</w:t>
        </w:r>
      </w:hyperlink>
      <w:r w:rsidRPr="00DE3292">
        <w:rPr>
          <w:i/>
          <w:iCs/>
        </w:rPr>
        <w:t xml:space="preserve">) </w:t>
      </w:r>
      <w:r w:rsidRPr="00DE3292">
        <w:rPr>
          <w:noProof/>
        </w:rPr>
        <w:t>for the approval of agricultural and forestry vehicles.</w:t>
      </w:r>
    </w:p>
    <w:p w:rsidR="000259E1" w:rsidRPr="00DE3292" w:rsidRDefault="000259E1" w:rsidP="000259E1">
      <w:r w:rsidRPr="00DE3292">
        <w:t>The Commission regulations are delegated acts, which may now enter into force unless the European Parliament objects.</w:t>
      </w:r>
    </w:p>
    <w:p w:rsidR="00E254A8" w:rsidRPr="00DE3292" w:rsidRDefault="00E254A8" w:rsidP="00E254A8">
      <w:pPr>
        <w:pStyle w:val="FinalLine"/>
      </w:pPr>
    </w:p>
    <w:sectPr w:rsidR="00E254A8" w:rsidRPr="00DE3292" w:rsidSect="0044262A">
      <w:headerReference w:type="even" r:id="rId51"/>
      <w:footerReference w:type="even" r:id="rId52"/>
      <w:headerReference w:type="first" r:id="rId53"/>
      <w:footerReference w:type="first" r:id="rId54"/>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17D" w:rsidRDefault="0021217D">
      <w:pPr>
        <w:spacing w:before="0" w:after="0"/>
      </w:pPr>
      <w:r>
        <w:separator/>
      </w:r>
    </w:p>
  </w:endnote>
  <w:endnote w:type="continuationSeparator" w:id="0">
    <w:p w:rsidR="0021217D" w:rsidRDefault="0021217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62A" w:rsidRPr="0044262A" w:rsidRDefault="0044262A" w:rsidP="0044262A">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DC" w:rsidRPr="0044262A" w:rsidRDefault="009707DC" w:rsidP="0044262A">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DC" w:rsidRPr="0044262A" w:rsidRDefault="009707DC" w:rsidP="0044262A">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DC" w:rsidRPr="0044262A" w:rsidRDefault="009707DC" w:rsidP="0044262A">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DC" w:rsidRPr="0044262A" w:rsidRDefault="009707DC" w:rsidP="004426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44262A" w:rsidRPr="007410E8" w:rsidTr="0044262A">
      <w:trPr>
        <w:jc w:val="center"/>
      </w:trPr>
      <w:tc>
        <w:tcPr>
          <w:tcW w:w="2604" w:type="pct"/>
          <w:shd w:val="clear" w:color="auto" w:fill="auto"/>
        </w:tcPr>
        <w:p w:rsidR="0044262A" w:rsidRPr="007410E8" w:rsidRDefault="0044262A" w:rsidP="0035025C">
          <w:pPr>
            <w:pStyle w:val="FooterText"/>
            <w:rPr>
              <w:sz w:val="16"/>
              <w:szCs w:val="16"/>
            </w:rPr>
          </w:pPr>
          <w:bookmarkStart w:id="2" w:name="FOOTER_PR_STANDARD"/>
        </w:p>
      </w:tc>
      <w:tc>
        <w:tcPr>
          <w:tcW w:w="1319" w:type="pct"/>
          <w:shd w:val="clear" w:color="auto" w:fill="auto"/>
        </w:tcPr>
        <w:p w:rsidR="0044262A" w:rsidRPr="007410E8" w:rsidRDefault="0044262A" w:rsidP="0035025C">
          <w:pPr>
            <w:pStyle w:val="FooterText"/>
            <w:rPr>
              <w:sz w:val="16"/>
              <w:szCs w:val="16"/>
            </w:rPr>
          </w:pPr>
        </w:p>
      </w:tc>
      <w:tc>
        <w:tcPr>
          <w:tcW w:w="1077" w:type="pct"/>
          <w:shd w:val="clear" w:color="auto" w:fill="auto"/>
        </w:tcPr>
        <w:p w:rsidR="0044262A" w:rsidRPr="007410E8" w:rsidRDefault="0044262A" w:rsidP="0035025C">
          <w:pPr>
            <w:pStyle w:val="FooterText"/>
            <w:jc w:val="right"/>
            <w:rPr>
              <w:sz w:val="16"/>
              <w:szCs w:val="16"/>
            </w:rPr>
          </w:pPr>
        </w:p>
      </w:tc>
    </w:tr>
    <w:tr w:rsidR="0044262A" w:rsidRPr="007410E8" w:rsidTr="0044262A">
      <w:trPr>
        <w:jc w:val="center"/>
      </w:trPr>
      <w:tc>
        <w:tcPr>
          <w:tcW w:w="2604" w:type="pct"/>
          <w:shd w:val="clear" w:color="auto" w:fill="auto"/>
        </w:tcPr>
        <w:p w:rsidR="0044262A" w:rsidRPr="007410E8" w:rsidRDefault="0044262A" w:rsidP="0035025C">
          <w:pPr>
            <w:pStyle w:val="FooterText"/>
            <w:rPr>
              <w:sz w:val="16"/>
            </w:rPr>
          </w:pPr>
          <w:r>
            <w:t>16803/1/14</w:t>
          </w:r>
          <w:r w:rsidRPr="002511D8">
            <w:t xml:space="preserve"> </w:t>
          </w:r>
          <w:r>
            <w:t>REV 1</w:t>
          </w:r>
        </w:p>
      </w:tc>
      <w:tc>
        <w:tcPr>
          <w:tcW w:w="1319" w:type="pct"/>
          <w:shd w:val="clear" w:color="auto" w:fill="auto"/>
        </w:tcPr>
        <w:p w:rsidR="0044262A" w:rsidRPr="007410E8" w:rsidRDefault="0044262A" w:rsidP="0035025C">
          <w:pPr>
            <w:pStyle w:val="FooterText"/>
            <w:rPr>
              <w:sz w:val="16"/>
            </w:rPr>
          </w:pPr>
        </w:p>
      </w:tc>
      <w:tc>
        <w:tcPr>
          <w:tcW w:w="1077" w:type="pct"/>
          <w:shd w:val="clear" w:color="auto" w:fill="auto"/>
        </w:tcPr>
        <w:p w:rsidR="0044262A" w:rsidRPr="007410E8" w:rsidRDefault="0044262A" w:rsidP="0035025C">
          <w:pPr>
            <w:pStyle w:val="FooterText"/>
            <w:jc w:val="right"/>
            <w:rPr>
              <w:sz w:val="16"/>
            </w:rPr>
          </w:pPr>
          <w:r>
            <w:fldChar w:fldCharType="begin"/>
          </w:r>
          <w:r>
            <w:instrText xml:space="preserve"> PAGE  \* MERGEFORMAT </w:instrText>
          </w:r>
          <w:r>
            <w:fldChar w:fldCharType="separate"/>
          </w:r>
          <w:r>
            <w:rPr>
              <w:noProof/>
            </w:rPr>
            <w:t>14</w:t>
          </w:r>
          <w:r>
            <w:fldChar w:fldCharType="end"/>
          </w:r>
        </w:p>
      </w:tc>
    </w:tr>
    <w:tr w:rsidR="0044262A" w:rsidRPr="007410E8" w:rsidTr="0044262A">
      <w:trPr>
        <w:jc w:val="center"/>
      </w:trPr>
      <w:tc>
        <w:tcPr>
          <w:tcW w:w="2604" w:type="pct"/>
          <w:shd w:val="clear" w:color="auto" w:fill="auto"/>
        </w:tcPr>
        <w:p w:rsidR="0044262A" w:rsidRPr="007410E8" w:rsidRDefault="0044262A" w:rsidP="0035025C">
          <w:pPr>
            <w:pStyle w:val="FooterText"/>
            <w:rPr>
              <w:sz w:val="16"/>
            </w:rPr>
          </w:pPr>
        </w:p>
      </w:tc>
      <w:tc>
        <w:tcPr>
          <w:tcW w:w="1319" w:type="pct"/>
          <w:shd w:val="clear" w:color="auto" w:fill="auto"/>
        </w:tcPr>
        <w:p w:rsidR="0044262A" w:rsidRPr="007410E8" w:rsidRDefault="0044262A" w:rsidP="0035025C">
          <w:pPr>
            <w:pStyle w:val="FooterText"/>
            <w:rPr>
              <w:sz w:val="16"/>
            </w:rPr>
          </w:pPr>
        </w:p>
      </w:tc>
      <w:tc>
        <w:tcPr>
          <w:tcW w:w="1077" w:type="pct"/>
          <w:shd w:val="clear" w:color="auto" w:fill="auto"/>
        </w:tcPr>
        <w:p w:rsidR="0044262A" w:rsidRPr="007410E8" w:rsidRDefault="0044262A" w:rsidP="0035025C">
          <w:pPr>
            <w:pStyle w:val="FooterText"/>
            <w:jc w:val="right"/>
            <w:rPr>
              <w:sz w:val="16"/>
            </w:rPr>
          </w:pPr>
          <w:r>
            <w:rPr>
              <w:b/>
              <w:position w:val="-4"/>
              <w:sz w:val="36"/>
            </w:rPr>
            <w:t>EN</w:t>
          </w:r>
        </w:p>
      </w:tc>
    </w:tr>
    <w:bookmarkEnd w:id="2"/>
  </w:tbl>
  <w:p w:rsidR="00926EAF" w:rsidRPr="0044262A" w:rsidRDefault="00926EAF" w:rsidP="0044262A">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44262A" w:rsidRPr="009C2FB3" w:rsidTr="0044262A">
      <w:trPr>
        <w:jc w:val="center"/>
      </w:trPr>
      <w:tc>
        <w:tcPr>
          <w:tcW w:w="569" w:type="pct"/>
          <w:shd w:val="clear" w:color="auto" w:fill="auto"/>
        </w:tcPr>
        <w:p w:rsidR="0044262A" w:rsidRPr="009C2FB3" w:rsidRDefault="0044262A" w:rsidP="0035025C">
          <w:pPr>
            <w:pStyle w:val="FooterText"/>
          </w:pPr>
          <w:bookmarkStart w:id="3" w:name="FOOTER_PR_COVERPAGE"/>
        </w:p>
      </w:tc>
      <w:tc>
        <w:tcPr>
          <w:tcW w:w="3760" w:type="pct"/>
          <w:gridSpan w:val="3"/>
          <w:shd w:val="clear" w:color="auto" w:fill="auto"/>
          <w:noWrap/>
        </w:tcPr>
        <w:p w:rsidR="0044262A" w:rsidRPr="00F37CD6" w:rsidRDefault="0044262A"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0" w:type="pct"/>
          <w:shd w:val="clear" w:color="auto" w:fill="auto"/>
        </w:tcPr>
        <w:p w:rsidR="0044262A" w:rsidRPr="009C2FB3" w:rsidRDefault="0044262A" w:rsidP="0035025C">
          <w:pPr>
            <w:pStyle w:val="FooterText"/>
          </w:pPr>
        </w:p>
      </w:tc>
    </w:tr>
    <w:tr w:rsidR="0044262A" w:rsidRPr="0044262A" w:rsidTr="0044262A">
      <w:trPr>
        <w:jc w:val="center"/>
      </w:trPr>
      <w:tc>
        <w:tcPr>
          <w:tcW w:w="5000" w:type="pct"/>
          <w:gridSpan w:val="5"/>
          <w:shd w:val="clear" w:color="auto" w:fill="auto"/>
        </w:tcPr>
        <w:p w:rsidR="0044262A" w:rsidRPr="0044262A" w:rsidRDefault="0044262A" w:rsidP="0035025C">
          <w:pPr>
            <w:pStyle w:val="FooterAddressText"/>
            <w:rPr>
              <w:lang w:val="fr-BE"/>
            </w:rPr>
          </w:pPr>
        </w:p>
        <w:p w:rsidR="0044262A" w:rsidRPr="0044262A" w:rsidRDefault="0044262A" w:rsidP="0035025C">
          <w:pPr>
            <w:pStyle w:val="FooterAddressText"/>
            <w:rPr>
              <w:lang w:val="fr-BE"/>
            </w:rPr>
          </w:pPr>
          <w:r w:rsidRPr="0044262A">
            <w:rPr>
              <w:lang w:val="fr-BE"/>
            </w:rPr>
            <w:t>Rue de la Loi 175  B – 1048 BRUSSELS  Tel.: +32 (0)2 281 6319  Fax: +32 (0)2 281 8026</w:t>
          </w:r>
        </w:p>
      </w:tc>
    </w:tr>
    <w:tr w:rsidR="0044262A" w:rsidRPr="0044262A" w:rsidTr="0044262A">
      <w:trPr>
        <w:jc w:val="center"/>
      </w:trPr>
      <w:tc>
        <w:tcPr>
          <w:tcW w:w="5000" w:type="pct"/>
          <w:gridSpan w:val="5"/>
          <w:shd w:val="clear" w:color="auto" w:fill="auto"/>
        </w:tcPr>
        <w:p w:rsidR="0044262A" w:rsidRPr="0044262A" w:rsidRDefault="0044262A" w:rsidP="0035025C">
          <w:pPr>
            <w:pStyle w:val="FooterText"/>
            <w:jc w:val="center"/>
            <w:rPr>
              <w:sz w:val="20"/>
              <w:szCs w:val="20"/>
              <w:lang w:val="fr-BE"/>
            </w:rPr>
          </w:pPr>
          <w:hyperlink r:id="rId1" w:history="1">
            <w:r w:rsidRPr="0044262A">
              <w:rPr>
                <w:rStyle w:val="Hyperlink"/>
                <w:sz w:val="20"/>
                <w:lang w:val="fr-BE"/>
              </w:rPr>
              <w:t>press.office@consilium.europa.eu</w:t>
            </w:r>
          </w:hyperlink>
          <w:r w:rsidRPr="0044262A">
            <w:rPr>
              <w:sz w:val="20"/>
              <w:szCs w:val="20"/>
              <w:lang w:val="fr-BE"/>
            </w:rPr>
            <w:t xml:space="preserve">  </w:t>
          </w:r>
          <w:hyperlink r:id="rId2" w:history="1">
            <w:r w:rsidRPr="0044262A">
              <w:rPr>
                <w:rStyle w:val="Hyperlink"/>
                <w:sz w:val="20"/>
                <w:lang w:val="fr-BE"/>
              </w:rPr>
              <w:t>http://www.consilium.europa.eu/press</w:t>
            </w:r>
          </w:hyperlink>
        </w:p>
      </w:tc>
    </w:tr>
    <w:tr w:rsidR="0044262A" w:rsidRPr="007410E8" w:rsidTr="0044262A">
      <w:trPr>
        <w:jc w:val="center"/>
      </w:trPr>
      <w:tc>
        <w:tcPr>
          <w:tcW w:w="2604" w:type="pct"/>
          <w:gridSpan w:val="2"/>
          <w:shd w:val="clear" w:color="auto" w:fill="auto"/>
        </w:tcPr>
        <w:p w:rsidR="0044262A" w:rsidRPr="007410E8" w:rsidRDefault="0044262A" w:rsidP="0035025C">
          <w:pPr>
            <w:pStyle w:val="FooterText"/>
            <w:spacing w:before="60"/>
            <w:rPr>
              <w:sz w:val="16"/>
            </w:rPr>
          </w:pPr>
          <w:r>
            <w:t>16803/1/14</w:t>
          </w:r>
          <w:r w:rsidRPr="002511D8">
            <w:t xml:space="preserve"> </w:t>
          </w:r>
          <w:r>
            <w:t>REV 1</w:t>
          </w:r>
        </w:p>
      </w:tc>
      <w:tc>
        <w:tcPr>
          <w:tcW w:w="1319" w:type="pct"/>
          <w:shd w:val="clear" w:color="auto" w:fill="auto"/>
        </w:tcPr>
        <w:p w:rsidR="0044262A" w:rsidRPr="007410E8" w:rsidRDefault="0044262A" w:rsidP="0035025C">
          <w:pPr>
            <w:pStyle w:val="FooterText"/>
            <w:spacing w:before="120"/>
            <w:rPr>
              <w:sz w:val="16"/>
            </w:rPr>
          </w:pPr>
        </w:p>
      </w:tc>
      <w:tc>
        <w:tcPr>
          <w:tcW w:w="1077" w:type="pct"/>
          <w:gridSpan w:val="2"/>
          <w:shd w:val="clear" w:color="auto" w:fill="auto"/>
        </w:tcPr>
        <w:p w:rsidR="0044262A" w:rsidRPr="007410E8" w:rsidRDefault="0044262A" w:rsidP="0035025C">
          <w:pPr>
            <w:pStyle w:val="FooterText"/>
            <w:spacing w:before="60"/>
            <w:jc w:val="right"/>
            <w:rPr>
              <w:sz w:val="16"/>
            </w:rPr>
          </w:pPr>
          <w:r>
            <w:fldChar w:fldCharType="begin"/>
          </w:r>
          <w:r>
            <w:instrText xml:space="preserve"> PAGE  \* MERGEFORMAT </w:instrText>
          </w:r>
          <w:r>
            <w:fldChar w:fldCharType="separate"/>
          </w:r>
          <w:r>
            <w:rPr>
              <w:noProof/>
            </w:rPr>
            <w:t>1</w:t>
          </w:r>
          <w:r>
            <w:fldChar w:fldCharType="end"/>
          </w:r>
        </w:p>
      </w:tc>
    </w:tr>
    <w:tr w:rsidR="0044262A" w:rsidRPr="007410E8" w:rsidTr="0044262A">
      <w:trPr>
        <w:jc w:val="center"/>
      </w:trPr>
      <w:tc>
        <w:tcPr>
          <w:tcW w:w="2604" w:type="pct"/>
          <w:gridSpan w:val="2"/>
          <w:shd w:val="clear" w:color="auto" w:fill="auto"/>
        </w:tcPr>
        <w:p w:rsidR="0044262A" w:rsidRPr="007410E8" w:rsidRDefault="0044262A" w:rsidP="0035025C">
          <w:pPr>
            <w:pStyle w:val="FooterText"/>
            <w:rPr>
              <w:sz w:val="16"/>
            </w:rPr>
          </w:pPr>
        </w:p>
      </w:tc>
      <w:tc>
        <w:tcPr>
          <w:tcW w:w="1319" w:type="pct"/>
          <w:shd w:val="clear" w:color="auto" w:fill="auto"/>
        </w:tcPr>
        <w:p w:rsidR="0044262A" w:rsidRPr="007410E8" w:rsidRDefault="0044262A" w:rsidP="0035025C">
          <w:pPr>
            <w:pStyle w:val="FooterText"/>
            <w:rPr>
              <w:sz w:val="16"/>
            </w:rPr>
          </w:pPr>
        </w:p>
      </w:tc>
      <w:tc>
        <w:tcPr>
          <w:tcW w:w="1077" w:type="pct"/>
          <w:gridSpan w:val="2"/>
          <w:shd w:val="clear" w:color="auto" w:fill="auto"/>
        </w:tcPr>
        <w:p w:rsidR="0044262A" w:rsidRPr="007410E8" w:rsidRDefault="0044262A" w:rsidP="0035025C">
          <w:pPr>
            <w:pStyle w:val="FooterText"/>
            <w:jc w:val="right"/>
            <w:rPr>
              <w:sz w:val="16"/>
            </w:rPr>
          </w:pPr>
          <w:r>
            <w:rPr>
              <w:b/>
              <w:position w:val="-4"/>
              <w:sz w:val="36"/>
            </w:rPr>
            <w:t>EN</w:t>
          </w:r>
        </w:p>
      </w:tc>
    </w:tr>
    <w:bookmarkEnd w:id="3"/>
  </w:tbl>
  <w:p w:rsidR="00926EAF" w:rsidRPr="0044262A" w:rsidRDefault="00926EAF" w:rsidP="0044262A">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DC" w:rsidRPr="0044262A" w:rsidRDefault="009707DC" w:rsidP="0044262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44262A" w:rsidRPr="007410E8" w:rsidTr="0044262A">
      <w:trPr>
        <w:jc w:val="center"/>
      </w:trPr>
      <w:tc>
        <w:tcPr>
          <w:tcW w:w="5000" w:type="pct"/>
          <w:gridSpan w:val="3"/>
          <w:shd w:val="clear" w:color="auto" w:fill="auto"/>
        </w:tcPr>
        <w:p w:rsidR="0044262A" w:rsidRPr="007410E8" w:rsidRDefault="0044262A" w:rsidP="0035025C">
          <w:pPr>
            <w:pStyle w:val="FooterText"/>
            <w:tabs>
              <w:tab w:val="left" w:pos="285"/>
              <w:tab w:val="left" w:pos="585"/>
            </w:tabs>
            <w:ind w:left="540" w:hanging="540"/>
            <w:rPr>
              <w:sz w:val="21"/>
              <w:szCs w:val="21"/>
            </w:rPr>
          </w:pPr>
          <w:bookmarkStart w:id="5"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44262A" w:rsidRPr="007410E8" w:rsidRDefault="0044262A"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44262A" w:rsidRPr="007410E8" w:rsidRDefault="0044262A"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44262A" w:rsidRPr="007410E8" w:rsidRDefault="0044262A" w:rsidP="0035025C">
          <w:pPr>
            <w:pStyle w:val="FooterText"/>
            <w:tabs>
              <w:tab w:val="left" w:pos="285"/>
              <w:tab w:val="left" w:pos="585"/>
            </w:tabs>
            <w:rPr>
              <w:sz w:val="21"/>
              <w:szCs w:val="21"/>
            </w:rPr>
          </w:pPr>
        </w:p>
      </w:tc>
    </w:tr>
    <w:tr w:rsidR="0044262A" w:rsidRPr="007410E8" w:rsidTr="0044262A">
      <w:trPr>
        <w:jc w:val="center"/>
      </w:trPr>
      <w:tc>
        <w:tcPr>
          <w:tcW w:w="2604" w:type="pct"/>
          <w:shd w:val="clear" w:color="auto" w:fill="auto"/>
        </w:tcPr>
        <w:p w:rsidR="0044262A" w:rsidRPr="007410E8" w:rsidRDefault="0044262A" w:rsidP="0035025C">
          <w:pPr>
            <w:pStyle w:val="FooterText"/>
            <w:rPr>
              <w:sz w:val="16"/>
            </w:rPr>
          </w:pPr>
          <w:r>
            <w:t>16803/1/14</w:t>
          </w:r>
          <w:r w:rsidRPr="002511D8">
            <w:t xml:space="preserve"> </w:t>
          </w:r>
          <w:r>
            <w:t>REV 1</w:t>
          </w:r>
        </w:p>
      </w:tc>
      <w:tc>
        <w:tcPr>
          <w:tcW w:w="1319" w:type="pct"/>
          <w:shd w:val="clear" w:color="auto" w:fill="auto"/>
        </w:tcPr>
        <w:p w:rsidR="0044262A" w:rsidRPr="007410E8" w:rsidRDefault="0044262A" w:rsidP="0035025C">
          <w:pPr>
            <w:pStyle w:val="FooterText"/>
            <w:rPr>
              <w:sz w:val="16"/>
            </w:rPr>
          </w:pPr>
        </w:p>
      </w:tc>
      <w:tc>
        <w:tcPr>
          <w:tcW w:w="1077" w:type="pct"/>
          <w:shd w:val="clear" w:color="auto" w:fill="auto"/>
        </w:tcPr>
        <w:p w:rsidR="0044262A" w:rsidRPr="007410E8" w:rsidRDefault="0044262A" w:rsidP="0035025C">
          <w:pPr>
            <w:pStyle w:val="FooterText"/>
            <w:jc w:val="right"/>
            <w:rPr>
              <w:sz w:val="16"/>
            </w:rPr>
          </w:pPr>
          <w:r>
            <w:fldChar w:fldCharType="begin"/>
          </w:r>
          <w:r>
            <w:instrText xml:space="preserve"> PAGE  \* MERGEFORMAT </w:instrText>
          </w:r>
          <w:r>
            <w:fldChar w:fldCharType="separate"/>
          </w:r>
          <w:r>
            <w:rPr>
              <w:noProof/>
            </w:rPr>
            <w:t>2</w:t>
          </w:r>
          <w:r>
            <w:fldChar w:fldCharType="end"/>
          </w:r>
        </w:p>
      </w:tc>
    </w:tr>
    <w:tr w:rsidR="0044262A" w:rsidRPr="007410E8" w:rsidTr="0044262A">
      <w:trPr>
        <w:jc w:val="center"/>
      </w:trPr>
      <w:tc>
        <w:tcPr>
          <w:tcW w:w="2604" w:type="pct"/>
          <w:shd w:val="clear" w:color="auto" w:fill="auto"/>
        </w:tcPr>
        <w:p w:rsidR="0044262A" w:rsidRPr="007410E8" w:rsidRDefault="0044262A" w:rsidP="0035025C">
          <w:pPr>
            <w:pStyle w:val="FooterText"/>
            <w:rPr>
              <w:sz w:val="16"/>
            </w:rPr>
          </w:pPr>
        </w:p>
      </w:tc>
      <w:tc>
        <w:tcPr>
          <w:tcW w:w="1319" w:type="pct"/>
          <w:shd w:val="clear" w:color="auto" w:fill="auto"/>
        </w:tcPr>
        <w:p w:rsidR="0044262A" w:rsidRPr="007410E8" w:rsidRDefault="0044262A" w:rsidP="0035025C">
          <w:pPr>
            <w:pStyle w:val="FooterText"/>
            <w:rPr>
              <w:sz w:val="16"/>
            </w:rPr>
          </w:pPr>
        </w:p>
      </w:tc>
      <w:tc>
        <w:tcPr>
          <w:tcW w:w="1077" w:type="pct"/>
          <w:shd w:val="clear" w:color="auto" w:fill="auto"/>
        </w:tcPr>
        <w:p w:rsidR="0044262A" w:rsidRPr="007410E8" w:rsidRDefault="0044262A" w:rsidP="0035025C">
          <w:pPr>
            <w:pStyle w:val="FooterText"/>
            <w:jc w:val="right"/>
            <w:rPr>
              <w:sz w:val="16"/>
            </w:rPr>
          </w:pPr>
          <w:r>
            <w:rPr>
              <w:b/>
              <w:position w:val="-4"/>
              <w:sz w:val="36"/>
            </w:rPr>
            <w:t>EN</w:t>
          </w:r>
        </w:p>
      </w:tc>
    </w:tr>
    <w:bookmarkEnd w:id="5"/>
  </w:tbl>
  <w:p w:rsidR="009707DC" w:rsidRPr="0044262A" w:rsidRDefault="009707DC" w:rsidP="0044262A">
    <w:pPr>
      <w:pStyle w:val="FooterCouncil"/>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DC" w:rsidRPr="0044262A" w:rsidRDefault="009707DC" w:rsidP="0044262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DC" w:rsidRPr="0044262A" w:rsidRDefault="009707DC" w:rsidP="0044262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DC" w:rsidRPr="0044262A" w:rsidRDefault="009707DC" w:rsidP="0044262A">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DC" w:rsidRPr="0044262A" w:rsidRDefault="009707DC" w:rsidP="004426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17D" w:rsidRDefault="0021217D">
      <w:pPr>
        <w:spacing w:before="0" w:after="0"/>
      </w:pPr>
      <w:r>
        <w:separator/>
      </w:r>
    </w:p>
  </w:footnote>
  <w:footnote w:type="continuationSeparator" w:id="0">
    <w:p w:rsidR="0021217D" w:rsidRDefault="0021217D">
      <w:pPr>
        <w:spacing w:before="0" w:after="0"/>
      </w:pPr>
      <w:r>
        <w:continuationSeparator/>
      </w:r>
    </w:p>
  </w:footnote>
  <w:footnote w:id="1">
    <w:p w:rsidR="00896AB1" w:rsidRDefault="00896AB1" w:rsidP="00896AB1">
      <w:pPr>
        <w:pStyle w:val="FootnoteText"/>
      </w:pPr>
      <w:r>
        <w:rPr>
          <w:rStyle w:val="FootnoteReference"/>
        </w:rPr>
        <w:footnoteRef/>
      </w:r>
      <w:r>
        <w:tab/>
        <w:t>In particular, Council directives 2000/43/EC, 2000/78/EC and 2004/113/EC.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62A" w:rsidRPr="0044262A" w:rsidRDefault="0044262A" w:rsidP="0044262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DC" w:rsidRPr="0044262A" w:rsidRDefault="009707DC" w:rsidP="0044262A">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DC" w:rsidRPr="0044262A" w:rsidRDefault="009707DC" w:rsidP="0044262A">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DC" w:rsidRPr="0044262A" w:rsidRDefault="009707DC" w:rsidP="0044262A">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DC" w:rsidRPr="0044262A" w:rsidRDefault="009707DC" w:rsidP="0044262A">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DC" w:rsidRPr="0044262A" w:rsidRDefault="009707DC" w:rsidP="004426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62A" w:rsidRPr="0044262A" w:rsidRDefault="0044262A" w:rsidP="0044262A">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62A" w:rsidRPr="0044262A" w:rsidRDefault="0044262A" w:rsidP="0044262A">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DC" w:rsidRPr="0044262A" w:rsidRDefault="009707DC" w:rsidP="0044262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44262A" w:rsidRPr="007410E8" w:rsidTr="0044262A">
      <w:trPr>
        <w:jc w:val="center"/>
      </w:trPr>
      <w:tc>
        <w:tcPr>
          <w:tcW w:w="2500" w:type="pct"/>
          <w:shd w:val="clear" w:color="auto" w:fill="auto"/>
        </w:tcPr>
        <w:p w:rsidR="0044262A" w:rsidRPr="007410E8" w:rsidRDefault="0044262A" w:rsidP="0035025C">
          <w:pPr>
            <w:pStyle w:val="HeaderText"/>
            <w:rPr>
              <w:b/>
              <w:i/>
              <w:sz w:val="16"/>
              <w:u w:val="single"/>
            </w:rPr>
          </w:pPr>
          <w:bookmarkStart w:id="4" w:name="HEADER_PRMEET"/>
        </w:p>
      </w:tc>
      <w:tc>
        <w:tcPr>
          <w:tcW w:w="2500" w:type="pct"/>
          <w:shd w:val="clear" w:color="auto" w:fill="auto"/>
        </w:tcPr>
        <w:p w:rsidR="0044262A" w:rsidRPr="007410E8" w:rsidRDefault="0044262A" w:rsidP="0044262A">
          <w:pPr>
            <w:pStyle w:val="HeaderText"/>
            <w:jc w:val="right"/>
            <w:rPr>
              <w:sz w:val="16"/>
            </w:rPr>
          </w:pPr>
          <w:r w:rsidRPr="0044262A">
            <w:t>11 December 2014</w:t>
          </w:r>
        </w:p>
      </w:tc>
    </w:tr>
    <w:bookmarkEnd w:id="4"/>
  </w:tbl>
  <w:p w:rsidR="009707DC" w:rsidRPr="0044262A" w:rsidRDefault="009707DC" w:rsidP="0044262A">
    <w:pPr>
      <w:pStyle w:val="HeaderCouncil"/>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44262A" w:rsidRPr="007410E8" w:rsidTr="0044262A">
      <w:trPr>
        <w:jc w:val="center"/>
      </w:trPr>
      <w:tc>
        <w:tcPr>
          <w:tcW w:w="2500" w:type="pct"/>
          <w:shd w:val="clear" w:color="auto" w:fill="auto"/>
        </w:tcPr>
        <w:p w:rsidR="0044262A" w:rsidRPr="007410E8" w:rsidRDefault="0044262A" w:rsidP="0035025C">
          <w:pPr>
            <w:pStyle w:val="HeaderText"/>
            <w:rPr>
              <w:b/>
              <w:i/>
              <w:sz w:val="16"/>
              <w:u w:val="single"/>
            </w:rPr>
          </w:pPr>
        </w:p>
      </w:tc>
      <w:tc>
        <w:tcPr>
          <w:tcW w:w="2500" w:type="pct"/>
          <w:shd w:val="clear" w:color="auto" w:fill="auto"/>
        </w:tcPr>
        <w:p w:rsidR="0044262A" w:rsidRPr="007410E8" w:rsidRDefault="0044262A" w:rsidP="0044262A">
          <w:pPr>
            <w:pStyle w:val="HeaderText"/>
            <w:jc w:val="right"/>
            <w:rPr>
              <w:sz w:val="16"/>
            </w:rPr>
          </w:pPr>
          <w:r w:rsidRPr="0044262A">
            <w:t>11 December 2014</w:t>
          </w:r>
        </w:p>
      </w:tc>
    </w:tr>
  </w:tbl>
  <w:p w:rsidR="009707DC" w:rsidRPr="0044262A" w:rsidRDefault="009707DC" w:rsidP="0044262A">
    <w:pPr>
      <w:pStyle w:val="HeaderCouncil"/>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DC" w:rsidRPr="0044262A" w:rsidRDefault="009707DC" w:rsidP="0044262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DC" w:rsidRPr="0044262A" w:rsidRDefault="009707DC" w:rsidP="0044262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DC" w:rsidRPr="0044262A" w:rsidRDefault="009707DC" w:rsidP="004426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6A6A94"/>
    <w:lvl w:ilvl="0">
      <w:start w:val="1"/>
      <w:numFmt w:val="decimal"/>
      <w:lvlText w:val="%1."/>
      <w:lvlJc w:val="left"/>
      <w:pPr>
        <w:tabs>
          <w:tab w:val="num" w:pos="1492"/>
        </w:tabs>
        <w:ind w:left="1492" w:hanging="360"/>
      </w:pPr>
    </w:lvl>
  </w:abstractNum>
  <w:abstractNum w:abstractNumId="1">
    <w:nsid w:val="FFFFFF7D"/>
    <w:multiLevelType w:val="singleLevel"/>
    <w:tmpl w:val="D90E90DC"/>
    <w:lvl w:ilvl="0">
      <w:start w:val="1"/>
      <w:numFmt w:val="decimal"/>
      <w:lvlText w:val="%1."/>
      <w:lvlJc w:val="left"/>
      <w:pPr>
        <w:tabs>
          <w:tab w:val="num" w:pos="1209"/>
        </w:tabs>
        <w:ind w:left="1209" w:hanging="360"/>
      </w:pPr>
    </w:lvl>
  </w:abstractNum>
  <w:abstractNum w:abstractNumId="2">
    <w:nsid w:val="FFFFFF7E"/>
    <w:multiLevelType w:val="singleLevel"/>
    <w:tmpl w:val="C69835C2"/>
    <w:lvl w:ilvl="0">
      <w:start w:val="1"/>
      <w:numFmt w:val="decimal"/>
      <w:lvlText w:val="%1."/>
      <w:lvlJc w:val="left"/>
      <w:pPr>
        <w:tabs>
          <w:tab w:val="num" w:pos="926"/>
        </w:tabs>
        <w:ind w:left="926" w:hanging="360"/>
      </w:pPr>
    </w:lvl>
  </w:abstractNum>
  <w:abstractNum w:abstractNumId="3">
    <w:nsid w:val="FFFFFF7F"/>
    <w:multiLevelType w:val="singleLevel"/>
    <w:tmpl w:val="22323F54"/>
    <w:lvl w:ilvl="0">
      <w:start w:val="1"/>
      <w:numFmt w:val="decimal"/>
      <w:lvlText w:val="%1."/>
      <w:lvlJc w:val="left"/>
      <w:pPr>
        <w:tabs>
          <w:tab w:val="num" w:pos="643"/>
        </w:tabs>
        <w:ind w:left="643" w:hanging="360"/>
      </w:pPr>
    </w:lvl>
  </w:abstractNum>
  <w:abstractNum w:abstractNumId="4">
    <w:nsid w:val="FFFFFF80"/>
    <w:multiLevelType w:val="singleLevel"/>
    <w:tmpl w:val="BF9689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20694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ECC209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376A6F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E0CBD4"/>
    <w:lvl w:ilvl="0">
      <w:start w:val="1"/>
      <w:numFmt w:val="decimal"/>
      <w:lvlText w:val="%1."/>
      <w:lvlJc w:val="left"/>
      <w:pPr>
        <w:tabs>
          <w:tab w:val="num" w:pos="360"/>
        </w:tabs>
        <w:ind w:left="360" w:hanging="360"/>
      </w:pPr>
    </w:lvl>
  </w:abstractNum>
  <w:abstractNum w:abstractNumId="9">
    <w:nsid w:val="FFFFFF89"/>
    <w:multiLevelType w:val="singleLevel"/>
    <w:tmpl w:val="33B04DF4"/>
    <w:lvl w:ilvl="0">
      <w:start w:val="1"/>
      <w:numFmt w:val="bullet"/>
      <w:lvlText w:val=""/>
      <w:lvlJc w:val="left"/>
      <w:pPr>
        <w:tabs>
          <w:tab w:val="num" w:pos="360"/>
        </w:tabs>
        <w:ind w:left="360" w:hanging="360"/>
      </w:pPr>
      <w:rPr>
        <w:rFonts w:ascii="Symbol" w:hAnsi="Symbol" w:hint="default"/>
      </w:rPr>
    </w:lvl>
  </w:abstractNum>
  <w:abstractNum w:abstractNumId="1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1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1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1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17">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18">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20">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23">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14"/>
  </w:num>
  <w:num w:numId="2">
    <w:abstractNumId w:val="22"/>
  </w:num>
  <w:num w:numId="3">
    <w:abstractNumId w:val="16"/>
  </w:num>
  <w:num w:numId="4">
    <w:abstractNumId w:val="15"/>
  </w:num>
  <w:num w:numId="5">
    <w:abstractNumId w:val="11"/>
  </w:num>
  <w:num w:numId="6">
    <w:abstractNumId w:val="23"/>
  </w:num>
  <w:num w:numId="7">
    <w:abstractNumId w:val="12"/>
  </w:num>
  <w:num w:numId="8">
    <w:abstractNumId w:val="13"/>
  </w:num>
  <w:num w:numId="9">
    <w:abstractNumId w:val="21"/>
  </w:num>
  <w:num w:numId="10">
    <w:abstractNumId w:val="18"/>
  </w:num>
  <w:num w:numId="11">
    <w:abstractNumId w:val="10"/>
  </w:num>
  <w:num w:numId="12">
    <w:abstractNumId w:val="24"/>
  </w:num>
  <w:num w:numId="13">
    <w:abstractNumId w:val="20"/>
  </w:num>
  <w:num w:numId="14">
    <w:abstractNumId w:val="19"/>
  </w:num>
  <w:num w:numId="15">
    <w:abstractNumId w:val="17"/>
  </w:num>
  <w:num w:numId="16">
    <w:abstractNumId w:val="14"/>
  </w:num>
  <w:num w:numId="17">
    <w:abstractNumId w:val="14"/>
  </w:num>
  <w:num w:numId="18">
    <w:abstractNumId w:val="14"/>
  </w:num>
  <w:num w:numId="19">
    <w:abstractNumId w:val="14"/>
    <w:lvlOverride w:ilvl="0">
      <w:startOverride w:val="1"/>
    </w:lvlOverride>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4"/>
  </w:num>
  <w:num w:numId="31">
    <w:abstractNumId w:val="22"/>
  </w:num>
  <w:num w:numId="32">
    <w:abstractNumId w:val="16"/>
  </w:num>
  <w:num w:numId="33">
    <w:abstractNumId w:val="15"/>
  </w:num>
  <w:num w:numId="34">
    <w:abstractNumId w:val="11"/>
  </w:num>
  <w:num w:numId="35">
    <w:abstractNumId w:val="23"/>
  </w:num>
  <w:num w:numId="36">
    <w:abstractNumId w:val="12"/>
  </w:num>
  <w:num w:numId="37">
    <w:abstractNumId w:val="13"/>
  </w:num>
  <w:num w:numId="38">
    <w:abstractNumId w:val="21"/>
  </w:num>
  <w:num w:numId="39">
    <w:abstractNumId w:val="18"/>
  </w:num>
  <w:num w:numId="40">
    <w:abstractNumId w:val="10"/>
  </w:num>
  <w:num w:numId="41">
    <w:abstractNumId w:val="24"/>
  </w:num>
  <w:num w:numId="42">
    <w:abstractNumId w:val="20"/>
  </w:num>
  <w:num w:numId="43">
    <w:abstractNumId w:val="19"/>
  </w:num>
  <w:num w:numId="44">
    <w:abstractNumId w:val="17"/>
  </w:num>
  <w:num w:numId="45">
    <w:abstractNumId w:val="17"/>
    <w:lvlOverride w:ilvl="0">
      <w:startOverride w:val="1"/>
    </w:lvlOverride>
  </w:num>
  <w:num w:numId="46">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pylist_Path" w:val="\\at100\user\WK\SEILEG\DocuWrite\Copylist\Template"/>
    <w:docVar w:name="Council" w:val="true"/>
    <w:docVar w:name="DocuWriteMetaData" w:val="&lt;metadataset docuwriteversion=&quot;3.4.3&quot; technicalblockguid=&quot;1dcc8bd7-af6a-4d6d-899a-f72423fb2155&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16803&lt;/text&gt;_x000d__x000a_  &lt;/metadata&gt;_x000d__x000a_  &lt;metadata key=&quot;md_YearDocumentNumber&quot;&gt;_x000d__x000a_    &lt;text&gt;2014&lt;/text&gt;_x000d__x000a_  &lt;/metadata&gt;_x000d__x000a_  &lt;metadata key=&quot;md_Suffixes&quot;&gt;_x000d__x000a_    &lt;text&gt;REV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643&lt;/text&gt;_x000d__x000a_      &lt;text&gt;PR CO 69&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Minister for Employment and Social Policy of Italy&quot; name=&quot;Giuliano POLETTI&quot; text=&quot;Giuliano POLETTI, Minister for Employment and Social Policy of Italy&quot; genderKeyBds=&quot;gend_01&quot; /&gt;_x000d__x000a_    &lt;/presidents&gt;_x000d__x000a_  &lt;/metadata&gt;_x000d__x000a_  &lt;metadata key=&quot;md_MeetingNumber&quot;&gt;_x000d__x000a_    &lt;text&gt;3357th Council meeting&lt;/text&gt;_x000d__x000a_  &lt;/metadata&gt;_x000d__x000a_  &lt;metadata key=&quot;md_CouncilConfiguration&quot;&gt;_x000d__x000a_    &lt;basicdatatype&gt;_x000d__x000a_      &lt;configuration key=&quot;cc_05&quot; text=&quot;Employment, Social Policy, Health and Consumer Affairs&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4&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4&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4-12-11&quot;&gt;_x000d__x000a_        &lt;meetinglocation&gt;_x000d__x000a_          &lt;basicdatatype&gt;_x000d__x000a_            &lt;location key=&quot;loc_01&quot; text=&quot;Brussels&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PRMEET"/>
    <w:docVar w:name="LW_DocType" w:val="DW_PRMEET"/>
    <w:docVar w:name="VSSDB_IniPath" w:val="\\at100\user\wovo\SEILEG\vss\srcsafe.ini"/>
    <w:docVar w:name="VSSDB_ProjectPath" w:val="$/DocuWrite/DOT/DW_PRMEET"/>
  </w:docVars>
  <w:rsids>
    <w:rsidRoot w:val="00E254A8"/>
    <w:rsid w:val="000071BC"/>
    <w:rsid w:val="00007B54"/>
    <w:rsid w:val="000259E1"/>
    <w:rsid w:val="00035E1C"/>
    <w:rsid w:val="000704A3"/>
    <w:rsid w:val="00072D77"/>
    <w:rsid w:val="000A63B0"/>
    <w:rsid w:val="000B0190"/>
    <w:rsid w:val="00131127"/>
    <w:rsid w:val="001806EC"/>
    <w:rsid w:val="001828CE"/>
    <w:rsid w:val="001C0938"/>
    <w:rsid w:val="001D6581"/>
    <w:rsid w:val="0021217D"/>
    <w:rsid w:val="00217066"/>
    <w:rsid w:val="00240D79"/>
    <w:rsid w:val="00294834"/>
    <w:rsid w:val="002D5C5C"/>
    <w:rsid w:val="00374442"/>
    <w:rsid w:val="00381958"/>
    <w:rsid w:val="003946C8"/>
    <w:rsid w:val="003A068F"/>
    <w:rsid w:val="003B3394"/>
    <w:rsid w:val="003B3F53"/>
    <w:rsid w:val="003C35F5"/>
    <w:rsid w:val="004121D6"/>
    <w:rsid w:val="0044262A"/>
    <w:rsid w:val="004704BA"/>
    <w:rsid w:val="00491C4B"/>
    <w:rsid w:val="004D653E"/>
    <w:rsid w:val="004D68D2"/>
    <w:rsid w:val="004E25BA"/>
    <w:rsid w:val="004F64A6"/>
    <w:rsid w:val="004F7EAE"/>
    <w:rsid w:val="005150EB"/>
    <w:rsid w:val="00520A7E"/>
    <w:rsid w:val="00537BB4"/>
    <w:rsid w:val="005413C2"/>
    <w:rsid w:val="00544BB2"/>
    <w:rsid w:val="00544C4A"/>
    <w:rsid w:val="00546259"/>
    <w:rsid w:val="0056024F"/>
    <w:rsid w:val="005A0337"/>
    <w:rsid w:val="005D18B7"/>
    <w:rsid w:val="005E58E7"/>
    <w:rsid w:val="005F7F46"/>
    <w:rsid w:val="00614A33"/>
    <w:rsid w:val="00666084"/>
    <w:rsid w:val="0068702A"/>
    <w:rsid w:val="00695521"/>
    <w:rsid w:val="006A56D8"/>
    <w:rsid w:val="006B0E79"/>
    <w:rsid w:val="006F4E9F"/>
    <w:rsid w:val="00734541"/>
    <w:rsid w:val="0074098B"/>
    <w:rsid w:val="00752AD7"/>
    <w:rsid w:val="00762BCF"/>
    <w:rsid w:val="00771BBE"/>
    <w:rsid w:val="007A24A5"/>
    <w:rsid w:val="007C0D56"/>
    <w:rsid w:val="007D16D3"/>
    <w:rsid w:val="007E3060"/>
    <w:rsid w:val="008168C9"/>
    <w:rsid w:val="008231F9"/>
    <w:rsid w:val="00852181"/>
    <w:rsid w:val="00895676"/>
    <w:rsid w:val="00896AB1"/>
    <w:rsid w:val="008F3325"/>
    <w:rsid w:val="00923F5A"/>
    <w:rsid w:val="00926EAF"/>
    <w:rsid w:val="0093043D"/>
    <w:rsid w:val="009707DC"/>
    <w:rsid w:val="0097298B"/>
    <w:rsid w:val="00976E8C"/>
    <w:rsid w:val="00980EF8"/>
    <w:rsid w:val="009E080B"/>
    <w:rsid w:val="009E33EB"/>
    <w:rsid w:val="009E6D97"/>
    <w:rsid w:val="009F4E01"/>
    <w:rsid w:val="00A07788"/>
    <w:rsid w:val="00A15D2D"/>
    <w:rsid w:val="00A20BC0"/>
    <w:rsid w:val="00A33747"/>
    <w:rsid w:val="00A60AF4"/>
    <w:rsid w:val="00A67613"/>
    <w:rsid w:val="00A76CDC"/>
    <w:rsid w:val="00A835B4"/>
    <w:rsid w:val="00A8589D"/>
    <w:rsid w:val="00AA3C40"/>
    <w:rsid w:val="00AE69A1"/>
    <w:rsid w:val="00B03546"/>
    <w:rsid w:val="00B34272"/>
    <w:rsid w:val="00B47A45"/>
    <w:rsid w:val="00B566B3"/>
    <w:rsid w:val="00B6116E"/>
    <w:rsid w:val="00B65AE9"/>
    <w:rsid w:val="00B74955"/>
    <w:rsid w:val="00BC39B5"/>
    <w:rsid w:val="00BC4868"/>
    <w:rsid w:val="00BC6B4F"/>
    <w:rsid w:val="00BD54A3"/>
    <w:rsid w:val="00BD6D35"/>
    <w:rsid w:val="00BD720A"/>
    <w:rsid w:val="00BE6BD1"/>
    <w:rsid w:val="00BF0C15"/>
    <w:rsid w:val="00C0391C"/>
    <w:rsid w:val="00C15EE4"/>
    <w:rsid w:val="00C57AAC"/>
    <w:rsid w:val="00C933BD"/>
    <w:rsid w:val="00CA16BC"/>
    <w:rsid w:val="00CA396F"/>
    <w:rsid w:val="00D03208"/>
    <w:rsid w:val="00D2608A"/>
    <w:rsid w:val="00D45C7C"/>
    <w:rsid w:val="00D672F8"/>
    <w:rsid w:val="00D97C43"/>
    <w:rsid w:val="00DC2A36"/>
    <w:rsid w:val="00DE3292"/>
    <w:rsid w:val="00E254A8"/>
    <w:rsid w:val="00E44457"/>
    <w:rsid w:val="00E70C28"/>
    <w:rsid w:val="00E737DC"/>
    <w:rsid w:val="00EA3302"/>
    <w:rsid w:val="00EB6FDB"/>
    <w:rsid w:val="00EC7F7A"/>
    <w:rsid w:val="00EF5C73"/>
    <w:rsid w:val="00F03F7B"/>
    <w:rsid w:val="00F34F6D"/>
    <w:rsid w:val="00F47470"/>
    <w:rsid w:val="00F52562"/>
    <w:rsid w:val="00FA2445"/>
    <w:rsid w:val="00FC7382"/>
    <w:rsid w:val="00FD346D"/>
    <w:rsid w:val="00FD420C"/>
    <w:rsid w:val="00FD5B64"/>
    <w:rsid w:val="00FD635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eastAsia="en-US"/>
    </w:rPr>
  </w:style>
  <w:style w:type="paragraph" w:styleId="Heading1">
    <w:name w:val="heading 1"/>
    <w:basedOn w:val="Normal"/>
    <w:next w:val="Text1"/>
    <w:qFormat/>
    <w:rsid w:val="00A76CDC"/>
    <w:pPr>
      <w:keepNext/>
      <w:numPr>
        <w:numId w:val="36"/>
      </w:numPr>
      <w:spacing w:before="360"/>
      <w:outlineLvl w:val="0"/>
    </w:pPr>
    <w:rPr>
      <w:b/>
      <w:bCs/>
      <w:smallCaps/>
      <w:szCs w:val="32"/>
    </w:rPr>
  </w:style>
  <w:style w:type="paragraph" w:styleId="Heading2">
    <w:name w:val="heading 2"/>
    <w:basedOn w:val="Normal"/>
    <w:next w:val="Text1"/>
    <w:qFormat/>
    <w:rsid w:val="00A76CDC"/>
    <w:pPr>
      <w:keepNext/>
      <w:numPr>
        <w:ilvl w:val="1"/>
        <w:numId w:val="36"/>
      </w:numPr>
      <w:outlineLvl w:val="1"/>
    </w:pPr>
    <w:rPr>
      <w:b/>
      <w:bCs/>
      <w:iCs/>
      <w:szCs w:val="28"/>
    </w:rPr>
  </w:style>
  <w:style w:type="paragraph" w:styleId="Heading3">
    <w:name w:val="heading 3"/>
    <w:basedOn w:val="Normal"/>
    <w:next w:val="Text1"/>
    <w:qFormat/>
    <w:rsid w:val="00A76CDC"/>
    <w:pPr>
      <w:keepNext/>
      <w:numPr>
        <w:ilvl w:val="2"/>
        <w:numId w:val="36"/>
      </w:numPr>
      <w:outlineLvl w:val="2"/>
    </w:pPr>
    <w:rPr>
      <w:bCs/>
      <w:i/>
      <w:szCs w:val="26"/>
    </w:rPr>
  </w:style>
  <w:style w:type="paragraph" w:styleId="Heading4">
    <w:name w:val="heading 4"/>
    <w:basedOn w:val="Normal"/>
    <w:next w:val="Text1"/>
    <w:qFormat/>
    <w:rsid w:val="00A76CDC"/>
    <w:pPr>
      <w:keepNext/>
      <w:numPr>
        <w:ilvl w:val="3"/>
        <w:numId w:val="36"/>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E254A8"/>
    <w:pPr>
      <w:spacing w:before="0" w:after="440"/>
      <w:ind w:left="-1134" w:right="-1134"/>
    </w:pPr>
    <w:rPr>
      <w:sz w:val="2"/>
    </w:rPr>
  </w:style>
  <w:style w:type="character" w:customStyle="1" w:styleId="TechnicalBlockChar">
    <w:name w:val="Technical Block Char"/>
    <w:rsid w:val="00E254A8"/>
    <w:rPr>
      <w:sz w:val="24"/>
      <w:szCs w:val="24"/>
      <w:lang w:eastAsia="en-US"/>
    </w:rPr>
  </w:style>
  <w:style w:type="character" w:customStyle="1" w:styleId="HeaderCouncilLargeChar">
    <w:name w:val="Header Council Large Char"/>
    <w:link w:val="HeaderCouncilLarge"/>
    <w:rsid w:val="00E254A8"/>
    <w:rPr>
      <w:sz w:val="2"/>
      <w:szCs w:val="24"/>
      <w:lang w:eastAsia="en-US"/>
    </w:rPr>
  </w:style>
  <w:style w:type="paragraph" w:customStyle="1" w:styleId="FooterText">
    <w:name w:val="Footer Text"/>
    <w:basedOn w:val="Normal"/>
    <w:rsid w:val="00E254A8"/>
    <w:pPr>
      <w:spacing w:before="0" w:after="0"/>
    </w:pPr>
  </w:style>
  <w:style w:type="paragraph" w:customStyle="1" w:styleId="FooterAddressText">
    <w:name w:val="Footer Address Text"/>
    <w:basedOn w:val="FooterText"/>
    <w:qFormat/>
    <w:rsid w:val="00E254A8"/>
    <w:pPr>
      <w:jc w:val="center"/>
    </w:pPr>
    <w:rPr>
      <w:spacing w:val="10"/>
      <w:sz w:val="16"/>
      <w:szCs w:val="16"/>
    </w:rPr>
  </w:style>
  <w:style w:type="character" w:styleId="Hyperlink">
    <w:name w:val="Hyperlink"/>
    <w:unhideWhenUsed/>
    <w:qFormat/>
    <w:rsid w:val="00E254A8"/>
    <w:rPr>
      <w:color w:val="0000FF"/>
      <w:u w:val="single"/>
    </w:rPr>
  </w:style>
  <w:style w:type="paragraph" w:customStyle="1" w:styleId="HeaderText">
    <w:name w:val="Header Text"/>
    <w:basedOn w:val="Normal"/>
    <w:rsid w:val="00E254A8"/>
    <w:pPr>
      <w:spacing w:before="0" w:after="0"/>
    </w:pPr>
  </w:style>
  <w:style w:type="character" w:styleId="CommentReference">
    <w:name w:val="annotation reference"/>
    <w:uiPriority w:val="99"/>
    <w:semiHidden/>
    <w:unhideWhenUsed/>
    <w:rsid w:val="00762BCF"/>
    <w:rPr>
      <w:sz w:val="16"/>
      <w:szCs w:val="16"/>
    </w:rPr>
  </w:style>
  <w:style w:type="paragraph" w:styleId="CommentText">
    <w:name w:val="annotation text"/>
    <w:basedOn w:val="Normal"/>
    <w:link w:val="CommentTextChar"/>
    <w:uiPriority w:val="99"/>
    <w:semiHidden/>
    <w:unhideWhenUsed/>
    <w:rsid w:val="00762BCF"/>
    <w:rPr>
      <w:sz w:val="20"/>
      <w:szCs w:val="20"/>
    </w:rPr>
  </w:style>
  <w:style w:type="character" w:customStyle="1" w:styleId="CommentTextChar">
    <w:name w:val="Comment Text Char"/>
    <w:link w:val="CommentText"/>
    <w:uiPriority w:val="99"/>
    <w:semiHidden/>
    <w:rsid w:val="00762BCF"/>
    <w:rPr>
      <w:lang w:eastAsia="en-US"/>
    </w:rPr>
  </w:style>
  <w:style w:type="paragraph" w:styleId="CommentSubject">
    <w:name w:val="annotation subject"/>
    <w:basedOn w:val="CommentText"/>
    <w:next w:val="CommentText"/>
    <w:link w:val="CommentSubjectChar"/>
    <w:uiPriority w:val="99"/>
    <w:semiHidden/>
    <w:unhideWhenUsed/>
    <w:rsid w:val="00762BCF"/>
    <w:rPr>
      <w:b/>
      <w:bCs/>
    </w:rPr>
  </w:style>
  <w:style w:type="character" w:customStyle="1" w:styleId="CommentSubjectChar">
    <w:name w:val="Comment Subject Char"/>
    <w:link w:val="CommentSubject"/>
    <w:uiPriority w:val="99"/>
    <w:semiHidden/>
    <w:rsid w:val="00762BCF"/>
    <w:rPr>
      <w:b/>
      <w:bCs/>
      <w:lang w:eastAsia="en-US"/>
    </w:rPr>
  </w:style>
  <w:style w:type="paragraph" w:customStyle="1" w:styleId="pointmanual">
    <w:name w:val="pointmanual"/>
    <w:basedOn w:val="Normal"/>
    <w:rsid w:val="000259E1"/>
    <w:pPr>
      <w:spacing w:before="100" w:beforeAutospacing="1" w:after="100" w:afterAutospacing="1"/>
    </w:pPr>
    <w:rPr>
      <w:rFonts w:eastAsia="Calibri"/>
      <w:lang w:eastAsia="en-GB"/>
    </w:rPr>
  </w:style>
  <w:style w:type="character" w:customStyle="1" w:styleId="Text3Char">
    <w:name w:val="Text 3 Char"/>
    <w:locked/>
    <w:rsid w:val="000259E1"/>
    <w:rPr>
      <w:sz w:val="24"/>
      <w:szCs w:val="24"/>
      <w:lang w:eastAsia="en-US"/>
    </w:rPr>
  </w:style>
  <w:style w:type="paragraph" w:customStyle="1" w:styleId="PointManual0">
    <w:name w:val="Point Manual"/>
    <w:basedOn w:val="Normal"/>
    <w:rsid w:val="000259E1"/>
    <w:pPr>
      <w:spacing w:before="200" w:after="0"/>
      <w:ind w:left="567" w:hanging="567"/>
    </w:pPr>
  </w:style>
  <w:style w:type="paragraph" w:customStyle="1" w:styleId="EntEmet">
    <w:name w:val="EntEmet"/>
    <w:basedOn w:val="Normal"/>
    <w:rsid w:val="00896AB1"/>
    <w:pPr>
      <w:widowControl w:val="0"/>
      <w:tabs>
        <w:tab w:val="left" w:pos="284"/>
        <w:tab w:val="left" w:pos="567"/>
        <w:tab w:val="left" w:pos="851"/>
        <w:tab w:val="left" w:pos="1134"/>
        <w:tab w:val="left" w:pos="1418"/>
      </w:tabs>
      <w:spacing w:before="40" w:after="0"/>
    </w:pPr>
    <w:rPr>
      <w:szCs w:val="20"/>
      <w:lang w:eastAsia="fr-BE"/>
    </w:rPr>
  </w:style>
  <w:style w:type="character" w:customStyle="1" w:styleId="FootnoteTextChar">
    <w:name w:val="Footnote Text Char"/>
    <w:aliases w:val="Reference Char,footnote Char,Note de bas de page Car1 Car Char,Note de bas de page Car Car1 Car Char,Note de bas de page Car1 Car Car1 Car Char,Note de bas de page Car Car Car Car Car1 Car Char,Note de bas de page Car Car Car Car Char"/>
    <w:rsid w:val="00896AB1"/>
    <w:rPr>
      <w:sz w:val="24"/>
      <w:lang w:eastAsia="en-US"/>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al"/>
    <w:link w:val="FootnoteReference"/>
    <w:uiPriority w:val="99"/>
    <w:rsid w:val="00896AB1"/>
    <w:pPr>
      <w:spacing w:before="0" w:after="160" w:line="240" w:lineRule="exact"/>
    </w:pPr>
    <w:rPr>
      <w:b/>
      <w:sz w:val="20"/>
      <w:szCs w:val="20"/>
      <w:vertAlign w:val="superscript"/>
      <w:lang w:eastAsia="en-GB"/>
    </w:rPr>
  </w:style>
  <w:style w:type="character" w:customStyle="1" w:styleId="Heading2Char">
    <w:name w:val="Heading 2 Char"/>
    <w:rsid w:val="00896AB1"/>
    <w:rPr>
      <w:b/>
      <w:bCs/>
      <w:iCs/>
      <w:sz w:val="24"/>
      <w:szCs w:val="28"/>
      <w:lang w:eastAsia="en-US"/>
    </w:rPr>
  </w:style>
  <w:style w:type="paragraph" w:customStyle="1" w:styleId="Heading">
    <w:name w:val="Heading"/>
    <w:basedOn w:val="Heading2"/>
    <w:rsid w:val="00896AB1"/>
  </w:style>
  <w:style w:type="character" w:styleId="FollowedHyperlink">
    <w:name w:val="FollowedHyperlink"/>
    <w:uiPriority w:val="99"/>
    <w:semiHidden/>
    <w:unhideWhenUsed/>
    <w:rsid w:val="00E70C28"/>
    <w:rPr>
      <w:color w:val="800080"/>
      <w:u w:val="single"/>
    </w:rPr>
  </w:style>
  <w:style w:type="paragraph" w:styleId="NormalWeb">
    <w:name w:val="Normal (Web)"/>
    <w:basedOn w:val="Normal"/>
    <w:uiPriority w:val="99"/>
    <w:unhideWhenUsed/>
    <w:rsid w:val="00614A33"/>
    <w:pPr>
      <w:spacing w:before="100" w:beforeAutospacing="1" w:after="100" w:afterAutospacing="1"/>
    </w:pPr>
    <w:rPr>
      <w:rFonts w:eastAsia="Calibri"/>
      <w:lang w:eastAsia="en-GB"/>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44"/>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link w:val="BVIfnrZnak"/>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43"/>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30"/>
      </w:numPr>
    </w:pPr>
  </w:style>
  <w:style w:type="paragraph" w:customStyle="1" w:styleId="Tiret1">
    <w:name w:val="Tiret 1"/>
    <w:basedOn w:val="Normal"/>
    <w:rsid w:val="00A76CDC"/>
    <w:pPr>
      <w:numPr>
        <w:numId w:val="31"/>
      </w:numPr>
      <w:outlineLvl w:val="0"/>
    </w:pPr>
  </w:style>
  <w:style w:type="paragraph" w:customStyle="1" w:styleId="Tiret2">
    <w:name w:val="Tiret 2"/>
    <w:basedOn w:val="Normal"/>
    <w:rsid w:val="00A76CDC"/>
    <w:pPr>
      <w:numPr>
        <w:numId w:val="32"/>
      </w:numPr>
      <w:outlineLvl w:val="1"/>
    </w:pPr>
  </w:style>
  <w:style w:type="paragraph" w:customStyle="1" w:styleId="Tiret3">
    <w:name w:val="Tiret 3"/>
    <w:basedOn w:val="Normal"/>
    <w:rsid w:val="00A76CDC"/>
    <w:pPr>
      <w:numPr>
        <w:numId w:val="33"/>
      </w:numPr>
      <w:outlineLvl w:val="2"/>
    </w:pPr>
  </w:style>
  <w:style w:type="paragraph" w:customStyle="1" w:styleId="Tiret4">
    <w:name w:val="Tiret 4"/>
    <w:basedOn w:val="Normal"/>
    <w:rsid w:val="00A76CDC"/>
    <w:pPr>
      <w:numPr>
        <w:numId w:val="34"/>
      </w:numPr>
      <w:outlineLvl w:val="3"/>
    </w:pPr>
  </w:style>
  <w:style w:type="paragraph" w:customStyle="1" w:styleId="NumPar1">
    <w:name w:val="NumPar 1"/>
    <w:basedOn w:val="Normal"/>
    <w:next w:val="Text1"/>
    <w:rsid w:val="00A76CDC"/>
    <w:pPr>
      <w:numPr>
        <w:numId w:val="35"/>
      </w:numPr>
      <w:outlineLvl w:val="0"/>
    </w:pPr>
  </w:style>
  <w:style w:type="paragraph" w:customStyle="1" w:styleId="NumPar2">
    <w:name w:val="NumPar 2"/>
    <w:basedOn w:val="Normal"/>
    <w:next w:val="Text1"/>
    <w:rsid w:val="00A76CDC"/>
    <w:pPr>
      <w:numPr>
        <w:ilvl w:val="1"/>
        <w:numId w:val="35"/>
      </w:numPr>
      <w:outlineLvl w:val="1"/>
    </w:pPr>
  </w:style>
  <w:style w:type="paragraph" w:customStyle="1" w:styleId="NumPar3">
    <w:name w:val="NumPar 3"/>
    <w:basedOn w:val="Normal"/>
    <w:next w:val="Text1"/>
    <w:rsid w:val="00A76CDC"/>
    <w:pPr>
      <w:numPr>
        <w:ilvl w:val="2"/>
        <w:numId w:val="35"/>
      </w:numPr>
      <w:outlineLvl w:val="2"/>
    </w:pPr>
  </w:style>
  <w:style w:type="paragraph" w:customStyle="1" w:styleId="NumPar4">
    <w:name w:val="NumPar 4"/>
    <w:basedOn w:val="Normal"/>
    <w:next w:val="Text1"/>
    <w:rsid w:val="00A76CDC"/>
    <w:pPr>
      <w:numPr>
        <w:ilvl w:val="3"/>
        <w:numId w:val="35"/>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37"/>
      </w:numPr>
    </w:pPr>
  </w:style>
  <w:style w:type="paragraph" w:customStyle="1" w:styleId="Point1number">
    <w:name w:val="Point 1 (number)"/>
    <w:basedOn w:val="Normal"/>
    <w:rsid w:val="00A76CDC"/>
    <w:pPr>
      <w:numPr>
        <w:ilvl w:val="2"/>
        <w:numId w:val="37"/>
      </w:numPr>
      <w:outlineLvl w:val="0"/>
    </w:pPr>
  </w:style>
  <w:style w:type="paragraph" w:customStyle="1" w:styleId="Point2number">
    <w:name w:val="Point 2 (number)"/>
    <w:basedOn w:val="Normal"/>
    <w:rsid w:val="00A76CDC"/>
    <w:pPr>
      <w:numPr>
        <w:ilvl w:val="4"/>
        <w:numId w:val="37"/>
      </w:numPr>
      <w:outlineLvl w:val="1"/>
    </w:pPr>
  </w:style>
  <w:style w:type="paragraph" w:customStyle="1" w:styleId="Point3number">
    <w:name w:val="Point 3 (number)"/>
    <w:basedOn w:val="Normal"/>
    <w:rsid w:val="00A76CDC"/>
    <w:pPr>
      <w:numPr>
        <w:ilvl w:val="6"/>
        <w:numId w:val="37"/>
      </w:numPr>
      <w:outlineLvl w:val="2"/>
    </w:pPr>
  </w:style>
  <w:style w:type="paragraph" w:customStyle="1" w:styleId="Point0letter">
    <w:name w:val="Point 0 (letter)"/>
    <w:basedOn w:val="Normal"/>
    <w:rsid w:val="00A76CDC"/>
    <w:pPr>
      <w:numPr>
        <w:ilvl w:val="1"/>
        <w:numId w:val="37"/>
      </w:numPr>
    </w:pPr>
  </w:style>
  <w:style w:type="paragraph" w:customStyle="1" w:styleId="Point1letter">
    <w:name w:val="Point 1 (letter)"/>
    <w:basedOn w:val="Normal"/>
    <w:rsid w:val="00A76CDC"/>
    <w:pPr>
      <w:numPr>
        <w:ilvl w:val="3"/>
        <w:numId w:val="37"/>
      </w:numPr>
      <w:outlineLvl w:val="0"/>
    </w:pPr>
  </w:style>
  <w:style w:type="paragraph" w:customStyle="1" w:styleId="Point2letter">
    <w:name w:val="Point 2 (letter)"/>
    <w:basedOn w:val="Normal"/>
    <w:rsid w:val="00A76CDC"/>
    <w:pPr>
      <w:numPr>
        <w:ilvl w:val="5"/>
        <w:numId w:val="37"/>
      </w:numPr>
      <w:outlineLvl w:val="1"/>
    </w:pPr>
  </w:style>
  <w:style w:type="paragraph" w:customStyle="1" w:styleId="Point3letter">
    <w:name w:val="Point 3 (letter)"/>
    <w:basedOn w:val="Normal"/>
    <w:rsid w:val="00A76CDC"/>
    <w:pPr>
      <w:numPr>
        <w:ilvl w:val="7"/>
        <w:numId w:val="37"/>
      </w:numPr>
      <w:outlineLvl w:val="2"/>
    </w:pPr>
  </w:style>
  <w:style w:type="paragraph" w:customStyle="1" w:styleId="Point4letter">
    <w:name w:val="Point 4 (letter)"/>
    <w:basedOn w:val="Normal"/>
    <w:rsid w:val="00A76CDC"/>
    <w:pPr>
      <w:numPr>
        <w:ilvl w:val="8"/>
        <w:numId w:val="37"/>
      </w:numPr>
      <w:outlineLvl w:val="3"/>
    </w:pPr>
  </w:style>
  <w:style w:type="paragraph" w:customStyle="1" w:styleId="Bullet0">
    <w:name w:val="Bullet 0"/>
    <w:basedOn w:val="Normal"/>
    <w:rsid w:val="00A76CDC"/>
    <w:pPr>
      <w:numPr>
        <w:numId w:val="38"/>
      </w:numPr>
    </w:pPr>
  </w:style>
  <w:style w:type="paragraph" w:customStyle="1" w:styleId="Bullet1">
    <w:name w:val="Bullet 1"/>
    <w:basedOn w:val="Normal"/>
    <w:rsid w:val="00A76CDC"/>
    <w:pPr>
      <w:numPr>
        <w:numId w:val="39"/>
      </w:numPr>
      <w:outlineLvl w:val="0"/>
    </w:pPr>
  </w:style>
  <w:style w:type="paragraph" w:customStyle="1" w:styleId="Bullet2">
    <w:name w:val="Bullet 2"/>
    <w:basedOn w:val="Normal"/>
    <w:rsid w:val="00A76CDC"/>
    <w:pPr>
      <w:numPr>
        <w:numId w:val="40"/>
      </w:numPr>
      <w:outlineLvl w:val="1"/>
    </w:pPr>
  </w:style>
  <w:style w:type="paragraph" w:customStyle="1" w:styleId="Bullet3">
    <w:name w:val="Bullet 3"/>
    <w:basedOn w:val="Normal"/>
    <w:rsid w:val="00A76CDC"/>
    <w:pPr>
      <w:numPr>
        <w:numId w:val="41"/>
      </w:numPr>
      <w:outlineLvl w:val="2"/>
    </w:pPr>
  </w:style>
  <w:style w:type="paragraph" w:customStyle="1" w:styleId="Bullet4">
    <w:name w:val="Bullet 4"/>
    <w:basedOn w:val="Normal"/>
    <w:rsid w:val="00A76CDC"/>
    <w:pPr>
      <w:numPr>
        <w:numId w:val="42"/>
      </w:numPr>
      <w:outlineLvl w:val="3"/>
    </w:pPr>
  </w:style>
  <w:style w:type="character" w:customStyle="1" w:styleId="Marker">
    <w:name w:val="Marker"/>
    <w:rsid w:val="00A76CDC"/>
    <w:rPr>
      <w:color w:val="0000FF"/>
      <w:shd w:val="clear" w:color="auto" w:fill="auto"/>
    </w:rPr>
  </w:style>
  <w:style w:type="character" w:customStyle="1" w:styleId="Marker1">
    <w:name w:val="Marker1"/>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A76CDC"/>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styleId="BalloonText">
    <w:name w:val="Balloon Text"/>
    <w:basedOn w:val="Normal"/>
    <w:link w:val="BalloonTextChar"/>
    <w:uiPriority w:val="99"/>
    <w:semiHidden/>
    <w:unhideWhenUsed/>
    <w:rsid w:val="00A60AF4"/>
    <w:pPr>
      <w:spacing w:before="0" w:after="0"/>
    </w:pPr>
    <w:rPr>
      <w:rFonts w:ascii="Tahoma" w:hAnsi="Tahoma" w:cs="Tahoma"/>
      <w:sz w:val="16"/>
      <w:szCs w:val="16"/>
    </w:rPr>
  </w:style>
  <w:style w:type="character" w:customStyle="1" w:styleId="BalloonTextChar">
    <w:name w:val="Balloon Text Char"/>
    <w:link w:val="BalloonText"/>
    <w:uiPriority w:val="99"/>
    <w:semiHidden/>
    <w:rsid w:val="00A60AF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yperlink" Target="http://register.consilium.europa.eu/pdf/en/14/st15/st15988.en14.pdf" TargetMode="External"/><Relationship Id="rId21" Type="http://schemas.openxmlformats.org/officeDocument/2006/relationships/footer" Target="footer6.xml"/><Relationship Id="rId34" Type="http://schemas.openxmlformats.org/officeDocument/2006/relationships/hyperlink" Target="http://register.consilium.europa.eu/pdf/en/14/st16/st16031.en14.pdf" TargetMode="External"/><Relationship Id="rId42" Type="http://schemas.openxmlformats.org/officeDocument/2006/relationships/footer" Target="footer10.xml"/><Relationship Id="rId47" Type="http://schemas.openxmlformats.org/officeDocument/2006/relationships/hyperlink" Target="http://register.consilium.europa.eu/pdf/en/14/st14/st14729.en14.pdf" TargetMode="External"/><Relationship Id="rId50" Type="http://schemas.openxmlformats.org/officeDocument/2006/relationships/hyperlink" Target="http://register.consilium.europa.eu/pdf/en/14/st14/st14419.en14.pdf"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yperlink" Target="http://register.consilium.europa.eu/pdf/en/14/st15/st15705-ad01re01.en14.pdf" TargetMode="External"/><Relationship Id="rId38" Type="http://schemas.openxmlformats.org/officeDocument/2006/relationships/hyperlink" Target="http://register.consilium.europa.eu/pdf/en/14/st15/st15953.en14.pdf" TargetMode="External"/><Relationship Id="rId46" Type="http://schemas.openxmlformats.org/officeDocument/2006/relationships/hyperlink" Target="http://register.consilium.europa.eu/pdf/en/14/st14/st14431-ad01.en14.pdf" TargetMode="Externa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yperlink" Target="http://register.consilium.europa.eu/pdf/en/14/st16/st16333.en14.pdf" TargetMode="External"/><Relationship Id="rId41" Type="http://schemas.openxmlformats.org/officeDocument/2006/relationships/header" Target="header11.xml"/><Relationship Id="rId54"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yperlink" Target="http://register.consilium.europa.eu/pdf/en/14/st16/st16300.en14.pdf" TargetMode="External"/><Relationship Id="rId37" Type="http://schemas.openxmlformats.org/officeDocument/2006/relationships/hyperlink" Target="http://register.consilium.europa.eu/pdf/en/14/st15/st15985.en14.pdf" TargetMode="External"/><Relationship Id="rId40" Type="http://schemas.openxmlformats.org/officeDocument/2006/relationships/hyperlink" Target="http://register.consilium.europa.eu/pdf/en/14/st16/st16304.en14.pdf" TargetMode="External"/><Relationship Id="rId45" Type="http://schemas.openxmlformats.org/officeDocument/2006/relationships/hyperlink" Target="http://register.consilium.europa.eu/pdf/en/14/st14/st14431.en14.pdf" TargetMode="External"/><Relationship Id="rId53"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yperlink" Target="http://register.consilium.europa.eu/pdf/en/14/st15/st15949.en14.pdf" TargetMode="External"/><Relationship Id="rId36" Type="http://schemas.openxmlformats.org/officeDocument/2006/relationships/hyperlink" Target="http://register.consilium.europa.eu/pdf/en/14/st16/st16031-ad02.en14.pdf" TargetMode="External"/><Relationship Id="rId49" Type="http://schemas.openxmlformats.org/officeDocument/2006/relationships/hyperlink" Target="http://register.consilium.europa.eu/pdf/en/14/st14/st14538.en14.pdf" TargetMode="Externa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yperlink" Target="http://register.consilium.europa.eu/pdf/en/14/st16/st16148-re01.en14.pdf" TargetMode="External"/><Relationship Id="rId44" Type="http://schemas.openxmlformats.org/officeDocument/2006/relationships/footer" Target="footer11.xml"/><Relationship Id="rId52"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hyperlink" Target="http://register.consilium.europa.eu/pdf/en/14/st16/st16333-co01.en14.pdf" TargetMode="External"/><Relationship Id="rId35" Type="http://schemas.openxmlformats.org/officeDocument/2006/relationships/hyperlink" Target="http://register.consilium.europa.eu/pdf/en/14/st16/st16031-ad01.en14.pdf" TargetMode="External"/><Relationship Id="rId43" Type="http://schemas.openxmlformats.org/officeDocument/2006/relationships/header" Target="header12.xml"/><Relationship Id="rId48" Type="http://schemas.openxmlformats.org/officeDocument/2006/relationships/hyperlink" Target="http://register.consilium.europa.eu/pdf/en/14/st14/st14729-ad01.en14.pdf" TargetMode="External"/><Relationship Id="rId56"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header" Target="header13.xml"/><Relationship Id="rId3" Type="http://schemas.microsoft.com/office/2007/relationships/stylesWithEffects" Target="stylesWithEffects.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3</TotalTime>
  <Pages>14</Pages>
  <Words>4042</Words>
  <Characters>23046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27034</CharactersWithSpaces>
  <SharedDoc>false</SharedDoc>
  <HLinks>
    <vt:vector size="126" baseType="variant">
      <vt:variant>
        <vt:i4>3538991</vt:i4>
      </vt:variant>
      <vt:variant>
        <vt:i4>96</vt:i4>
      </vt:variant>
      <vt:variant>
        <vt:i4>0</vt:i4>
      </vt:variant>
      <vt:variant>
        <vt:i4>5</vt:i4>
      </vt:variant>
      <vt:variant>
        <vt:lpwstr>http://register.consilium.europa.eu/pdf/en/14/st14/st14419.en14.pdf</vt:lpwstr>
      </vt:variant>
      <vt:variant>
        <vt:lpwstr/>
      </vt:variant>
      <vt:variant>
        <vt:i4>3538989</vt:i4>
      </vt:variant>
      <vt:variant>
        <vt:i4>93</vt:i4>
      </vt:variant>
      <vt:variant>
        <vt:i4>0</vt:i4>
      </vt:variant>
      <vt:variant>
        <vt:i4>5</vt:i4>
      </vt:variant>
      <vt:variant>
        <vt:lpwstr>http://register.consilium.europa.eu/pdf/en/14/st14/st14538.en14.pdf</vt:lpwstr>
      </vt:variant>
      <vt:variant>
        <vt:lpwstr/>
      </vt:variant>
      <vt:variant>
        <vt:i4>1572942</vt:i4>
      </vt:variant>
      <vt:variant>
        <vt:i4>90</vt:i4>
      </vt:variant>
      <vt:variant>
        <vt:i4>0</vt:i4>
      </vt:variant>
      <vt:variant>
        <vt:i4>5</vt:i4>
      </vt:variant>
      <vt:variant>
        <vt:lpwstr>http://register.consilium.europa.eu/pdf/en/14/st14/st14729-ad01.en14.pdf</vt:lpwstr>
      </vt:variant>
      <vt:variant>
        <vt:lpwstr/>
      </vt:variant>
      <vt:variant>
        <vt:i4>3473452</vt:i4>
      </vt:variant>
      <vt:variant>
        <vt:i4>87</vt:i4>
      </vt:variant>
      <vt:variant>
        <vt:i4>0</vt:i4>
      </vt:variant>
      <vt:variant>
        <vt:i4>5</vt:i4>
      </vt:variant>
      <vt:variant>
        <vt:lpwstr>http://register.consilium.europa.eu/pdf/en/14/st14/st14729.en14.pdf</vt:lpwstr>
      </vt:variant>
      <vt:variant>
        <vt:lpwstr/>
      </vt:variant>
      <vt:variant>
        <vt:i4>1245263</vt:i4>
      </vt:variant>
      <vt:variant>
        <vt:i4>84</vt:i4>
      </vt:variant>
      <vt:variant>
        <vt:i4>0</vt:i4>
      </vt:variant>
      <vt:variant>
        <vt:i4>5</vt:i4>
      </vt:variant>
      <vt:variant>
        <vt:lpwstr>http://register.consilium.europa.eu/pdf/en/14/st14/st14431-ad01.en14.pdf</vt:lpwstr>
      </vt:variant>
      <vt:variant>
        <vt:lpwstr/>
      </vt:variant>
      <vt:variant>
        <vt:i4>4063277</vt:i4>
      </vt:variant>
      <vt:variant>
        <vt:i4>81</vt:i4>
      </vt:variant>
      <vt:variant>
        <vt:i4>0</vt:i4>
      </vt:variant>
      <vt:variant>
        <vt:i4>5</vt:i4>
      </vt:variant>
      <vt:variant>
        <vt:lpwstr>http://register.consilium.europa.eu/pdf/en/14/st14/st14431.en14.pdf</vt:lpwstr>
      </vt:variant>
      <vt:variant>
        <vt:lpwstr/>
      </vt:variant>
      <vt:variant>
        <vt:i4>4063276</vt:i4>
      </vt:variant>
      <vt:variant>
        <vt:i4>78</vt:i4>
      </vt:variant>
      <vt:variant>
        <vt:i4>0</vt:i4>
      </vt:variant>
      <vt:variant>
        <vt:i4>5</vt:i4>
      </vt:variant>
      <vt:variant>
        <vt:lpwstr>http://register.consilium.europa.eu/pdf/en/14/st16/st16304.en14.pdf</vt:lpwstr>
      </vt:variant>
      <vt:variant>
        <vt:lpwstr/>
      </vt:variant>
      <vt:variant>
        <vt:i4>3866663</vt:i4>
      </vt:variant>
      <vt:variant>
        <vt:i4>75</vt:i4>
      </vt:variant>
      <vt:variant>
        <vt:i4>0</vt:i4>
      </vt:variant>
      <vt:variant>
        <vt:i4>5</vt:i4>
      </vt:variant>
      <vt:variant>
        <vt:lpwstr>http://register.consilium.europa.eu/pdf/en/14/st15/st15988.en14.pdf</vt:lpwstr>
      </vt:variant>
      <vt:variant>
        <vt:lpwstr/>
      </vt:variant>
      <vt:variant>
        <vt:i4>3145770</vt:i4>
      </vt:variant>
      <vt:variant>
        <vt:i4>72</vt:i4>
      </vt:variant>
      <vt:variant>
        <vt:i4>0</vt:i4>
      </vt:variant>
      <vt:variant>
        <vt:i4>5</vt:i4>
      </vt:variant>
      <vt:variant>
        <vt:lpwstr>http://register.consilium.europa.eu/pdf/en/14/st15/st15953.en14.pdf</vt:lpwstr>
      </vt:variant>
      <vt:variant>
        <vt:lpwstr/>
      </vt:variant>
      <vt:variant>
        <vt:i4>3538983</vt:i4>
      </vt:variant>
      <vt:variant>
        <vt:i4>69</vt:i4>
      </vt:variant>
      <vt:variant>
        <vt:i4>0</vt:i4>
      </vt:variant>
      <vt:variant>
        <vt:i4>5</vt:i4>
      </vt:variant>
      <vt:variant>
        <vt:lpwstr>http://register.consilium.europa.eu/pdf/en/14/st15/st15985.en14.pdf</vt:lpwstr>
      </vt:variant>
      <vt:variant>
        <vt:lpwstr/>
      </vt:variant>
      <vt:variant>
        <vt:i4>1376334</vt:i4>
      </vt:variant>
      <vt:variant>
        <vt:i4>66</vt:i4>
      </vt:variant>
      <vt:variant>
        <vt:i4>0</vt:i4>
      </vt:variant>
      <vt:variant>
        <vt:i4>5</vt:i4>
      </vt:variant>
      <vt:variant>
        <vt:lpwstr>http://register.consilium.europa.eu/pdf/en/14/st16/st16031-ad02.en14.pdf</vt:lpwstr>
      </vt:variant>
      <vt:variant>
        <vt:lpwstr/>
      </vt:variant>
      <vt:variant>
        <vt:i4>1376333</vt:i4>
      </vt:variant>
      <vt:variant>
        <vt:i4>63</vt:i4>
      </vt:variant>
      <vt:variant>
        <vt:i4>0</vt:i4>
      </vt:variant>
      <vt:variant>
        <vt:i4>5</vt:i4>
      </vt:variant>
      <vt:variant>
        <vt:lpwstr>http://register.consilium.europa.eu/pdf/en/14/st16/st16031-ad01.en14.pdf</vt:lpwstr>
      </vt:variant>
      <vt:variant>
        <vt:lpwstr/>
      </vt:variant>
      <vt:variant>
        <vt:i4>3670063</vt:i4>
      </vt:variant>
      <vt:variant>
        <vt:i4>60</vt:i4>
      </vt:variant>
      <vt:variant>
        <vt:i4>0</vt:i4>
      </vt:variant>
      <vt:variant>
        <vt:i4>5</vt:i4>
      </vt:variant>
      <vt:variant>
        <vt:lpwstr>http://register.consilium.europa.eu/pdf/en/14/st16/st16031.en14.pdf</vt:lpwstr>
      </vt:variant>
      <vt:variant>
        <vt:lpwstr/>
      </vt:variant>
      <vt:variant>
        <vt:i4>5701657</vt:i4>
      </vt:variant>
      <vt:variant>
        <vt:i4>57</vt:i4>
      </vt:variant>
      <vt:variant>
        <vt:i4>0</vt:i4>
      </vt:variant>
      <vt:variant>
        <vt:i4>5</vt:i4>
      </vt:variant>
      <vt:variant>
        <vt:lpwstr>http://register.consilium.europa.eu/pdf/en/14/st15/st15705-ad01re01.en14.pdf</vt:lpwstr>
      </vt:variant>
      <vt:variant>
        <vt:lpwstr/>
      </vt:variant>
      <vt:variant>
        <vt:i4>3801132</vt:i4>
      </vt:variant>
      <vt:variant>
        <vt:i4>54</vt:i4>
      </vt:variant>
      <vt:variant>
        <vt:i4>0</vt:i4>
      </vt:variant>
      <vt:variant>
        <vt:i4>5</vt:i4>
      </vt:variant>
      <vt:variant>
        <vt:lpwstr>http://register.consilium.europa.eu/pdf/en/14/st16/st16300.en14.pdf</vt:lpwstr>
      </vt:variant>
      <vt:variant>
        <vt:lpwstr/>
      </vt:variant>
      <vt:variant>
        <vt:i4>917579</vt:i4>
      </vt:variant>
      <vt:variant>
        <vt:i4>51</vt:i4>
      </vt:variant>
      <vt:variant>
        <vt:i4>0</vt:i4>
      </vt:variant>
      <vt:variant>
        <vt:i4>5</vt:i4>
      </vt:variant>
      <vt:variant>
        <vt:lpwstr>http://register.consilium.europa.eu/pdf/en/14/st16/st16148-re01.en14.pdf</vt:lpwstr>
      </vt:variant>
      <vt:variant>
        <vt:lpwstr/>
      </vt:variant>
      <vt:variant>
        <vt:i4>1441862</vt:i4>
      </vt:variant>
      <vt:variant>
        <vt:i4>48</vt:i4>
      </vt:variant>
      <vt:variant>
        <vt:i4>0</vt:i4>
      </vt:variant>
      <vt:variant>
        <vt:i4>5</vt:i4>
      </vt:variant>
      <vt:variant>
        <vt:lpwstr>http://register.consilium.europa.eu/pdf/en/14/st16/st16333-co01.en14.pdf</vt:lpwstr>
      </vt:variant>
      <vt:variant>
        <vt:lpwstr/>
      </vt:variant>
      <vt:variant>
        <vt:i4>3735599</vt:i4>
      </vt:variant>
      <vt:variant>
        <vt:i4>45</vt:i4>
      </vt:variant>
      <vt:variant>
        <vt:i4>0</vt:i4>
      </vt:variant>
      <vt:variant>
        <vt:i4>5</vt:i4>
      </vt:variant>
      <vt:variant>
        <vt:lpwstr>http://register.consilium.europa.eu/pdf/en/14/st16/st16333.en14.pdf</vt:lpwstr>
      </vt:variant>
      <vt:variant>
        <vt:lpwstr/>
      </vt:variant>
      <vt:variant>
        <vt:i4>3801131</vt:i4>
      </vt:variant>
      <vt:variant>
        <vt:i4>42</vt:i4>
      </vt:variant>
      <vt:variant>
        <vt:i4>0</vt:i4>
      </vt:variant>
      <vt:variant>
        <vt:i4>5</vt:i4>
      </vt:variant>
      <vt:variant>
        <vt:lpwstr>http://register.consilium.europa.eu/pdf/en/14/st15/st15949.en14.pdf</vt:lpwstr>
      </vt:variant>
      <vt:variant>
        <vt:lpwstr/>
      </vt:variant>
      <vt:variant>
        <vt:i4>1114187</vt:i4>
      </vt:variant>
      <vt:variant>
        <vt:i4>6</vt:i4>
      </vt:variant>
      <vt:variant>
        <vt:i4>0</vt:i4>
      </vt:variant>
      <vt:variant>
        <vt:i4>5</vt:i4>
      </vt:variant>
      <vt:variant>
        <vt:lpwstr>http://www.consilium.europa.eu/press</vt:lpwstr>
      </vt:variant>
      <vt:variant>
        <vt:lpwstr/>
      </vt:variant>
      <vt:variant>
        <vt:i4>1769510</vt:i4>
      </vt:variant>
      <vt:variant>
        <vt:i4>3</vt:i4>
      </vt:variant>
      <vt:variant>
        <vt:i4>0</vt:i4>
      </vt:variant>
      <vt:variant>
        <vt:i4>5</vt:i4>
      </vt:variant>
      <vt:variant>
        <vt:lpwstr>mailto:press.office@consilium.europa.eu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GROSVENOR Tina</dc:creator>
  <cp:lastModifiedBy>KONTOGIANNI Elpida</cp:lastModifiedBy>
  <cp:revision>4</cp:revision>
  <cp:lastPrinted>2015-02-05T15:28:00Z</cp:lastPrinted>
  <dcterms:created xsi:type="dcterms:W3CDTF">2015-02-05T15:23:00Z</dcterms:created>
  <dcterms:modified xsi:type="dcterms:W3CDTF">2015-02-05T15:28:00Z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3.2.5, Build 20141128</vt:lpwstr>
  </property>
  <property fmtid="{D5CDD505-2E9C-101B-9397-08002B2CF9AE}" pid="4" name="Last edited using">
    <vt:lpwstr>DocuWrite 3.4.3, Build 20150129</vt:lpwstr>
  </property>
</Properties>
</file>