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6920" w:rsidRPr="00795BD0" w:rsidRDefault="001A4BC0" w:rsidP="00795BD0">
      <w:pPr>
        <w:pStyle w:val="TechnicalBlock"/>
        <w:ind w:left="-1134" w:right="-1134"/>
      </w:pPr>
      <w:bookmarkStart w:id="0" w:name="D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21ace7fa-7505-4bdc-8e7c-2bebcf55023e" style="width:574pt;height:447pt">
            <v:imagedata r:id="rId9" o:title=""/>
          </v:shape>
        </w:pict>
      </w:r>
      <w:bookmarkEnd w:id="0"/>
    </w:p>
    <w:p w:rsidR="000D3E4C" w:rsidRPr="009E7092" w:rsidRDefault="000D3E4C" w:rsidP="000D3E4C">
      <w:pPr>
        <w:pStyle w:val="TechnicalBlock"/>
        <w:ind w:left="-1134" w:right="-1134"/>
        <w:sectPr w:rsidR="000D3E4C" w:rsidRPr="009E7092" w:rsidSect="00211E45">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1907" w:h="16840" w:code="9"/>
          <w:pgMar w:top="624" w:right="1134" w:bottom="1134" w:left="1134" w:header="567" w:footer="567" w:gutter="0"/>
          <w:pgNumType w:start="1"/>
          <w:cols w:space="708"/>
          <w:titlePg/>
          <w:docGrid w:linePitch="360"/>
        </w:sectPr>
      </w:pPr>
    </w:p>
    <w:tbl>
      <w:tblPr>
        <w:tblW w:w="0" w:type="auto"/>
        <w:tblBorders>
          <w:top w:val="single" w:sz="4" w:space="0" w:color="auto"/>
          <w:left w:val="single" w:sz="4" w:space="0" w:color="auto"/>
          <w:bottom w:val="single" w:sz="4" w:space="0" w:color="auto"/>
          <w:right w:val="single" w:sz="4" w:space="0" w:color="auto"/>
        </w:tblBorders>
        <w:shd w:val="pct10" w:color="auto" w:fill="FFFFFF"/>
        <w:tblLayout w:type="fixed"/>
        <w:tblLook w:val="0000" w:firstRow="0" w:lastRow="0" w:firstColumn="0" w:lastColumn="0" w:noHBand="0" w:noVBand="0"/>
      </w:tblPr>
      <w:tblGrid>
        <w:gridCol w:w="9855"/>
      </w:tblGrid>
      <w:tr w:rsidR="000D3E4C" w:rsidRPr="009E7092" w:rsidTr="000D3E4C">
        <w:tc>
          <w:tcPr>
            <w:tcW w:w="9855" w:type="dxa"/>
            <w:shd w:val="pct10" w:color="auto" w:fill="FFFFFF"/>
          </w:tcPr>
          <w:p w:rsidR="000D3E4C" w:rsidRPr="009E7092" w:rsidRDefault="000D3E4C" w:rsidP="00F4273F">
            <w:pPr>
              <w:pStyle w:val="MainResultsHeading"/>
            </w:pPr>
            <w:r w:rsidRPr="009E7092">
              <w:lastRenderedPageBreak/>
              <w:t>Principaux résultats du Conseil</w:t>
            </w:r>
          </w:p>
          <w:p w:rsidR="006D60A3" w:rsidRPr="009E7092" w:rsidRDefault="006D60A3" w:rsidP="00F4273F">
            <w:pPr>
              <w:outlineLvl w:val="0"/>
              <w:rPr>
                <w:b/>
                <w:bCs/>
                <w:i/>
                <w:iCs/>
              </w:rPr>
            </w:pPr>
            <w:r w:rsidRPr="009E7092">
              <w:rPr>
                <w:b/>
                <w:i/>
              </w:rPr>
              <w:t>Dispositifs médicaux</w:t>
            </w:r>
          </w:p>
          <w:p w:rsidR="006D60A3" w:rsidRPr="009E7092" w:rsidRDefault="006D60A3" w:rsidP="00F4273F">
            <w:pPr>
              <w:outlineLvl w:val="0"/>
              <w:rPr>
                <w:i/>
                <w:iCs/>
              </w:rPr>
            </w:pPr>
            <w:r w:rsidRPr="009E7092">
              <w:rPr>
                <w:i/>
              </w:rPr>
              <w:t>Le Conseil a pris note d'un rapport d'étape de la présidence sur deux projets de règlements concernant les dispositifs médicaux et les dispositifs médicaux de diagnostic in vitro.</w:t>
            </w:r>
          </w:p>
          <w:p w:rsidR="006D60A3" w:rsidRPr="009E7092" w:rsidRDefault="006D60A3" w:rsidP="00351BA6">
            <w:pPr>
              <w:rPr>
                <w:i/>
                <w:iCs/>
              </w:rPr>
            </w:pPr>
            <w:r w:rsidRPr="009E7092">
              <w:t xml:space="preserve">"Le travail considérable effectué sous la présidence italienne a été salué par le Conseil", </w:t>
            </w:r>
            <w:r w:rsidRPr="009E7092">
              <w:rPr>
                <w:i/>
              </w:rPr>
              <w:t>a déclaré</w:t>
            </w:r>
            <w:r w:rsidRPr="009E7092">
              <w:t xml:space="preserve"> </w:t>
            </w:r>
            <w:r w:rsidRPr="009E7092">
              <w:rPr>
                <w:i/>
              </w:rPr>
              <w:t xml:space="preserve">Beatrice </w:t>
            </w:r>
            <w:proofErr w:type="spellStart"/>
            <w:r w:rsidRPr="009E7092">
              <w:rPr>
                <w:i/>
              </w:rPr>
              <w:t>Lorenzin</w:t>
            </w:r>
            <w:proofErr w:type="spellEnd"/>
            <w:r w:rsidRPr="009E7092">
              <w:rPr>
                <w:i/>
              </w:rPr>
              <w:t>, la ministre italienne de la santé et présidente du Conseil</w:t>
            </w:r>
            <w:r w:rsidRPr="009E7092">
              <w:t>,</w:t>
            </w:r>
            <w:r w:rsidRPr="009E7092">
              <w:rPr>
                <w:i/>
              </w:rPr>
              <w:t xml:space="preserve"> qui a ajouté: </w:t>
            </w:r>
            <w:r w:rsidRPr="009E7092">
              <w:t>"Notre</w:t>
            </w:r>
            <w:r w:rsidR="00F4273F">
              <w:t> </w:t>
            </w:r>
            <w:r w:rsidRPr="009E7092">
              <w:t>objectif est d'assurer le niveau le plus élevé possible de protection des patients européens et</w:t>
            </w:r>
            <w:r w:rsidR="00F4273F">
              <w:t> </w:t>
            </w:r>
            <w:r w:rsidRPr="009E7092">
              <w:t>de faire en sorte que des médicaments et des dispositifs médicaux sûrs et innovants puissent être</w:t>
            </w:r>
            <w:r w:rsidR="00351BA6">
              <w:t> </w:t>
            </w:r>
            <w:r w:rsidRPr="009E7092">
              <w:t>rapidement commercialisés. C'est essentiel pour le bien-être des citoyens européens et pour la</w:t>
            </w:r>
            <w:r w:rsidR="00F4273F">
              <w:t> </w:t>
            </w:r>
            <w:r w:rsidRPr="009E7092">
              <w:t>compétitivité de</w:t>
            </w:r>
            <w:r w:rsidR="00F4273F">
              <w:t> </w:t>
            </w:r>
            <w:r w:rsidRPr="009E7092">
              <w:t>l'industrie européenne."</w:t>
            </w:r>
          </w:p>
          <w:p w:rsidR="006D60A3" w:rsidRPr="009E7092" w:rsidRDefault="006D60A3" w:rsidP="00F4273F">
            <w:pPr>
              <w:outlineLvl w:val="0"/>
              <w:rPr>
                <w:b/>
                <w:bCs/>
                <w:i/>
                <w:iCs/>
              </w:rPr>
            </w:pPr>
            <w:r w:rsidRPr="009E7092">
              <w:rPr>
                <w:b/>
                <w:i/>
              </w:rPr>
              <w:t>Conclusions du Conseil</w:t>
            </w:r>
          </w:p>
          <w:p w:rsidR="006D60A3" w:rsidRPr="009E7092" w:rsidRDefault="006D60A3" w:rsidP="00F4273F">
            <w:pPr>
              <w:outlineLvl w:val="0"/>
              <w:rPr>
                <w:i/>
                <w:iCs/>
              </w:rPr>
            </w:pPr>
            <w:r w:rsidRPr="009E7092">
              <w:rPr>
                <w:i/>
              </w:rPr>
              <w:t>Les ministres ont adopté des conclusions sur</w:t>
            </w:r>
          </w:p>
          <w:p w:rsidR="006D60A3" w:rsidRPr="009E7092" w:rsidRDefault="006D60A3" w:rsidP="00F4273F">
            <w:pPr>
              <w:pStyle w:val="Tiret0"/>
              <w:rPr>
                <w:i/>
                <w:iCs/>
              </w:rPr>
            </w:pPr>
            <w:r w:rsidRPr="009E7092">
              <w:rPr>
                <w:i/>
              </w:rPr>
              <w:t>la vaccination</w:t>
            </w:r>
          </w:p>
          <w:p w:rsidR="006D60A3" w:rsidRPr="009E7092" w:rsidRDefault="006D60A3" w:rsidP="00F4273F">
            <w:pPr>
              <w:pStyle w:val="Tiret0"/>
              <w:rPr>
                <w:i/>
                <w:iCs/>
              </w:rPr>
            </w:pPr>
            <w:r w:rsidRPr="009E7092">
              <w:rPr>
                <w:i/>
              </w:rPr>
              <w:t>la sécurité des patients et la qualité des soins</w:t>
            </w:r>
          </w:p>
          <w:p w:rsidR="006D60A3" w:rsidRPr="009E7092" w:rsidRDefault="006D60A3" w:rsidP="00F4273F">
            <w:pPr>
              <w:pStyle w:val="Tiret0"/>
              <w:rPr>
                <w:i/>
                <w:iCs/>
              </w:rPr>
            </w:pPr>
            <w:r w:rsidRPr="009E7092">
              <w:rPr>
                <w:i/>
              </w:rPr>
              <w:t>l'innovation dans l'intérêt des patients</w:t>
            </w:r>
          </w:p>
          <w:p w:rsidR="006D60A3" w:rsidRPr="009E7092" w:rsidRDefault="006D60A3" w:rsidP="00F4273F">
            <w:pPr>
              <w:outlineLvl w:val="0"/>
              <w:rPr>
                <w:b/>
                <w:bCs/>
                <w:i/>
                <w:iCs/>
              </w:rPr>
            </w:pPr>
            <w:proofErr w:type="spellStart"/>
            <w:r w:rsidRPr="009E7092">
              <w:rPr>
                <w:b/>
                <w:i/>
              </w:rPr>
              <w:t>Ebola</w:t>
            </w:r>
            <w:proofErr w:type="spellEnd"/>
          </w:p>
          <w:p w:rsidR="006D60A3" w:rsidRPr="009E7092" w:rsidRDefault="006D60A3" w:rsidP="00351BA6">
            <w:pPr>
              <w:outlineLvl w:val="0"/>
            </w:pPr>
            <w:r w:rsidRPr="009E7092">
              <w:rPr>
                <w:i/>
              </w:rPr>
              <w:t xml:space="preserve">La Commission a informé le Conseil de l'état de la situation en ce qui concerne le virus </w:t>
            </w:r>
            <w:proofErr w:type="spellStart"/>
            <w:r w:rsidRPr="009E7092">
              <w:rPr>
                <w:i/>
              </w:rPr>
              <w:t>Ebola</w:t>
            </w:r>
            <w:proofErr w:type="spellEnd"/>
            <w:r w:rsidRPr="009E7092">
              <w:rPr>
                <w:i/>
              </w:rPr>
              <w:t xml:space="preserve"> et</w:t>
            </w:r>
            <w:r w:rsidR="00351BA6">
              <w:rPr>
                <w:i/>
              </w:rPr>
              <w:t> </w:t>
            </w:r>
            <w:r w:rsidRPr="009E7092">
              <w:rPr>
                <w:i/>
              </w:rPr>
              <w:t>les</w:t>
            </w:r>
            <w:r w:rsidR="00F4273F">
              <w:rPr>
                <w:i/>
              </w:rPr>
              <w:t> </w:t>
            </w:r>
            <w:r w:rsidRPr="009E7092">
              <w:rPr>
                <w:i/>
              </w:rPr>
              <w:t>ministres ont débattu de la question en s'appuyant sur ces informations.</w:t>
            </w:r>
          </w:p>
        </w:tc>
      </w:tr>
    </w:tbl>
    <w:p w:rsidR="000D3E4C" w:rsidRPr="009E7092" w:rsidRDefault="000D3E4C" w:rsidP="000D3E4C"/>
    <w:p w:rsidR="00614F92" w:rsidRPr="009E7092" w:rsidRDefault="00614F92" w:rsidP="000D3E4C">
      <w:pPr>
        <w:sectPr w:rsidR="00614F92" w:rsidRPr="009E7092" w:rsidSect="00211E45">
          <w:headerReference w:type="even" r:id="rId16"/>
          <w:headerReference w:type="default" r:id="rId17"/>
          <w:footerReference w:type="even" r:id="rId18"/>
          <w:headerReference w:type="first" r:id="rId19"/>
          <w:footerReference w:type="first" r:id="rId20"/>
          <w:footnotePr>
            <w:numRestart w:val="eachPage"/>
          </w:footnotePr>
          <w:pgSz w:w="11907" w:h="16840" w:code="9"/>
          <w:pgMar w:top="1134" w:right="1134" w:bottom="1134" w:left="1134" w:header="567" w:footer="567" w:gutter="0"/>
          <w:cols w:space="708"/>
          <w:titlePg/>
          <w:docGrid w:linePitch="360"/>
        </w:sectPr>
      </w:pPr>
    </w:p>
    <w:p w:rsidR="00465975" w:rsidRDefault="00EF2FB1" w:rsidP="00EF2FB1">
      <w:pPr>
        <w:pStyle w:val="TOCHeading"/>
      </w:pPr>
      <w:r>
        <w:lastRenderedPageBreak/>
        <w:t>SOMMAIRE</w:t>
      </w:r>
      <w:r w:rsidRPr="00EF2FB1">
        <w:rPr>
          <w:vertAlign w:val="superscript"/>
        </w:rPr>
        <w:t>1</w:t>
      </w:r>
    </w:p>
    <w:p w:rsidR="00EF2FB1" w:rsidRPr="00CA200C" w:rsidRDefault="00EF2FB1" w:rsidP="00211E45">
      <w:pPr>
        <w:pStyle w:val="TOC5"/>
        <w:rPr>
          <w:lang w:val="en-GB"/>
        </w:rPr>
      </w:pPr>
      <w:r w:rsidRPr="00CA200C">
        <w:rPr>
          <w:noProof/>
          <w:lang w:val="en-GB"/>
        </w:rPr>
        <w:t>PARTICIPANTS</w:t>
      </w:r>
      <w:r w:rsidRPr="00CA200C">
        <w:rPr>
          <w:noProof/>
          <w:lang w:val="en-GB"/>
        </w:rPr>
        <w:tab/>
      </w:r>
      <w:bookmarkStart w:id="5" w:name="_GoBack"/>
      <w:bookmarkEnd w:id="5"/>
      <w:r w:rsidR="00211E45">
        <w:rPr>
          <w:noProof/>
          <w:lang w:val="en-GB"/>
        </w:rPr>
        <w:t>5</w:t>
      </w:r>
    </w:p>
    <w:p w:rsidR="00EF2FB1" w:rsidRDefault="00EF2FB1" w:rsidP="00EF2FB1">
      <w:pPr>
        <w:pStyle w:val="TOC5"/>
      </w:pPr>
      <w:r>
        <w:t>POINTS AYANT FAIT L'OBJET D'UN DÉBAT</w:t>
      </w:r>
    </w:p>
    <w:p w:rsidR="00EF2FB1" w:rsidRPr="00EF2FB1" w:rsidRDefault="00EF2FB1" w:rsidP="00EF2FB1">
      <w:pPr>
        <w:pStyle w:val="TOC6"/>
        <w:rPr>
          <w:rFonts w:asciiTheme="minorHAnsi" w:eastAsiaTheme="minorEastAsia" w:hAnsiTheme="minorHAnsi" w:cstheme="minorBidi"/>
          <w:noProof/>
          <w:sz w:val="22"/>
          <w:szCs w:val="22"/>
          <w:lang w:val="fr-BE" w:eastAsia="en-GB" w:bidi="ar-SA"/>
        </w:rPr>
      </w:pPr>
      <w:r>
        <w:rPr>
          <w:noProof/>
        </w:rPr>
        <w:t>Dispositifs médicaux</w:t>
      </w:r>
      <w:r>
        <w:rPr>
          <w:noProof/>
        </w:rPr>
        <w:tab/>
      </w:r>
      <w:r>
        <w:rPr>
          <w:noProof/>
        </w:rPr>
        <w:fldChar w:fldCharType="begin"/>
      </w:r>
      <w:r>
        <w:rPr>
          <w:noProof/>
        </w:rPr>
        <w:instrText xml:space="preserve"> PAGEREF \h _Toc411256138 \* MERGEFORMAT </w:instrText>
      </w:r>
      <w:r>
        <w:rPr>
          <w:noProof/>
        </w:rPr>
      </w:r>
      <w:r>
        <w:rPr>
          <w:noProof/>
        </w:rPr>
        <w:fldChar w:fldCharType="separate"/>
      </w:r>
      <w:r w:rsidR="00211E45">
        <w:rPr>
          <w:noProof/>
        </w:rPr>
        <w:t>7</w:t>
      </w:r>
      <w:r>
        <w:rPr>
          <w:noProof/>
        </w:rPr>
        <w:fldChar w:fldCharType="end"/>
      </w:r>
    </w:p>
    <w:p w:rsidR="00EF2FB1" w:rsidRPr="00EF2FB1" w:rsidRDefault="00EF2FB1" w:rsidP="00EF2FB1">
      <w:pPr>
        <w:pStyle w:val="TOC6"/>
        <w:rPr>
          <w:rFonts w:asciiTheme="minorHAnsi" w:eastAsiaTheme="minorEastAsia" w:hAnsiTheme="minorHAnsi" w:cstheme="minorBidi"/>
          <w:noProof/>
          <w:sz w:val="22"/>
          <w:szCs w:val="22"/>
          <w:lang w:val="fr-BE" w:eastAsia="en-GB" w:bidi="ar-SA"/>
        </w:rPr>
      </w:pPr>
      <w:r>
        <w:rPr>
          <w:noProof/>
        </w:rPr>
        <w:t>Stratégie Europe 2020 Examen à mi-parcours</w:t>
      </w:r>
      <w:r>
        <w:rPr>
          <w:noProof/>
        </w:rPr>
        <w:tab/>
      </w:r>
      <w:r>
        <w:rPr>
          <w:noProof/>
        </w:rPr>
        <w:fldChar w:fldCharType="begin"/>
      </w:r>
      <w:r>
        <w:rPr>
          <w:noProof/>
        </w:rPr>
        <w:instrText xml:space="preserve"> PAGEREF \h _Toc411256139 \* MERGEFORMAT </w:instrText>
      </w:r>
      <w:r>
        <w:rPr>
          <w:noProof/>
        </w:rPr>
      </w:r>
      <w:r>
        <w:rPr>
          <w:noProof/>
        </w:rPr>
        <w:fldChar w:fldCharType="separate"/>
      </w:r>
      <w:r w:rsidR="00211E45">
        <w:rPr>
          <w:noProof/>
        </w:rPr>
        <w:t>9</w:t>
      </w:r>
      <w:r>
        <w:rPr>
          <w:noProof/>
        </w:rPr>
        <w:fldChar w:fldCharType="end"/>
      </w:r>
    </w:p>
    <w:p w:rsidR="00EF2FB1" w:rsidRPr="00EF2FB1" w:rsidRDefault="00EF2FB1" w:rsidP="00EF2FB1">
      <w:pPr>
        <w:pStyle w:val="TOC6"/>
        <w:rPr>
          <w:rFonts w:asciiTheme="minorHAnsi" w:eastAsiaTheme="minorEastAsia" w:hAnsiTheme="minorHAnsi" w:cstheme="minorBidi"/>
          <w:noProof/>
          <w:sz w:val="22"/>
          <w:szCs w:val="22"/>
          <w:lang w:val="fr-BE" w:eastAsia="en-GB" w:bidi="ar-SA"/>
        </w:rPr>
      </w:pPr>
      <w:r>
        <w:rPr>
          <w:noProof/>
        </w:rPr>
        <w:t>La vaccination</w:t>
      </w:r>
      <w:r>
        <w:rPr>
          <w:noProof/>
        </w:rPr>
        <w:tab/>
      </w:r>
      <w:r>
        <w:rPr>
          <w:noProof/>
        </w:rPr>
        <w:fldChar w:fldCharType="begin"/>
      </w:r>
      <w:r>
        <w:rPr>
          <w:noProof/>
        </w:rPr>
        <w:instrText xml:space="preserve"> PAGEREF \h _Toc411256140 \* MERGEFORMAT </w:instrText>
      </w:r>
      <w:r>
        <w:rPr>
          <w:noProof/>
        </w:rPr>
      </w:r>
      <w:r>
        <w:rPr>
          <w:noProof/>
        </w:rPr>
        <w:fldChar w:fldCharType="separate"/>
      </w:r>
      <w:r w:rsidR="00211E45">
        <w:rPr>
          <w:noProof/>
        </w:rPr>
        <w:t>10</w:t>
      </w:r>
      <w:r>
        <w:rPr>
          <w:noProof/>
        </w:rPr>
        <w:fldChar w:fldCharType="end"/>
      </w:r>
    </w:p>
    <w:p w:rsidR="00EF2FB1" w:rsidRPr="00EF2FB1" w:rsidRDefault="00EF2FB1" w:rsidP="00EF2FB1">
      <w:pPr>
        <w:pStyle w:val="TOC6"/>
        <w:rPr>
          <w:rFonts w:asciiTheme="minorHAnsi" w:eastAsiaTheme="minorEastAsia" w:hAnsiTheme="minorHAnsi" w:cstheme="minorBidi"/>
          <w:noProof/>
          <w:sz w:val="22"/>
          <w:szCs w:val="22"/>
          <w:lang w:val="fr-BE" w:eastAsia="en-GB" w:bidi="ar-SA"/>
        </w:rPr>
      </w:pPr>
      <w:r>
        <w:rPr>
          <w:noProof/>
        </w:rPr>
        <w:t>La sécurité des patients</w:t>
      </w:r>
      <w:r>
        <w:rPr>
          <w:noProof/>
        </w:rPr>
        <w:tab/>
      </w:r>
      <w:r>
        <w:rPr>
          <w:noProof/>
        </w:rPr>
        <w:fldChar w:fldCharType="begin"/>
      </w:r>
      <w:r>
        <w:rPr>
          <w:noProof/>
        </w:rPr>
        <w:instrText xml:space="preserve"> PAGEREF \h _Toc411256141 \* MERGEFORMAT </w:instrText>
      </w:r>
      <w:r>
        <w:rPr>
          <w:noProof/>
        </w:rPr>
      </w:r>
      <w:r>
        <w:rPr>
          <w:noProof/>
        </w:rPr>
        <w:fldChar w:fldCharType="separate"/>
      </w:r>
      <w:r w:rsidR="00211E45">
        <w:rPr>
          <w:noProof/>
        </w:rPr>
        <w:t>10</w:t>
      </w:r>
      <w:r>
        <w:rPr>
          <w:noProof/>
        </w:rPr>
        <w:fldChar w:fldCharType="end"/>
      </w:r>
    </w:p>
    <w:p w:rsidR="00EF2FB1" w:rsidRPr="00EF2FB1" w:rsidRDefault="00EF2FB1" w:rsidP="00EF2FB1">
      <w:pPr>
        <w:pStyle w:val="TOC6"/>
        <w:rPr>
          <w:rFonts w:asciiTheme="minorHAnsi" w:eastAsiaTheme="minorEastAsia" w:hAnsiTheme="minorHAnsi" w:cstheme="minorBidi"/>
          <w:noProof/>
          <w:sz w:val="22"/>
          <w:szCs w:val="22"/>
          <w:lang w:val="fr-BE" w:eastAsia="en-GB" w:bidi="ar-SA"/>
        </w:rPr>
      </w:pPr>
      <w:r>
        <w:rPr>
          <w:noProof/>
        </w:rPr>
        <w:t>L'innovation dans l'intérêt des patients</w:t>
      </w:r>
      <w:r>
        <w:rPr>
          <w:noProof/>
        </w:rPr>
        <w:tab/>
      </w:r>
      <w:r>
        <w:rPr>
          <w:noProof/>
        </w:rPr>
        <w:fldChar w:fldCharType="begin"/>
      </w:r>
      <w:r>
        <w:rPr>
          <w:noProof/>
        </w:rPr>
        <w:instrText xml:space="preserve"> PAGEREF \h _Toc411256142 \* MERGEFORMAT </w:instrText>
      </w:r>
      <w:r>
        <w:rPr>
          <w:noProof/>
        </w:rPr>
      </w:r>
      <w:r>
        <w:rPr>
          <w:noProof/>
        </w:rPr>
        <w:fldChar w:fldCharType="separate"/>
      </w:r>
      <w:r w:rsidR="00211E45">
        <w:rPr>
          <w:noProof/>
        </w:rPr>
        <w:t>10</w:t>
      </w:r>
      <w:r>
        <w:rPr>
          <w:noProof/>
        </w:rPr>
        <w:fldChar w:fldCharType="end"/>
      </w:r>
    </w:p>
    <w:p w:rsidR="00EF2FB1" w:rsidRDefault="00EF2FB1" w:rsidP="00EF2FB1">
      <w:pPr>
        <w:pStyle w:val="TOC6"/>
        <w:rPr>
          <w:rFonts w:asciiTheme="minorHAnsi" w:eastAsiaTheme="minorEastAsia" w:hAnsiTheme="minorHAnsi" w:cstheme="minorBidi"/>
          <w:noProof/>
          <w:sz w:val="22"/>
          <w:szCs w:val="22"/>
          <w:lang w:val="en-GB" w:eastAsia="en-GB" w:bidi="ar-SA"/>
        </w:rPr>
      </w:pPr>
      <w:r>
        <w:rPr>
          <w:noProof/>
        </w:rPr>
        <w:t>Divers</w:t>
      </w:r>
      <w:r>
        <w:rPr>
          <w:noProof/>
        </w:rPr>
        <w:tab/>
      </w:r>
      <w:r>
        <w:rPr>
          <w:noProof/>
        </w:rPr>
        <w:fldChar w:fldCharType="begin"/>
      </w:r>
      <w:r>
        <w:rPr>
          <w:noProof/>
        </w:rPr>
        <w:instrText xml:space="preserve"> PAGEREF \h _Toc411256143 \* MERGEFORMAT </w:instrText>
      </w:r>
      <w:r>
        <w:rPr>
          <w:noProof/>
        </w:rPr>
      </w:r>
      <w:r>
        <w:rPr>
          <w:noProof/>
        </w:rPr>
        <w:fldChar w:fldCharType="separate"/>
      </w:r>
      <w:r w:rsidR="00211E45">
        <w:rPr>
          <w:noProof/>
        </w:rPr>
        <w:t>11</w:t>
      </w:r>
      <w:r>
        <w:rPr>
          <w:noProof/>
        </w:rPr>
        <w:fldChar w:fldCharType="end"/>
      </w:r>
    </w:p>
    <w:p w:rsidR="00EF2FB1" w:rsidRDefault="00EF2FB1" w:rsidP="00EF2FB1">
      <w:pPr>
        <w:pStyle w:val="TOC9"/>
        <w:rPr>
          <w:rFonts w:asciiTheme="minorHAnsi" w:eastAsiaTheme="minorEastAsia" w:hAnsiTheme="minorHAnsi" w:cstheme="minorBidi"/>
          <w:noProof/>
          <w:sz w:val="22"/>
          <w:szCs w:val="22"/>
          <w:lang w:val="en-GB" w:eastAsia="en-GB" w:bidi="ar-SA"/>
        </w:rPr>
      </w:pPr>
      <w:r>
        <w:rPr>
          <w:noProof/>
        </w:rPr>
        <w:t>Ebola</w:t>
      </w:r>
      <w:r>
        <w:rPr>
          <w:noProof/>
        </w:rPr>
        <w:tab/>
      </w:r>
      <w:r>
        <w:rPr>
          <w:noProof/>
        </w:rPr>
        <w:fldChar w:fldCharType="begin"/>
      </w:r>
      <w:r>
        <w:rPr>
          <w:noProof/>
        </w:rPr>
        <w:instrText xml:space="preserve"> PAGEREF \h _Toc411256144 \* MERGEFORMAT </w:instrText>
      </w:r>
      <w:r>
        <w:rPr>
          <w:noProof/>
        </w:rPr>
      </w:r>
      <w:r>
        <w:rPr>
          <w:noProof/>
        </w:rPr>
        <w:fldChar w:fldCharType="separate"/>
      </w:r>
      <w:r w:rsidR="00211E45">
        <w:rPr>
          <w:noProof/>
        </w:rPr>
        <w:t>11</w:t>
      </w:r>
      <w:r>
        <w:rPr>
          <w:noProof/>
        </w:rPr>
        <w:fldChar w:fldCharType="end"/>
      </w:r>
    </w:p>
    <w:p w:rsidR="00EF2FB1" w:rsidRDefault="00EF2FB1" w:rsidP="00EF2FB1">
      <w:pPr>
        <w:pStyle w:val="TOC9"/>
        <w:rPr>
          <w:rFonts w:asciiTheme="minorHAnsi" w:eastAsiaTheme="minorEastAsia" w:hAnsiTheme="minorHAnsi" w:cstheme="minorBidi"/>
          <w:noProof/>
          <w:sz w:val="22"/>
          <w:szCs w:val="22"/>
          <w:lang w:val="en-GB" w:eastAsia="en-GB" w:bidi="ar-SA"/>
        </w:rPr>
      </w:pPr>
      <w:r>
        <w:rPr>
          <w:noProof/>
        </w:rPr>
        <w:t>Trafic d'organes humains</w:t>
      </w:r>
      <w:r>
        <w:rPr>
          <w:noProof/>
        </w:rPr>
        <w:tab/>
      </w:r>
      <w:r>
        <w:rPr>
          <w:noProof/>
        </w:rPr>
        <w:fldChar w:fldCharType="begin"/>
      </w:r>
      <w:r>
        <w:rPr>
          <w:noProof/>
        </w:rPr>
        <w:instrText xml:space="preserve"> PAGEREF \h _Toc411256145 \* MERGEFORMAT </w:instrText>
      </w:r>
      <w:r>
        <w:rPr>
          <w:noProof/>
        </w:rPr>
      </w:r>
      <w:r>
        <w:rPr>
          <w:noProof/>
        </w:rPr>
        <w:fldChar w:fldCharType="separate"/>
      </w:r>
      <w:r w:rsidR="00211E45">
        <w:rPr>
          <w:noProof/>
        </w:rPr>
        <w:t>11</w:t>
      </w:r>
      <w:r>
        <w:rPr>
          <w:noProof/>
        </w:rPr>
        <w:fldChar w:fldCharType="end"/>
      </w:r>
    </w:p>
    <w:p w:rsidR="00EF2FB1" w:rsidRPr="00EF2FB1" w:rsidRDefault="00EF2FB1" w:rsidP="00EF2FB1">
      <w:pPr>
        <w:pStyle w:val="TOC9"/>
        <w:rPr>
          <w:rFonts w:asciiTheme="minorHAnsi" w:eastAsiaTheme="minorEastAsia" w:hAnsiTheme="minorHAnsi" w:cstheme="minorBidi"/>
          <w:noProof/>
          <w:sz w:val="22"/>
          <w:szCs w:val="22"/>
          <w:lang w:val="fr-BE" w:eastAsia="en-GB" w:bidi="ar-SA"/>
        </w:rPr>
      </w:pPr>
      <w:r>
        <w:rPr>
          <w:noProof/>
        </w:rPr>
        <w:t>Critères pour l'admission des homosexuels aux dons de sang</w:t>
      </w:r>
      <w:r>
        <w:rPr>
          <w:noProof/>
        </w:rPr>
        <w:tab/>
      </w:r>
      <w:r>
        <w:rPr>
          <w:noProof/>
        </w:rPr>
        <w:fldChar w:fldCharType="begin"/>
      </w:r>
      <w:r>
        <w:rPr>
          <w:noProof/>
        </w:rPr>
        <w:instrText xml:space="preserve"> PAGEREF \h _Toc411256146 \* MERGEFORMAT </w:instrText>
      </w:r>
      <w:r>
        <w:rPr>
          <w:noProof/>
        </w:rPr>
      </w:r>
      <w:r>
        <w:rPr>
          <w:noProof/>
        </w:rPr>
        <w:fldChar w:fldCharType="separate"/>
      </w:r>
      <w:r w:rsidR="00211E45">
        <w:rPr>
          <w:noProof/>
        </w:rPr>
        <w:t>11</w:t>
      </w:r>
      <w:r>
        <w:rPr>
          <w:noProof/>
        </w:rPr>
        <w:fldChar w:fldCharType="end"/>
      </w:r>
    </w:p>
    <w:p w:rsidR="00EF2FB1" w:rsidRDefault="00EF2FB1" w:rsidP="00EF2FB1">
      <w:pPr>
        <w:pStyle w:val="TOC9"/>
        <w:rPr>
          <w:rFonts w:asciiTheme="minorHAnsi" w:eastAsiaTheme="minorEastAsia" w:hAnsiTheme="minorHAnsi" w:cstheme="minorBidi"/>
          <w:noProof/>
          <w:sz w:val="22"/>
          <w:szCs w:val="22"/>
          <w:lang w:val="en-GB" w:eastAsia="en-GB" w:bidi="ar-SA"/>
        </w:rPr>
      </w:pPr>
      <w:r>
        <w:rPr>
          <w:noProof/>
        </w:rPr>
        <w:t>Conférences</w:t>
      </w:r>
      <w:r>
        <w:rPr>
          <w:noProof/>
        </w:rPr>
        <w:tab/>
      </w:r>
      <w:r>
        <w:rPr>
          <w:noProof/>
        </w:rPr>
        <w:fldChar w:fldCharType="begin"/>
      </w:r>
      <w:r>
        <w:rPr>
          <w:noProof/>
        </w:rPr>
        <w:instrText xml:space="preserve"> PAGEREF \h _Toc411256147 \* MERGEFORMAT </w:instrText>
      </w:r>
      <w:r>
        <w:rPr>
          <w:noProof/>
        </w:rPr>
      </w:r>
      <w:r>
        <w:rPr>
          <w:noProof/>
        </w:rPr>
        <w:fldChar w:fldCharType="separate"/>
      </w:r>
      <w:r w:rsidR="00211E45">
        <w:rPr>
          <w:noProof/>
        </w:rPr>
        <w:t>11</w:t>
      </w:r>
      <w:r>
        <w:rPr>
          <w:noProof/>
        </w:rPr>
        <w:fldChar w:fldCharType="end"/>
      </w:r>
    </w:p>
    <w:p w:rsidR="00EF2FB1" w:rsidRPr="00EF2FB1" w:rsidRDefault="00EF2FB1" w:rsidP="00EF2FB1">
      <w:pPr>
        <w:pStyle w:val="TOC9"/>
        <w:rPr>
          <w:rFonts w:asciiTheme="minorHAnsi" w:eastAsiaTheme="minorEastAsia" w:hAnsiTheme="minorHAnsi" w:cstheme="minorBidi"/>
          <w:noProof/>
          <w:sz w:val="22"/>
          <w:szCs w:val="22"/>
          <w:lang w:val="fr-BE" w:eastAsia="en-GB" w:bidi="ar-SA"/>
        </w:rPr>
      </w:pPr>
      <w:r>
        <w:rPr>
          <w:noProof/>
        </w:rPr>
        <w:t>Programme de travail de la prochaine présidence</w:t>
      </w:r>
      <w:r>
        <w:rPr>
          <w:noProof/>
        </w:rPr>
        <w:tab/>
      </w:r>
      <w:r>
        <w:rPr>
          <w:noProof/>
        </w:rPr>
        <w:fldChar w:fldCharType="begin"/>
      </w:r>
      <w:r>
        <w:rPr>
          <w:noProof/>
        </w:rPr>
        <w:instrText xml:space="preserve"> PAGEREF \h _Toc411256148 \* MERGEFORMAT </w:instrText>
      </w:r>
      <w:r>
        <w:rPr>
          <w:noProof/>
        </w:rPr>
      </w:r>
      <w:r>
        <w:rPr>
          <w:noProof/>
        </w:rPr>
        <w:fldChar w:fldCharType="separate"/>
      </w:r>
      <w:r w:rsidR="00211E45">
        <w:rPr>
          <w:noProof/>
        </w:rPr>
        <w:t>11</w:t>
      </w:r>
      <w:r>
        <w:rPr>
          <w:noProof/>
        </w:rPr>
        <w:fldChar w:fldCharType="end"/>
      </w:r>
    </w:p>
    <w:p w:rsidR="00EF2FB1" w:rsidRDefault="00EF2FB1" w:rsidP="00EF2FB1">
      <w:pPr>
        <w:pStyle w:val="TOC6"/>
        <w:rPr>
          <w:rFonts w:asciiTheme="minorHAnsi" w:eastAsiaTheme="minorEastAsia" w:hAnsiTheme="minorHAnsi" w:cstheme="minorBidi"/>
          <w:noProof/>
          <w:sz w:val="22"/>
          <w:szCs w:val="22"/>
          <w:lang w:val="en-GB" w:eastAsia="en-GB" w:bidi="ar-SA"/>
        </w:rPr>
      </w:pPr>
      <w:r>
        <w:rPr>
          <w:noProof/>
        </w:rPr>
        <w:t>En marge du Conseil</w:t>
      </w:r>
      <w:r>
        <w:rPr>
          <w:noProof/>
        </w:rPr>
        <w:tab/>
      </w:r>
      <w:r>
        <w:rPr>
          <w:noProof/>
        </w:rPr>
        <w:fldChar w:fldCharType="begin"/>
      </w:r>
      <w:r>
        <w:rPr>
          <w:noProof/>
        </w:rPr>
        <w:instrText xml:space="preserve"> PAGEREF \h _Toc411256149 \* MERGEFORMAT </w:instrText>
      </w:r>
      <w:r>
        <w:rPr>
          <w:noProof/>
        </w:rPr>
      </w:r>
      <w:r>
        <w:rPr>
          <w:noProof/>
        </w:rPr>
        <w:fldChar w:fldCharType="separate"/>
      </w:r>
      <w:r w:rsidR="00211E45">
        <w:rPr>
          <w:noProof/>
        </w:rPr>
        <w:t>12</w:t>
      </w:r>
      <w:r>
        <w:rPr>
          <w:noProof/>
        </w:rPr>
        <w:fldChar w:fldCharType="end"/>
      </w:r>
    </w:p>
    <w:p w:rsidR="00EF2FB1" w:rsidRPr="00EF2FB1" w:rsidRDefault="00EF2FB1" w:rsidP="00EF2FB1">
      <w:pPr>
        <w:pStyle w:val="TOC9"/>
        <w:rPr>
          <w:rFonts w:asciiTheme="minorHAnsi" w:eastAsiaTheme="minorEastAsia" w:hAnsiTheme="minorHAnsi" w:cstheme="minorBidi"/>
          <w:noProof/>
          <w:sz w:val="22"/>
          <w:szCs w:val="22"/>
          <w:lang w:val="fr-BE" w:eastAsia="en-GB" w:bidi="ar-SA"/>
        </w:rPr>
      </w:pPr>
      <w:r>
        <w:rPr>
          <w:noProof/>
        </w:rPr>
        <w:t>Cérémonie de signature de l'accord sur une procédure de passation conjointe de marché</w:t>
      </w:r>
      <w:r>
        <w:rPr>
          <w:noProof/>
        </w:rPr>
        <w:tab/>
      </w:r>
      <w:r>
        <w:rPr>
          <w:noProof/>
        </w:rPr>
        <w:fldChar w:fldCharType="begin"/>
      </w:r>
      <w:r>
        <w:rPr>
          <w:noProof/>
        </w:rPr>
        <w:instrText xml:space="preserve"> PAGEREF \h _Toc411256150 \* MERGEFORMAT </w:instrText>
      </w:r>
      <w:r>
        <w:rPr>
          <w:noProof/>
        </w:rPr>
      </w:r>
      <w:r>
        <w:rPr>
          <w:noProof/>
        </w:rPr>
        <w:fldChar w:fldCharType="separate"/>
      </w:r>
      <w:r w:rsidR="00211E45">
        <w:rPr>
          <w:noProof/>
        </w:rPr>
        <w:t>12</w:t>
      </w:r>
      <w:r>
        <w:rPr>
          <w:noProof/>
        </w:rPr>
        <w:fldChar w:fldCharType="end"/>
      </w:r>
    </w:p>
    <w:p w:rsidR="00EF2FB1" w:rsidRPr="00EF2FB1" w:rsidRDefault="00EF2FB1" w:rsidP="00EF2FB1">
      <w:pPr>
        <w:pStyle w:val="TOC9"/>
      </w:pPr>
      <w:r>
        <w:rPr>
          <w:noProof/>
        </w:rPr>
        <w:t>Journée mondiale de la lutte contre le sida</w:t>
      </w:r>
      <w:r>
        <w:rPr>
          <w:noProof/>
        </w:rPr>
        <w:tab/>
      </w:r>
      <w:r>
        <w:rPr>
          <w:noProof/>
        </w:rPr>
        <w:fldChar w:fldCharType="begin"/>
      </w:r>
      <w:r>
        <w:rPr>
          <w:noProof/>
        </w:rPr>
        <w:instrText xml:space="preserve"> PAGEREF \h _Toc411256151 \* MERGEFORMAT </w:instrText>
      </w:r>
      <w:r>
        <w:rPr>
          <w:noProof/>
        </w:rPr>
      </w:r>
      <w:r>
        <w:rPr>
          <w:noProof/>
        </w:rPr>
        <w:fldChar w:fldCharType="separate"/>
      </w:r>
      <w:r w:rsidR="00211E45">
        <w:rPr>
          <w:noProof/>
        </w:rPr>
        <w:t>12</w:t>
      </w:r>
      <w:r>
        <w:rPr>
          <w:noProof/>
        </w:rPr>
        <w:fldChar w:fldCharType="end"/>
      </w:r>
    </w:p>
    <w:p w:rsidR="00EF2FB1" w:rsidRDefault="00EF2FB1" w:rsidP="00EF2FB1">
      <w:pPr>
        <w:pStyle w:val="TOC5"/>
      </w:pPr>
      <w:r>
        <w:t>AUTRES POINTS APPROUVÉS</w:t>
      </w:r>
    </w:p>
    <w:p w:rsidR="00EF2FB1" w:rsidRDefault="00EF2FB1" w:rsidP="00EF2FB1">
      <w:pPr>
        <w:pStyle w:val="TOC8"/>
        <w:rPr>
          <w:rFonts w:asciiTheme="minorHAnsi" w:eastAsiaTheme="minorEastAsia" w:hAnsiTheme="minorHAnsi" w:cstheme="minorBidi"/>
          <w:i w:val="0"/>
          <w:noProof/>
          <w:sz w:val="22"/>
          <w:szCs w:val="22"/>
          <w:lang w:val="en-GB" w:eastAsia="en-GB" w:bidi="ar-SA"/>
        </w:rPr>
      </w:pPr>
      <w:r>
        <w:rPr>
          <w:noProof/>
        </w:rPr>
        <w:t>ENVIRONNEMENT</w:t>
      </w:r>
    </w:p>
    <w:p w:rsidR="00EF2FB1" w:rsidRPr="00EF2FB1" w:rsidRDefault="00EF2FB1" w:rsidP="00EF2FB1">
      <w:pPr>
        <w:pStyle w:val="TOC9"/>
        <w:rPr>
          <w:rFonts w:asciiTheme="minorHAnsi" w:eastAsiaTheme="minorEastAsia" w:hAnsiTheme="minorHAnsi" w:cstheme="minorBidi"/>
          <w:noProof/>
          <w:sz w:val="22"/>
          <w:szCs w:val="22"/>
          <w:lang w:val="fr-BE" w:eastAsia="en-GB" w:bidi="ar-SA"/>
        </w:rPr>
      </w:pPr>
      <w:r>
        <w:rPr>
          <w:noProof/>
        </w:rPr>
        <w:t>Convention sur les effets transfrontières des accidents industriels</w:t>
      </w:r>
      <w:r>
        <w:rPr>
          <w:noProof/>
        </w:rPr>
        <w:tab/>
      </w:r>
      <w:r>
        <w:rPr>
          <w:noProof/>
        </w:rPr>
        <w:fldChar w:fldCharType="begin"/>
      </w:r>
      <w:r>
        <w:rPr>
          <w:noProof/>
        </w:rPr>
        <w:instrText xml:space="preserve"> PAGEREF \h _Toc411256153 \* MERGEFORMAT </w:instrText>
      </w:r>
      <w:r>
        <w:rPr>
          <w:noProof/>
        </w:rPr>
      </w:r>
      <w:r>
        <w:rPr>
          <w:noProof/>
        </w:rPr>
        <w:fldChar w:fldCharType="separate"/>
      </w:r>
      <w:r w:rsidR="00211E45">
        <w:rPr>
          <w:noProof/>
        </w:rPr>
        <w:t>13</w:t>
      </w:r>
      <w:r>
        <w:rPr>
          <w:noProof/>
        </w:rPr>
        <w:fldChar w:fldCharType="end"/>
      </w:r>
    </w:p>
    <w:p w:rsidR="00EF2FB1" w:rsidRDefault="00EF2FB1" w:rsidP="00EF2FB1">
      <w:pPr>
        <w:pStyle w:val="TOC8"/>
        <w:rPr>
          <w:rFonts w:asciiTheme="minorHAnsi" w:eastAsiaTheme="minorEastAsia" w:hAnsiTheme="minorHAnsi" w:cstheme="minorBidi"/>
          <w:i w:val="0"/>
          <w:noProof/>
          <w:sz w:val="22"/>
          <w:szCs w:val="22"/>
          <w:lang w:val="en-GB" w:eastAsia="en-GB" w:bidi="ar-SA"/>
        </w:rPr>
      </w:pPr>
      <w:r>
        <w:rPr>
          <w:noProof/>
        </w:rPr>
        <w:t>AFFAIRES ÉTRANGÈRES</w:t>
      </w:r>
    </w:p>
    <w:p w:rsidR="00EF2FB1" w:rsidRDefault="00EF2FB1" w:rsidP="00EF2FB1">
      <w:pPr>
        <w:pStyle w:val="TOC9"/>
        <w:keepNext/>
        <w:rPr>
          <w:rFonts w:asciiTheme="minorHAnsi" w:eastAsiaTheme="minorEastAsia" w:hAnsiTheme="minorHAnsi" w:cstheme="minorBidi"/>
          <w:noProof/>
          <w:sz w:val="22"/>
          <w:szCs w:val="22"/>
          <w:lang w:val="en-GB" w:eastAsia="en-GB" w:bidi="ar-SA"/>
        </w:rPr>
      </w:pPr>
      <w:r>
        <w:rPr>
          <w:noProof/>
        </w:rPr>
        <w:t>Mesures restrictives - République centrafricaine</w:t>
      </w:r>
      <w:r>
        <w:rPr>
          <w:noProof/>
        </w:rPr>
        <w:tab/>
      </w:r>
      <w:r>
        <w:rPr>
          <w:noProof/>
        </w:rPr>
        <w:fldChar w:fldCharType="begin"/>
      </w:r>
      <w:r>
        <w:rPr>
          <w:noProof/>
        </w:rPr>
        <w:instrText xml:space="preserve"> PAGEREF \h _Toc411256155 \* MERGEFORMAT </w:instrText>
      </w:r>
      <w:r>
        <w:rPr>
          <w:noProof/>
        </w:rPr>
      </w:r>
      <w:r>
        <w:rPr>
          <w:noProof/>
        </w:rPr>
        <w:fldChar w:fldCharType="separate"/>
      </w:r>
      <w:r w:rsidR="00211E45">
        <w:rPr>
          <w:noProof/>
        </w:rPr>
        <w:t>13</w:t>
      </w:r>
      <w:r>
        <w:rPr>
          <w:noProof/>
        </w:rPr>
        <w:fldChar w:fldCharType="end"/>
      </w:r>
    </w:p>
    <w:p w:rsidR="00EF2FB1" w:rsidRPr="00EF2FB1" w:rsidRDefault="00EF2FB1" w:rsidP="00EF2FB1">
      <w:pPr>
        <w:pStyle w:val="TOC9"/>
        <w:keepNext/>
        <w:rPr>
          <w:rFonts w:asciiTheme="minorHAnsi" w:eastAsiaTheme="minorEastAsia" w:hAnsiTheme="minorHAnsi" w:cstheme="minorBidi"/>
          <w:noProof/>
          <w:sz w:val="22"/>
          <w:szCs w:val="22"/>
          <w:lang w:val="fr-BE" w:eastAsia="en-GB" w:bidi="ar-SA"/>
        </w:rPr>
      </w:pPr>
      <w:r>
        <w:rPr>
          <w:noProof/>
        </w:rPr>
        <w:t>Mesures restrictives - République démocratique du Congo</w:t>
      </w:r>
      <w:r>
        <w:rPr>
          <w:noProof/>
        </w:rPr>
        <w:tab/>
      </w:r>
      <w:r>
        <w:rPr>
          <w:noProof/>
        </w:rPr>
        <w:fldChar w:fldCharType="begin"/>
      </w:r>
      <w:r>
        <w:rPr>
          <w:noProof/>
        </w:rPr>
        <w:instrText xml:space="preserve"> PAGEREF \h _Toc411256156 \* MERGEFORMAT </w:instrText>
      </w:r>
      <w:r>
        <w:rPr>
          <w:noProof/>
        </w:rPr>
      </w:r>
      <w:r>
        <w:rPr>
          <w:noProof/>
        </w:rPr>
        <w:fldChar w:fldCharType="separate"/>
      </w:r>
      <w:r w:rsidR="00211E45">
        <w:rPr>
          <w:noProof/>
        </w:rPr>
        <w:t>13</w:t>
      </w:r>
      <w:r>
        <w:rPr>
          <w:noProof/>
        </w:rPr>
        <w:fldChar w:fldCharType="end"/>
      </w:r>
    </w:p>
    <w:p w:rsidR="00EF2FB1" w:rsidRPr="00EF2FB1" w:rsidRDefault="00EF2FB1" w:rsidP="00EF2FB1">
      <w:pPr>
        <w:pStyle w:val="TOC9"/>
        <w:rPr>
          <w:rFonts w:asciiTheme="minorHAnsi" w:eastAsiaTheme="minorEastAsia" w:hAnsiTheme="minorHAnsi" w:cstheme="minorBidi"/>
          <w:noProof/>
          <w:sz w:val="22"/>
          <w:szCs w:val="22"/>
          <w:lang w:val="fr-BE" w:eastAsia="en-GB" w:bidi="ar-SA"/>
        </w:rPr>
      </w:pPr>
      <w:r>
        <w:rPr>
          <w:noProof/>
        </w:rPr>
        <w:t>Mesures pour combattre les armes nucléaires</w:t>
      </w:r>
      <w:r>
        <w:rPr>
          <w:noProof/>
        </w:rPr>
        <w:tab/>
      </w:r>
      <w:r>
        <w:rPr>
          <w:noProof/>
        </w:rPr>
        <w:fldChar w:fldCharType="begin"/>
      </w:r>
      <w:r>
        <w:rPr>
          <w:noProof/>
        </w:rPr>
        <w:instrText xml:space="preserve"> PAGEREF \h _Toc411256157 \* MERGEFORMAT </w:instrText>
      </w:r>
      <w:r>
        <w:rPr>
          <w:noProof/>
        </w:rPr>
      </w:r>
      <w:r>
        <w:rPr>
          <w:noProof/>
        </w:rPr>
        <w:fldChar w:fldCharType="separate"/>
      </w:r>
      <w:r w:rsidR="00211E45">
        <w:rPr>
          <w:noProof/>
        </w:rPr>
        <w:t>13</w:t>
      </w:r>
      <w:r>
        <w:rPr>
          <w:noProof/>
        </w:rPr>
        <w:fldChar w:fldCharType="end"/>
      </w:r>
    </w:p>
    <w:p w:rsidR="00EF2FB1" w:rsidRPr="00EF2FB1" w:rsidRDefault="00EF2FB1" w:rsidP="00EF2FB1">
      <w:pPr>
        <w:pStyle w:val="TOC8"/>
        <w:rPr>
          <w:rFonts w:asciiTheme="minorHAnsi" w:eastAsiaTheme="minorEastAsia" w:hAnsiTheme="minorHAnsi" w:cstheme="minorBidi"/>
          <w:i w:val="0"/>
          <w:noProof/>
          <w:sz w:val="22"/>
          <w:szCs w:val="22"/>
          <w:lang w:val="fr-BE" w:eastAsia="en-GB" w:bidi="ar-SA"/>
        </w:rPr>
      </w:pPr>
      <w:r>
        <w:rPr>
          <w:noProof/>
        </w:rPr>
        <w:lastRenderedPageBreak/>
        <w:t>POLITIQUE DE SÉCURITÉ ET DE DÉFENSE COMMUNE</w:t>
      </w:r>
    </w:p>
    <w:p w:rsidR="00EF2FB1" w:rsidRDefault="00EF2FB1" w:rsidP="00EF2FB1">
      <w:pPr>
        <w:pStyle w:val="TOC9"/>
        <w:rPr>
          <w:rFonts w:asciiTheme="minorHAnsi" w:eastAsiaTheme="minorEastAsia" w:hAnsiTheme="minorHAnsi" w:cstheme="minorBidi"/>
          <w:noProof/>
          <w:sz w:val="22"/>
          <w:szCs w:val="22"/>
          <w:lang w:val="en-GB" w:eastAsia="en-GB" w:bidi="ar-SA"/>
        </w:rPr>
      </w:pPr>
      <w:r>
        <w:rPr>
          <w:noProof/>
        </w:rPr>
        <w:t>Centre d'opérations de l'UE</w:t>
      </w:r>
      <w:r>
        <w:rPr>
          <w:noProof/>
        </w:rPr>
        <w:tab/>
      </w:r>
      <w:r>
        <w:rPr>
          <w:noProof/>
        </w:rPr>
        <w:fldChar w:fldCharType="begin"/>
      </w:r>
      <w:r>
        <w:rPr>
          <w:noProof/>
        </w:rPr>
        <w:instrText xml:space="preserve"> PAGEREF \h _Toc411256159 \* MERGEFORMAT </w:instrText>
      </w:r>
      <w:r>
        <w:rPr>
          <w:noProof/>
        </w:rPr>
      </w:r>
      <w:r>
        <w:rPr>
          <w:noProof/>
        </w:rPr>
        <w:fldChar w:fldCharType="separate"/>
      </w:r>
      <w:r w:rsidR="00211E45">
        <w:rPr>
          <w:noProof/>
        </w:rPr>
        <w:t>14</w:t>
      </w:r>
      <w:r>
        <w:rPr>
          <w:noProof/>
        </w:rPr>
        <w:fldChar w:fldCharType="end"/>
      </w:r>
    </w:p>
    <w:p w:rsidR="00EF2FB1" w:rsidRDefault="00EF2FB1" w:rsidP="00EF2FB1">
      <w:pPr>
        <w:pStyle w:val="TOC8"/>
        <w:rPr>
          <w:rFonts w:asciiTheme="minorHAnsi" w:eastAsiaTheme="minorEastAsia" w:hAnsiTheme="minorHAnsi" w:cstheme="minorBidi"/>
          <w:i w:val="0"/>
          <w:noProof/>
          <w:sz w:val="22"/>
          <w:szCs w:val="22"/>
          <w:lang w:val="en-GB" w:eastAsia="en-GB" w:bidi="ar-SA"/>
        </w:rPr>
      </w:pPr>
      <w:r>
        <w:rPr>
          <w:noProof/>
        </w:rPr>
        <w:t>AFFAIRES ÉCONOMIQUES ET FINANCIÈRES</w:t>
      </w:r>
    </w:p>
    <w:p w:rsidR="00EF2FB1" w:rsidRPr="00EF2FB1" w:rsidRDefault="00EF2FB1" w:rsidP="00EF2FB1">
      <w:pPr>
        <w:pStyle w:val="TOC9"/>
        <w:keepNext/>
        <w:rPr>
          <w:rFonts w:asciiTheme="minorHAnsi" w:eastAsiaTheme="minorEastAsia" w:hAnsiTheme="minorHAnsi" w:cstheme="minorBidi"/>
          <w:noProof/>
          <w:sz w:val="22"/>
          <w:szCs w:val="22"/>
          <w:lang w:val="fr-BE" w:eastAsia="en-GB" w:bidi="ar-SA"/>
        </w:rPr>
      </w:pPr>
      <w:r>
        <w:rPr>
          <w:noProof/>
        </w:rPr>
        <w:t>Opérations de financement sur titres</w:t>
      </w:r>
      <w:r>
        <w:rPr>
          <w:noProof/>
        </w:rPr>
        <w:tab/>
      </w:r>
      <w:r>
        <w:rPr>
          <w:noProof/>
        </w:rPr>
        <w:fldChar w:fldCharType="begin"/>
      </w:r>
      <w:r>
        <w:rPr>
          <w:noProof/>
        </w:rPr>
        <w:instrText xml:space="preserve"> PAGEREF \h _Toc411256161 \* MERGEFORMAT </w:instrText>
      </w:r>
      <w:r>
        <w:rPr>
          <w:noProof/>
        </w:rPr>
      </w:r>
      <w:r>
        <w:rPr>
          <w:noProof/>
        </w:rPr>
        <w:fldChar w:fldCharType="separate"/>
      </w:r>
      <w:r w:rsidR="00211E45">
        <w:rPr>
          <w:noProof/>
        </w:rPr>
        <w:t>14</w:t>
      </w:r>
      <w:r>
        <w:rPr>
          <w:noProof/>
        </w:rPr>
        <w:fldChar w:fldCharType="end"/>
      </w:r>
    </w:p>
    <w:p w:rsidR="00EF2FB1" w:rsidRDefault="00EF2FB1" w:rsidP="00EF2FB1">
      <w:pPr>
        <w:pStyle w:val="TOC9"/>
      </w:pPr>
      <w:r>
        <w:rPr>
          <w:noProof/>
        </w:rPr>
        <w:t>Vente à découvert - Dette souveraine</w:t>
      </w:r>
      <w:r>
        <w:rPr>
          <w:noProof/>
        </w:rPr>
        <w:tab/>
      </w:r>
      <w:r>
        <w:rPr>
          <w:noProof/>
        </w:rPr>
        <w:fldChar w:fldCharType="begin"/>
      </w:r>
      <w:r>
        <w:rPr>
          <w:noProof/>
        </w:rPr>
        <w:instrText xml:space="preserve"> PAGEREF \h _Toc411256162 \* MERGEFORMAT </w:instrText>
      </w:r>
      <w:r>
        <w:rPr>
          <w:noProof/>
        </w:rPr>
      </w:r>
      <w:r>
        <w:rPr>
          <w:noProof/>
        </w:rPr>
        <w:fldChar w:fldCharType="separate"/>
      </w:r>
      <w:r w:rsidR="00211E45">
        <w:rPr>
          <w:noProof/>
        </w:rPr>
        <w:t>14</w:t>
      </w:r>
      <w:r>
        <w:rPr>
          <w:noProof/>
        </w:rPr>
        <w:fldChar w:fldCharType="end"/>
      </w:r>
    </w:p>
    <w:p w:rsidR="00EF2FB1" w:rsidRPr="009E7092" w:rsidRDefault="00EF2FB1" w:rsidP="000D3E4C">
      <w:pPr>
        <w:sectPr w:rsidR="00EF2FB1" w:rsidRPr="009E7092" w:rsidSect="00211E45">
          <w:headerReference w:type="even" r:id="rId21"/>
          <w:footerReference w:type="even" r:id="rId22"/>
          <w:headerReference w:type="first" r:id="rId23"/>
          <w:footerReference w:type="first" r:id="rId24"/>
          <w:footnotePr>
            <w:numRestart w:val="eachPage"/>
          </w:footnotePr>
          <w:pgSz w:w="11907" w:h="16840" w:code="9"/>
          <w:pgMar w:top="1134" w:right="1134" w:bottom="1134" w:left="1134" w:header="567" w:footer="567" w:gutter="0"/>
          <w:cols w:space="708"/>
          <w:docGrid w:linePitch="360"/>
        </w:sectPr>
      </w:pPr>
    </w:p>
    <w:p w:rsidR="0094264F" w:rsidRPr="00F86937" w:rsidRDefault="0094264F" w:rsidP="0094264F">
      <w:pPr>
        <w:pStyle w:val="ParticipantsHeading"/>
        <w:spacing w:line="228" w:lineRule="auto"/>
      </w:pPr>
      <w:r>
        <w:lastRenderedPageBreak/>
        <w:t>PARTICIPANTS</w:t>
      </w:r>
    </w:p>
    <w:p w:rsidR="0094264F" w:rsidRPr="00F86937" w:rsidRDefault="0094264F" w:rsidP="0094264F">
      <w:pPr>
        <w:pStyle w:val="ParticipantGroup"/>
        <w:spacing w:line="228" w:lineRule="auto"/>
        <w:outlineLvl w:val="0"/>
      </w:pPr>
      <w:r>
        <w:t>Belgique:</w:t>
      </w:r>
    </w:p>
    <w:p w:rsidR="0094264F" w:rsidRPr="00F86937" w:rsidRDefault="0094264F" w:rsidP="0094264F">
      <w:pPr>
        <w:pStyle w:val="Participant"/>
        <w:spacing w:line="228" w:lineRule="auto"/>
      </w:pPr>
      <w:r>
        <w:t>M</w:t>
      </w:r>
      <w:r>
        <w:rPr>
          <w:vertAlign w:val="superscript"/>
        </w:rPr>
        <w:t>me</w:t>
      </w:r>
      <w:r>
        <w:t xml:space="preserve"> Maggie DE BLOCK</w:t>
      </w:r>
      <w:r>
        <w:tab/>
        <w:t>Ministre des affaires sociales et de la santé publique</w:t>
      </w:r>
    </w:p>
    <w:p w:rsidR="0094264F" w:rsidRPr="00F86937" w:rsidRDefault="0094264F" w:rsidP="0094264F">
      <w:pPr>
        <w:pStyle w:val="ParticipantGroup"/>
        <w:spacing w:line="228" w:lineRule="auto"/>
      </w:pPr>
      <w:r>
        <w:t>Bulgarie:</w:t>
      </w:r>
    </w:p>
    <w:p w:rsidR="0094264F" w:rsidRPr="00F86937" w:rsidRDefault="0094264F" w:rsidP="0094264F">
      <w:pPr>
        <w:pStyle w:val="Participant"/>
        <w:spacing w:line="228" w:lineRule="auto"/>
      </w:pPr>
      <w:r>
        <w:t>M</w:t>
      </w:r>
      <w:r>
        <w:rPr>
          <w:vertAlign w:val="superscript"/>
        </w:rPr>
        <w:t>me</w:t>
      </w:r>
      <w:r>
        <w:t xml:space="preserve"> </w:t>
      </w:r>
      <w:proofErr w:type="spellStart"/>
      <w:r>
        <w:t>Petia</w:t>
      </w:r>
      <w:proofErr w:type="spellEnd"/>
      <w:r>
        <w:t xml:space="preserve"> VASSILEVA</w:t>
      </w:r>
      <w:r>
        <w:tab/>
        <w:t>Représentant permanent</w:t>
      </w:r>
    </w:p>
    <w:p w:rsidR="0094264F" w:rsidRPr="00F86937" w:rsidRDefault="0094264F" w:rsidP="0094264F">
      <w:pPr>
        <w:pStyle w:val="ParticipantGroup"/>
        <w:spacing w:line="228" w:lineRule="auto"/>
        <w:outlineLvl w:val="0"/>
      </w:pPr>
      <w:r>
        <w:t>République tchèque:</w:t>
      </w:r>
    </w:p>
    <w:p w:rsidR="0094264F" w:rsidRPr="00F86937" w:rsidRDefault="0094264F" w:rsidP="0094264F">
      <w:pPr>
        <w:pStyle w:val="Participant"/>
        <w:spacing w:line="228" w:lineRule="auto"/>
      </w:pPr>
      <w:r>
        <w:t>M. Jakub DÜRR</w:t>
      </w:r>
      <w:r>
        <w:tab/>
        <w:t>Représentant permanent adjoint</w:t>
      </w:r>
    </w:p>
    <w:p w:rsidR="0094264F" w:rsidRPr="00F86937" w:rsidRDefault="0094264F" w:rsidP="0094264F">
      <w:pPr>
        <w:pStyle w:val="ParticipantGroup"/>
        <w:spacing w:line="228" w:lineRule="auto"/>
        <w:outlineLvl w:val="0"/>
      </w:pPr>
      <w:r>
        <w:t>Danemark:</w:t>
      </w:r>
    </w:p>
    <w:p w:rsidR="0094264F" w:rsidRPr="00F86937" w:rsidRDefault="0094264F" w:rsidP="0094264F">
      <w:pPr>
        <w:pStyle w:val="Participant"/>
        <w:spacing w:line="228" w:lineRule="auto"/>
      </w:pPr>
      <w:r>
        <w:t xml:space="preserve">M. </w:t>
      </w:r>
      <w:proofErr w:type="spellStart"/>
      <w:r>
        <w:t>Ole</w:t>
      </w:r>
      <w:proofErr w:type="spellEnd"/>
      <w:r>
        <w:t xml:space="preserve"> TOFT</w:t>
      </w:r>
      <w:r>
        <w:tab/>
        <w:t>Représentant permanent adjoint</w:t>
      </w:r>
    </w:p>
    <w:p w:rsidR="0094264F" w:rsidRPr="00F86937" w:rsidRDefault="0094264F" w:rsidP="0094264F">
      <w:pPr>
        <w:pStyle w:val="ParticipantGroup"/>
        <w:spacing w:line="228" w:lineRule="auto"/>
        <w:outlineLvl w:val="0"/>
      </w:pPr>
      <w:r>
        <w:t>Allemagne:</w:t>
      </w:r>
    </w:p>
    <w:p w:rsidR="0094264F" w:rsidRPr="00F86937" w:rsidRDefault="0094264F" w:rsidP="0094264F">
      <w:pPr>
        <w:pStyle w:val="Participant"/>
        <w:spacing w:line="228" w:lineRule="auto"/>
      </w:pPr>
      <w:r>
        <w:t>M</w:t>
      </w:r>
      <w:r>
        <w:rPr>
          <w:vertAlign w:val="superscript"/>
        </w:rPr>
        <w:t>me</w:t>
      </w:r>
      <w:r>
        <w:t xml:space="preserve"> Annette WIDMANN-MAUZ</w:t>
      </w:r>
      <w:r>
        <w:tab/>
        <w:t>Secrétaire d'État parlementaire auprès du ministre fédéral de la santé</w:t>
      </w:r>
    </w:p>
    <w:p w:rsidR="0094264F" w:rsidRPr="00F86937" w:rsidRDefault="0094264F" w:rsidP="0094264F">
      <w:pPr>
        <w:pStyle w:val="ParticipantGroup"/>
        <w:spacing w:line="228" w:lineRule="auto"/>
        <w:outlineLvl w:val="0"/>
      </w:pPr>
      <w:r>
        <w:t>Estonie:</w:t>
      </w:r>
    </w:p>
    <w:p w:rsidR="0094264F" w:rsidRPr="00F86937" w:rsidRDefault="0094264F" w:rsidP="0094264F">
      <w:pPr>
        <w:pStyle w:val="Participant"/>
        <w:spacing w:line="228" w:lineRule="auto"/>
      </w:pPr>
      <w:r>
        <w:t>M. Clyde KULL</w:t>
      </w:r>
      <w:r>
        <w:tab/>
        <w:t>Représentant permanent adjoint</w:t>
      </w:r>
    </w:p>
    <w:p w:rsidR="0094264F" w:rsidRPr="00F86937" w:rsidRDefault="0094264F" w:rsidP="0094264F">
      <w:pPr>
        <w:pStyle w:val="ParticipantGroup"/>
        <w:spacing w:line="228" w:lineRule="auto"/>
        <w:outlineLvl w:val="0"/>
      </w:pPr>
      <w:r>
        <w:t>Irlande:</w:t>
      </w:r>
    </w:p>
    <w:p w:rsidR="0094264F" w:rsidRPr="00F86937" w:rsidRDefault="0094264F" w:rsidP="0094264F">
      <w:pPr>
        <w:pStyle w:val="Participant"/>
        <w:spacing w:line="228" w:lineRule="auto"/>
      </w:pPr>
      <w:r>
        <w:t>M. Leo VARADKAR</w:t>
      </w:r>
      <w:r>
        <w:tab/>
        <w:t>Ministre de la santé</w:t>
      </w:r>
    </w:p>
    <w:p w:rsidR="0094264F" w:rsidRPr="00F86937" w:rsidRDefault="0094264F" w:rsidP="0094264F">
      <w:pPr>
        <w:pStyle w:val="ParticipantGroup"/>
        <w:spacing w:line="228" w:lineRule="auto"/>
        <w:outlineLvl w:val="0"/>
      </w:pPr>
      <w:r>
        <w:t>Grèce:</w:t>
      </w:r>
    </w:p>
    <w:p w:rsidR="0094264F" w:rsidRPr="00F86937" w:rsidRDefault="0094264F" w:rsidP="00E16D67">
      <w:pPr>
        <w:pStyle w:val="Participant"/>
        <w:spacing w:line="228" w:lineRule="auto"/>
      </w:pPr>
      <w:r>
        <w:t xml:space="preserve">M. </w:t>
      </w:r>
      <w:proofErr w:type="spellStart"/>
      <w:r>
        <w:t>Vassilios</w:t>
      </w:r>
      <w:proofErr w:type="spellEnd"/>
      <w:r>
        <w:t xml:space="preserve"> KONTOZAMANIS</w:t>
      </w:r>
      <w:r>
        <w:tab/>
        <w:t>Ministère de la santé, Secrétaire général</w:t>
      </w:r>
    </w:p>
    <w:p w:rsidR="0094264F" w:rsidRPr="00F86937" w:rsidRDefault="0094264F" w:rsidP="0094264F">
      <w:pPr>
        <w:pStyle w:val="ParticipantGroup"/>
        <w:spacing w:line="228" w:lineRule="auto"/>
        <w:outlineLvl w:val="0"/>
      </w:pPr>
      <w:r>
        <w:t>Espagne:</w:t>
      </w:r>
    </w:p>
    <w:p w:rsidR="0094264F" w:rsidRPr="00F86937" w:rsidRDefault="0094264F" w:rsidP="0094264F">
      <w:pPr>
        <w:pStyle w:val="Participant"/>
        <w:spacing w:line="228" w:lineRule="auto"/>
      </w:pPr>
      <w:r>
        <w:t>M</w:t>
      </w:r>
      <w:r>
        <w:rPr>
          <w:vertAlign w:val="superscript"/>
        </w:rPr>
        <w:t>me</w:t>
      </w:r>
      <w:r>
        <w:t xml:space="preserve"> Pilar FARJAS</w:t>
      </w:r>
      <w:r>
        <w:tab/>
        <w:t>Secrétaire d'État à la santé et à la consommation</w:t>
      </w:r>
      <w:r>
        <w:tab/>
      </w:r>
    </w:p>
    <w:p w:rsidR="0094264F" w:rsidRPr="00F86937" w:rsidRDefault="0094264F" w:rsidP="0094264F">
      <w:pPr>
        <w:pStyle w:val="ParticipantGroup"/>
        <w:spacing w:line="228" w:lineRule="auto"/>
      </w:pPr>
      <w:r>
        <w:t>France:</w:t>
      </w:r>
    </w:p>
    <w:p w:rsidR="0094264F" w:rsidRPr="00F86937" w:rsidRDefault="0094264F" w:rsidP="0094264F">
      <w:pPr>
        <w:pStyle w:val="Participant"/>
        <w:spacing w:line="228" w:lineRule="auto"/>
      </w:pPr>
      <w:r>
        <w:t>M. Alexis DUTERTRE</w:t>
      </w:r>
      <w:r>
        <w:tab/>
        <w:t>Représentant permanent adjoint</w:t>
      </w:r>
    </w:p>
    <w:p w:rsidR="0094264F" w:rsidRPr="00F86937" w:rsidRDefault="0094264F" w:rsidP="0094264F">
      <w:pPr>
        <w:pStyle w:val="ParticipantGroup"/>
        <w:spacing w:line="228" w:lineRule="auto"/>
      </w:pPr>
      <w:r>
        <w:t>Croatie:</w:t>
      </w:r>
    </w:p>
    <w:p w:rsidR="0094264F" w:rsidRPr="00F86937" w:rsidRDefault="0094264F" w:rsidP="0094264F">
      <w:pPr>
        <w:pStyle w:val="Participant"/>
        <w:spacing w:line="228" w:lineRule="auto"/>
      </w:pPr>
      <w:r>
        <w:t xml:space="preserve">M. </w:t>
      </w:r>
      <w:proofErr w:type="spellStart"/>
      <w:r>
        <w:t>Marijan</w:t>
      </w:r>
      <w:proofErr w:type="spellEnd"/>
      <w:r>
        <w:t xml:space="preserve"> CESARIK</w:t>
      </w:r>
      <w:r>
        <w:tab/>
        <w:t>Vice-ministre de la santé</w:t>
      </w:r>
    </w:p>
    <w:p w:rsidR="0094264F" w:rsidRPr="00F86937" w:rsidRDefault="0094264F" w:rsidP="0094264F">
      <w:pPr>
        <w:pStyle w:val="ParticipantGroup"/>
        <w:spacing w:line="228" w:lineRule="auto"/>
        <w:outlineLvl w:val="0"/>
      </w:pPr>
      <w:r>
        <w:t>Italie:</w:t>
      </w:r>
    </w:p>
    <w:p w:rsidR="0094264F" w:rsidRPr="00F86937" w:rsidRDefault="0094264F" w:rsidP="0094264F">
      <w:pPr>
        <w:pStyle w:val="Participant"/>
        <w:spacing w:line="228" w:lineRule="auto"/>
      </w:pPr>
      <w:r>
        <w:t>M</w:t>
      </w:r>
      <w:r>
        <w:rPr>
          <w:vertAlign w:val="superscript"/>
        </w:rPr>
        <w:t>me</w:t>
      </w:r>
      <w:r>
        <w:t xml:space="preserve"> Beatrice LORENZIN</w:t>
      </w:r>
      <w:r>
        <w:tab/>
        <w:t>Ministre de la santé</w:t>
      </w:r>
    </w:p>
    <w:p w:rsidR="0094264F" w:rsidRPr="00F86937" w:rsidRDefault="0094264F" w:rsidP="0094264F">
      <w:pPr>
        <w:pStyle w:val="ParticipantGroup"/>
        <w:spacing w:line="228" w:lineRule="auto"/>
        <w:outlineLvl w:val="0"/>
      </w:pPr>
      <w:r>
        <w:t>Chypre:</w:t>
      </w:r>
    </w:p>
    <w:p w:rsidR="0094264F" w:rsidRPr="00F86937" w:rsidRDefault="0094264F" w:rsidP="0094264F">
      <w:pPr>
        <w:pStyle w:val="Participant"/>
        <w:spacing w:line="228" w:lineRule="auto"/>
      </w:pPr>
      <w:r>
        <w:t xml:space="preserve">M. </w:t>
      </w:r>
      <w:proofErr w:type="spellStart"/>
      <w:r>
        <w:t>Philippos</w:t>
      </w:r>
      <w:proofErr w:type="spellEnd"/>
      <w:r>
        <w:t xml:space="preserve"> C. PATSALIS</w:t>
      </w:r>
      <w:r>
        <w:tab/>
        <w:t>Ministre de la santé</w:t>
      </w:r>
    </w:p>
    <w:p w:rsidR="0094264F" w:rsidRPr="00F86937" w:rsidRDefault="0094264F" w:rsidP="0094264F">
      <w:pPr>
        <w:pStyle w:val="ParticipantGroup"/>
        <w:spacing w:line="228" w:lineRule="auto"/>
        <w:outlineLvl w:val="0"/>
      </w:pPr>
      <w:r>
        <w:t>Lettonie:</w:t>
      </w:r>
    </w:p>
    <w:p w:rsidR="0094264F" w:rsidRPr="00F86937" w:rsidRDefault="0094264F" w:rsidP="0094264F">
      <w:pPr>
        <w:pStyle w:val="Participant"/>
        <w:spacing w:line="228" w:lineRule="auto"/>
      </w:pPr>
      <w:r>
        <w:t xml:space="preserve">M. </w:t>
      </w:r>
      <w:proofErr w:type="spellStart"/>
      <w:r>
        <w:t>Guntis</w:t>
      </w:r>
      <w:proofErr w:type="spellEnd"/>
      <w:r>
        <w:t xml:space="preserve"> BELĒVIČS</w:t>
      </w:r>
      <w:r>
        <w:tab/>
        <w:t>Ministre de la santé</w:t>
      </w:r>
    </w:p>
    <w:p w:rsidR="0094264F" w:rsidRPr="00F86937" w:rsidRDefault="0094264F" w:rsidP="0094264F">
      <w:pPr>
        <w:pStyle w:val="ParticipantGroup"/>
        <w:spacing w:line="228" w:lineRule="auto"/>
        <w:outlineLvl w:val="0"/>
      </w:pPr>
      <w:r>
        <w:t>Lituanie:</w:t>
      </w:r>
    </w:p>
    <w:p w:rsidR="0094264F" w:rsidRPr="00F86937" w:rsidRDefault="0094264F" w:rsidP="0094264F">
      <w:pPr>
        <w:pStyle w:val="Participant"/>
        <w:spacing w:line="228" w:lineRule="auto"/>
      </w:pPr>
      <w:r>
        <w:t xml:space="preserve">M. </w:t>
      </w:r>
      <w:proofErr w:type="spellStart"/>
      <w:r>
        <w:t>Rimantė</w:t>
      </w:r>
      <w:proofErr w:type="spellEnd"/>
      <w:r>
        <w:t xml:space="preserve"> ŠALAŠEVIČIŪTĖ</w:t>
      </w:r>
      <w:r>
        <w:tab/>
        <w:t>Ministre de la santé</w:t>
      </w:r>
    </w:p>
    <w:p w:rsidR="0094264F" w:rsidRPr="00F86937" w:rsidRDefault="0094264F" w:rsidP="0094264F">
      <w:pPr>
        <w:pStyle w:val="ParticipantGroup"/>
        <w:spacing w:line="228" w:lineRule="auto"/>
        <w:outlineLvl w:val="0"/>
      </w:pPr>
      <w:r>
        <w:t>Luxembourg</w:t>
      </w:r>
    </w:p>
    <w:p w:rsidR="0094264F" w:rsidRPr="00F86937" w:rsidRDefault="0094264F" w:rsidP="0094264F">
      <w:pPr>
        <w:pStyle w:val="Participant"/>
        <w:spacing w:line="228" w:lineRule="auto"/>
      </w:pPr>
      <w:r>
        <w:t>M</w:t>
      </w:r>
      <w:r>
        <w:rPr>
          <w:vertAlign w:val="superscript"/>
        </w:rPr>
        <w:t>me</w:t>
      </w:r>
      <w:r>
        <w:t xml:space="preserve"> Lydia MUTSCH</w:t>
      </w:r>
      <w:r>
        <w:tab/>
        <w:t>Ministre de la santé, ministre de l'égalité des chances</w:t>
      </w:r>
    </w:p>
    <w:p w:rsidR="0094264F" w:rsidRPr="00F86937" w:rsidRDefault="0094264F" w:rsidP="0094264F">
      <w:pPr>
        <w:pStyle w:val="ParticipantGroup"/>
        <w:spacing w:line="228" w:lineRule="auto"/>
        <w:outlineLvl w:val="0"/>
      </w:pPr>
      <w:r>
        <w:t>Hongrie:</w:t>
      </w:r>
    </w:p>
    <w:p w:rsidR="0094264F" w:rsidRPr="00F86937" w:rsidRDefault="0094264F" w:rsidP="00DD4631">
      <w:pPr>
        <w:pStyle w:val="Participant"/>
        <w:spacing w:line="228" w:lineRule="auto"/>
      </w:pPr>
      <w:r>
        <w:t>M</w:t>
      </w:r>
      <w:r>
        <w:rPr>
          <w:vertAlign w:val="superscript"/>
        </w:rPr>
        <w:t>me</w:t>
      </w:r>
      <w:r>
        <w:t xml:space="preserve"> Hanna PÁVA</w:t>
      </w:r>
      <w:r>
        <w:tab/>
        <w:t>Sous-secrétaire d'État à la coordination de la santé et aux</w:t>
      </w:r>
      <w:r w:rsidR="00DD4631">
        <w:t> </w:t>
      </w:r>
      <w:r>
        <w:t>affaires européennes, ministère des ressources humaines</w:t>
      </w:r>
    </w:p>
    <w:p w:rsidR="0094264F" w:rsidRPr="00F86937" w:rsidRDefault="0094264F" w:rsidP="0094264F">
      <w:pPr>
        <w:pStyle w:val="Participant"/>
        <w:spacing w:line="228" w:lineRule="auto"/>
      </w:pPr>
      <w:r>
        <w:t xml:space="preserve">M. </w:t>
      </w:r>
      <w:proofErr w:type="spellStart"/>
      <w:r>
        <w:t>Olivér</w:t>
      </w:r>
      <w:proofErr w:type="spellEnd"/>
      <w:r>
        <w:t xml:space="preserve"> VÁRHELYI</w:t>
      </w:r>
      <w:r>
        <w:tab/>
        <w:t>Représentant permanent adjoint</w:t>
      </w:r>
    </w:p>
    <w:p w:rsidR="0094264F" w:rsidRPr="00F86937" w:rsidRDefault="0094264F" w:rsidP="0094264F">
      <w:pPr>
        <w:pStyle w:val="ParticipantGroup"/>
        <w:spacing w:line="228" w:lineRule="auto"/>
        <w:outlineLvl w:val="0"/>
      </w:pPr>
      <w:r>
        <w:t>Malte:</w:t>
      </w:r>
    </w:p>
    <w:p w:rsidR="0094264F" w:rsidRPr="00F86937" w:rsidRDefault="0094264F" w:rsidP="0094264F">
      <w:pPr>
        <w:pStyle w:val="Participant"/>
        <w:spacing w:line="228" w:lineRule="auto"/>
      </w:pPr>
      <w:r>
        <w:t>M. Chris FEARNE</w:t>
      </w:r>
      <w:r>
        <w:tab/>
        <w:t>Secrétaire d'État à la santé, ministère de l'énergie et de la santé</w:t>
      </w:r>
    </w:p>
    <w:p w:rsidR="0094264F" w:rsidRPr="00F86937" w:rsidRDefault="0094264F" w:rsidP="0094264F">
      <w:pPr>
        <w:pStyle w:val="ParticipantGroup"/>
        <w:spacing w:line="228" w:lineRule="auto"/>
        <w:outlineLvl w:val="0"/>
      </w:pPr>
      <w:r>
        <w:t>Pays-Bas:</w:t>
      </w:r>
    </w:p>
    <w:p w:rsidR="0094264F" w:rsidRPr="00F86937" w:rsidRDefault="0094264F" w:rsidP="0094264F">
      <w:pPr>
        <w:pStyle w:val="Participant"/>
        <w:spacing w:line="228" w:lineRule="auto"/>
      </w:pPr>
      <w:r>
        <w:t xml:space="preserve">M. </w:t>
      </w:r>
      <w:proofErr w:type="spellStart"/>
      <w:r>
        <w:t>Wepke</w:t>
      </w:r>
      <w:proofErr w:type="spellEnd"/>
      <w:r>
        <w:t xml:space="preserve"> KINGMA</w:t>
      </w:r>
      <w:r>
        <w:tab/>
        <w:t>Représentant permanent adjoint</w:t>
      </w:r>
    </w:p>
    <w:p w:rsidR="0094264F" w:rsidRPr="00F86937" w:rsidRDefault="0094264F" w:rsidP="0094264F">
      <w:pPr>
        <w:pStyle w:val="ParticipantGroup"/>
        <w:spacing w:line="228" w:lineRule="auto"/>
        <w:outlineLvl w:val="0"/>
      </w:pPr>
      <w:r>
        <w:t>Autriche:</w:t>
      </w:r>
    </w:p>
    <w:p w:rsidR="0094264F" w:rsidRPr="00F86937" w:rsidRDefault="0094264F" w:rsidP="0094264F">
      <w:pPr>
        <w:pStyle w:val="Participant"/>
        <w:spacing w:line="228" w:lineRule="auto"/>
        <w:rPr>
          <w:b/>
          <w:u w:val="single"/>
        </w:rPr>
      </w:pPr>
      <w:r>
        <w:t>M. Gregor SCHUSTERSCHITZ</w:t>
      </w:r>
      <w:r>
        <w:tab/>
        <w:t>Représentant permanent adjoint</w:t>
      </w:r>
    </w:p>
    <w:p w:rsidR="0094264F" w:rsidRPr="00F86937" w:rsidRDefault="0094264F" w:rsidP="0094264F">
      <w:pPr>
        <w:pStyle w:val="ParticipantGroup"/>
        <w:spacing w:line="228" w:lineRule="auto"/>
        <w:outlineLvl w:val="0"/>
      </w:pPr>
      <w:r>
        <w:t>Pologne:</w:t>
      </w:r>
    </w:p>
    <w:p w:rsidR="0094264F" w:rsidRPr="00F86937" w:rsidRDefault="0094264F" w:rsidP="0094264F">
      <w:pPr>
        <w:pStyle w:val="Participant"/>
        <w:spacing w:line="228" w:lineRule="auto"/>
      </w:pPr>
      <w:r>
        <w:t>M. Igor RADZIEWICZ-WINNICKI</w:t>
      </w:r>
      <w:r>
        <w:tab/>
        <w:t>Sous-secrétaire d'État au ministère de la santé</w:t>
      </w:r>
    </w:p>
    <w:p w:rsidR="0094264F" w:rsidRPr="00F86937" w:rsidRDefault="0094264F" w:rsidP="0094264F">
      <w:pPr>
        <w:pStyle w:val="ParticipantGroup"/>
        <w:spacing w:line="228" w:lineRule="auto"/>
        <w:outlineLvl w:val="0"/>
      </w:pPr>
      <w:r>
        <w:t>Portugal:</w:t>
      </w:r>
    </w:p>
    <w:p w:rsidR="0094264F" w:rsidRPr="00F86937" w:rsidRDefault="0094264F" w:rsidP="0094264F">
      <w:pPr>
        <w:pStyle w:val="Participant"/>
        <w:spacing w:line="228" w:lineRule="auto"/>
      </w:pPr>
      <w:r>
        <w:t>M</w:t>
      </w:r>
      <w:r>
        <w:rPr>
          <w:vertAlign w:val="superscript"/>
        </w:rPr>
        <w:t>me</w:t>
      </w:r>
      <w:r>
        <w:t xml:space="preserve"> Rosa BATORÉU</w:t>
      </w:r>
      <w:r>
        <w:tab/>
        <w:t>Représentant permanent adjoint</w:t>
      </w:r>
    </w:p>
    <w:p w:rsidR="0094264F" w:rsidRPr="00F86937" w:rsidRDefault="0094264F" w:rsidP="0094264F">
      <w:pPr>
        <w:pStyle w:val="ParticipantGroup"/>
        <w:spacing w:line="228" w:lineRule="auto"/>
        <w:outlineLvl w:val="0"/>
      </w:pPr>
      <w:r>
        <w:t>Roumanie:</w:t>
      </w:r>
    </w:p>
    <w:p w:rsidR="0094264F" w:rsidRPr="00F86937" w:rsidRDefault="0094264F" w:rsidP="0094264F">
      <w:pPr>
        <w:pStyle w:val="Participant"/>
        <w:spacing w:line="228" w:lineRule="auto"/>
      </w:pPr>
      <w:r>
        <w:t xml:space="preserve">M. </w:t>
      </w:r>
      <w:proofErr w:type="spellStart"/>
      <w:r>
        <w:t>Răzvan</w:t>
      </w:r>
      <w:proofErr w:type="spellEnd"/>
      <w:r>
        <w:t xml:space="preserve"> VULCĂNESCU</w:t>
      </w:r>
      <w:r>
        <w:tab/>
        <w:t>Sous-secrétaire d'État, ministère de la santé</w:t>
      </w:r>
    </w:p>
    <w:p w:rsidR="0094264F" w:rsidRPr="00F86937" w:rsidRDefault="0094264F" w:rsidP="0094264F">
      <w:pPr>
        <w:pStyle w:val="ParticipantGroup"/>
        <w:pageBreakBefore/>
        <w:outlineLvl w:val="0"/>
      </w:pPr>
      <w:r>
        <w:lastRenderedPageBreak/>
        <w:t>Slovénie:</w:t>
      </w:r>
    </w:p>
    <w:p w:rsidR="0094264F" w:rsidRPr="00F86937" w:rsidRDefault="0094264F" w:rsidP="0094264F">
      <w:pPr>
        <w:pStyle w:val="Participant"/>
      </w:pPr>
      <w:r>
        <w:t>M</w:t>
      </w:r>
      <w:r>
        <w:rPr>
          <w:vertAlign w:val="superscript"/>
        </w:rPr>
        <w:t>me</w:t>
      </w:r>
      <w:r>
        <w:t xml:space="preserve"> </w:t>
      </w:r>
      <w:proofErr w:type="spellStart"/>
      <w:r>
        <w:t>Milojka</w:t>
      </w:r>
      <w:proofErr w:type="spellEnd"/>
      <w:r>
        <w:t xml:space="preserve"> KOLAR CELARC</w:t>
      </w:r>
      <w:r>
        <w:tab/>
        <w:t>Ministre de la santé</w:t>
      </w:r>
    </w:p>
    <w:p w:rsidR="0094264F" w:rsidRPr="00F86937" w:rsidRDefault="0094264F" w:rsidP="0094264F">
      <w:pPr>
        <w:pStyle w:val="ParticipantGroup"/>
        <w:outlineLvl w:val="0"/>
      </w:pPr>
      <w:r>
        <w:t>Slovaquie:</w:t>
      </w:r>
    </w:p>
    <w:p w:rsidR="0094264F" w:rsidRPr="00F86937" w:rsidRDefault="0094264F" w:rsidP="0094264F">
      <w:pPr>
        <w:pStyle w:val="Participant"/>
      </w:pPr>
      <w:r>
        <w:t>M. Mario MIKLOŠI</w:t>
      </w:r>
      <w:r>
        <w:tab/>
        <w:t>Secrétaire d'État au ministère de la santé</w:t>
      </w:r>
    </w:p>
    <w:p w:rsidR="0094264F" w:rsidRPr="00F86937" w:rsidRDefault="0094264F" w:rsidP="0094264F">
      <w:pPr>
        <w:pStyle w:val="ParticipantGroup"/>
        <w:outlineLvl w:val="0"/>
      </w:pPr>
      <w:r>
        <w:t>Finlande:</w:t>
      </w:r>
    </w:p>
    <w:p w:rsidR="0094264F" w:rsidRPr="00F86937" w:rsidRDefault="0094264F" w:rsidP="0094264F">
      <w:pPr>
        <w:pStyle w:val="Participant"/>
      </w:pPr>
      <w:r>
        <w:t>M</w:t>
      </w:r>
      <w:r>
        <w:rPr>
          <w:vertAlign w:val="superscript"/>
        </w:rPr>
        <w:t>me</w:t>
      </w:r>
      <w:r>
        <w:t xml:space="preserve"> Susanna HUOVINEN</w:t>
      </w:r>
      <w:r>
        <w:tab/>
        <w:t>Ministre des services sanitaires et sociaux</w:t>
      </w:r>
    </w:p>
    <w:p w:rsidR="0094264F" w:rsidRPr="00F86937" w:rsidRDefault="0094264F" w:rsidP="0094264F">
      <w:pPr>
        <w:pStyle w:val="ParticipantGroup"/>
        <w:outlineLvl w:val="0"/>
      </w:pPr>
      <w:r>
        <w:t>Suède:</w:t>
      </w:r>
    </w:p>
    <w:p w:rsidR="0094264F" w:rsidRPr="00F86937" w:rsidRDefault="0094264F" w:rsidP="0094264F">
      <w:pPr>
        <w:pStyle w:val="Participant"/>
      </w:pPr>
      <w:r>
        <w:t>M. Gabriel WIKSTRÖM</w:t>
      </w:r>
      <w:r>
        <w:tab/>
        <w:t xml:space="preserve">Ministre de la santé publique, des soins et des sports </w:t>
      </w:r>
    </w:p>
    <w:p w:rsidR="0094264F" w:rsidRPr="00F86937" w:rsidRDefault="0094264F" w:rsidP="0094264F">
      <w:pPr>
        <w:pStyle w:val="ParticipantGroup"/>
      </w:pPr>
      <w:r>
        <w:t>Royaume-Uni:</w:t>
      </w:r>
    </w:p>
    <w:p w:rsidR="0094264F" w:rsidRPr="00F86937" w:rsidRDefault="0094264F" w:rsidP="0094264F">
      <w:pPr>
        <w:pStyle w:val="Participant"/>
      </w:pPr>
      <w:r>
        <w:t>M</w:t>
      </w:r>
      <w:r>
        <w:rPr>
          <w:vertAlign w:val="superscript"/>
        </w:rPr>
        <w:t>me</w:t>
      </w:r>
      <w:r>
        <w:t xml:space="preserve"> Shan MORGAN</w:t>
      </w:r>
      <w:r>
        <w:tab/>
        <w:t>Représentant permanent adjoint</w:t>
      </w:r>
    </w:p>
    <w:p w:rsidR="0094264F" w:rsidRPr="00F86937" w:rsidRDefault="0094264F" w:rsidP="0094264F">
      <w:pPr>
        <w:pStyle w:val="ParticipantsSeparator"/>
      </w:pPr>
    </w:p>
    <w:p w:rsidR="0094264F" w:rsidRPr="00F86937" w:rsidRDefault="0094264F" w:rsidP="0094264F">
      <w:pPr>
        <w:pStyle w:val="ParticipantGroup"/>
        <w:rPr>
          <w:b w:val="0"/>
        </w:rPr>
      </w:pPr>
      <w:r>
        <w:t>Commission</w:t>
      </w:r>
      <w:r>
        <w:rPr>
          <w:b w:val="0"/>
        </w:rPr>
        <w:t>:</w:t>
      </w:r>
    </w:p>
    <w:p w:rsidR="0094264F" w:rsidRPr="00F86937" w:rsidRDefault="0094264F" w:rsidP="0094264F">
      <w:pPr>
        <w:pStyle w:val="Participant"/>
      </w:pPr>
      <w:r>
        <w:t xml:space="preserve">M. </w:t>
      </w:r>
      <w:proofErr w:type="spellStart"/>
      <w:r>
        <w:t>Vytenis</w:t>
      </w:r>
      <w:proofErr w:type="spellEnd"/>
      <w:r>
        <w:t xml:space="preserve"> ANDRIUKAITIS</w:t>
      </w:r>
      <w:r>
        <w:tab/>
        <w:t>Membre</w:t>
      </w:r>
    </w:p>
    <w:p w:rsidR="0094264F" w:rsidRPr="00F86937" w:rsidRDefault="0094264F" w:rsidP="0094264F">
      <w:pPr>
        <w:sectPr w:rsidR="0094264F" w:rsidRPr="00F86937" w:rsidSect="00211E45">
          <w:headerReference w:type="even" r:id="rId25"/>
          <w:footerReference w:type="even" r:id="rId26"/>
          <w:headerReference w:type="first" r:id="rId27"/>
          <w:footerReference w:type="first" r:id="rId28"/>
          <w:footnotePr>
            <w:numRestart w:val="eachPage"/>
          </w:footnotePr>
          <w:pgSz w:w="11907" w:h="16840" w:code="9"/>
          <w:pgMar w:top="1134" w:right="1134" w:bottom="1134" w:left="1134" w:header="567" w:footer="567" w:gutter="0"/>
          <w:cols w:space="708"/>
          <w:docGrid w:linePitch="360"/>
        </w:sectPr>
      </w:pPr>
    </w:p>
    <w:p w:rsidR="001A454F" w:rsidRPr="00883605" w:rsidRDefault="001A454F" w:rsidP="001A454F">
      <w:pPr>
        <w:pStyle w:val="ItemsDebatedHeading"/>
      </w:pPr>
      <w:bookmarkStart w:id="6" w:name="TBDW_e1738ca876cc4692a1cfd67ebdeedc87"/>
      <w:r>
        <w:lastRenderedPageBreak/>
        <w:t>POINTS AYANT FAIT L'OBJET D'UN DÉBAT</w:t>
      </w:r>
      <w:bookmarkEnd w:id="6"/>
    </w:p>
    <w:p w:rsidR="001A454F" w:rsidRPr="00883605" w:rsidRDefault="001A454F" w:rsidP="001A454F">
      <w:pPr>
        <w:pStyle w:val="ItemDebated"/>
      </w:pPr>
      <w:bookmarkStart w:id="7" w:name="_Toc411256138"/>
      <w:r>
        <w:t>Dispositifs médicaux</w:t>
      </w:r>
      <w:bookmarkEnd w:id="7"/>
    </w:p>
    <w:p w:rsidR="001A454F" w:rsidRPr="00883605" w:rsidRDefault="001A454F" w:rsidP="001A454F">
      <w:pPr>
        <w:outlineLvl w:val="0"/>
      </w:pPr>
      <w:r>
        <w:t xml:space="preserve">Le Conseil a pris note d'un rapport de la présidence sur l'état d'avancement des travaux sur deux projets de règlements relatifs, l'un, aux dispositifs médicaux et, l'autre, aux dispositifs médicaux de diagnostic in vitro (doc. </w:t>
      </w:r>
      <w:hyperlink r:id="rId29" w:tooltip="http://register.consilium.europa.eu/pdf/en/14/st15/st15881.en14.pdf">
        <w:r w:rsidRPr="00FE42AD">
          <w:rPr>
            <w:rStyle w:val="Hyperlink"/>
            <w:i/>
          </w:rPr>
          <w:t>15</w:t>
        </w:r>
        <w:r w:rsidRPr="00FE42AD">
          <w:rPr>
            <w:rStyle w:val="Hyperlink"/>
            <w:i/>
          </w:rPr>
          <w:t>8</w:t>
        </w:r>
        <w:r w:rsidRPr="00FE42AD">
          <w:rPr>
            <w:rStyle w:val="Hyperlink"/>
            <w:i/>
          </w:rPr>
          <w:t>81/14</w:t>
        </w:r>
      </w:hyperlink>
      <w:r>
        <w:t>). Il a chargé ses instances préparatoires de poursuivre leurs travaux afin d'établir la position du Conseil sur ces dossiers.</w:t>
      </w:r>
    </w:p>
    <w:p w:rsidR="001A454F" w:rsidRPr="00883605" w:rsidRDefault="001A454F" w:rsidP="001A454F">
      <w:pPr>
        <w:outlineLvl w:val="0"/>
      </w:pPr>
      <w:r>
        <w:t>Des progrès considérables ont été réalisés sur ces dossiers durant la présidence italienne, ce qui permet d'avoir une meilleure compréhension de ces mesures dans leur ensemble. Il est toutefois nécessaire de poursuivre les discussions afin que le Conseil puisse arrêter sa position. Parmi les questions en suspens figurent notamment l'esthétique, le retraitement des dispositifs à usage unique, le système d'identification unique des dispositifs médicaux, les organismes notifiés, l'investigation clinique, les tâches du groupe de coordination en matière de dispositifs médicaux qu'il est proposé d'instituer, le rôle des panels d'experts et des laboratoires de référence, le mécanisme de contrôle pour certains dispositifs à haut risque et la surveillance après commercialisation. La présidence a pour objectif d'établir, d'ici la fin de l'année, un texte couvrant les deux propositions, qui pourrait servir de texte de référence pour la prochaine présidence.</w:t>
      </w:r>
    </w:p>
    <w:p w:rsidR="001A454F" w:rsidRPr="00883605" w:rsidRDefault="001A454F" w:rsidP="001A454F">
      <w:pPr>
        <w:outlineLvl w:val="0"/>
      </w:pPr>
      <w:r>
        <w:t>La révision des dispositions législatives de l'UE relatives aux dispositifs médicaux vise à assurer le niveau le plus élevé possible de protection des patients, des consommateurs et des professionnels de la santé européens et à faire en sorte que des dispositifs médicaux sûrs, efficaces et innovants puissent être commercialisés et mis à la disposition des utilisateurs en temps utile. Les nouveaux règlements devraient ainsi, d'une part, profiter aux patients et, d'autre part, contribuer à renforcer la compétitivité européenne.</w:t>
      </w:r>
    </w:p>
    <w:p w:rsidR="001A454F" w:rsidRPr="00883605" w:rsidRDefault="001A454F" w:rsidP="001A454F">
      <w:pPr>
        <w:outlineLvl w:val="0"/>
      </w:pPr>
      <w:r>
        <w:t>Par dispositif médical, on entend tout équipement utilisé à des fins médicales. Cette définition englobe des produits aussi variés que les ciseaux, les lentilles de contact, les instruments de chirurgie, les valves cardiaques artificielles, les dialyseurs rénaux, les implants mammaires ou encore les appareils de radiographie et les scanners. Il existe également une grande variété de dispositifs médicaux de diagnostic in vitro, y compris par exemple les tests sanguins et autres produits, qui fournissent des informations sur l'état physiologique ou pathologique d'une personne.</w:t>
      </w:r>
    </w:p>
    <w:p w:rsidR="001A454F" w:rsidRPr="00883605" w:rsidRDefault="001A454F" w:rsidP="001A454F">
      <w:pPr>
        <w:outlineLvl w:val="0"/>
      </w:pPr>
      <w:r>
        <w:t>Contrairement aux médicaments, les dispositifs médicaux et les dispositifs médicaux de diagnostic in vitro ne sont pas soumis à une autorisation préalable de mise sur le marché, mais à une évaluation de la conformité à laquelle participe, selon le risque potentiel du produit, une tierce partie indépendante, à savoir l'organisme notifié. Les organismes notifiés sont désignés et contrôlés par les États membres et agissent sous le contrôle des autorités nationales.</w:t>
      </w:r>
    </w:p>
    <w:p w:rsidR="001A454F" w:rsidRPr="00883605" w:rsidRDefault="001A454F" w:rsidP="001A454F">
      <w:pPr>
        <w:outlineLvl w:val="0"/>
      </w:pPr>
      <w:r>
        <w:t xml:space="preserve">Les propositions de la Commission (doc. </w:t>
      </w:r>
      <w:hyperlink r:id="rId30">
        <w:r w:rsidRPr="00FE42AD">
          <w:rPr>
            <w:rStyle w:val="Hyperlink"/>
            <w:i/>
          </w:rPr>
          <w:t>14493/12</w:t>
        </w:r>
      </w:hyperlink>
      <w:r>
        <w:t xml:space="preserve"> + </w:t>
      </w:r>
      <w:hyperlink r:id="rId31">
        <w:r w:rsidRPr="00FE42AD">
          <w:rPr>
            <w:rStyle w:val="Hyperlink"/>
            <w:i/>
          </w:rPr>
          <w:t>14499/12</w:t>
        </w:r>
      </w:hyperlink>
      <w:r>
        <w:t>) contiennent les principaux éléments suivants:</w:t>
      </w:r>
    </w:p>
    <w:p w:rsidR="001A454F" w:rsidRPr="00883605" w:rsidRDefault="001A454F" w:rsidP="00351BA6">
      <w:pPr>
        <w:pStyle w:val="Tiret0"/>
      </w:pPr>
      <w:r>
        <w:t xml:space="preserve">le </w:t>
      </w:r>
      <w:r>
        <w:rPr>
          <w:b/>
        </w:rPr>
        <w:t>champ d'application</w:t>
      </w:r>
      <w:r>
        <w:t xml:space="preserve"> des règles de l'UE actuellement en vigueur en matière de dispositifs médicaux </w:t>
      </w:r>
      <w:r>
        <w:rPr>
          <w:b/>
        </w:rPr>
        <w:t>a été étendu</w:t>
      </w:r>
      <w:r>
        <w:t>, par exemple aux implants esthétiques et, dans le cas des</w:t>
      </w:r>
      <w:r w:rsidR="00351BA6">
        <w:t> </w:t>
      </w:r>
      <w:r>
        <w:rPr>
          <w:b/>
        </w:rPr>
        <w:t>dispositifs médicaux de diagnostic in vitro</w:t>
      </w:r>
      <w:r>
        <w:t xml:space="preserve">, par exemple aux examens fournissant des informations sur une éventuelle prédisposition à une maladie (par exemple les </w:t>
      </w:r>
      <w:r>
        <w:rPr>
          <w:b/>
        </w:rPr>
        <w:t>tests génétiques</w:t>
      </w:r>
      <w:r>
        <w:t>).</w:t>
      </w:r>
    </w:p>
    <w:p w:rsidR="001A454F" w:rsidRPr="00883605" w:rsidRDefault="001A454F" w:rsidP="001A454F">
      <w:pPr>
        <w:pStyle w:val="Tiret0"/>
      </w:pPr>
      <w:r>
        <w:br w:type="page"/>
      </w:r>
      <w:r>
        <w:lastRenderedPageBreak/>
        <w:t xml:space="preserve">les opérateurs économiques doivent être en mesure d'identifier celui ou celle qui a fourni des dispositifs médicaux ou à qui ils ont été fournis; les fabricants doivent attribuer à leurs produits un identifiant unique afin d'en </w:t>
      </w:r>
      <w:r>
        <w:rPr>
          <w:b/>
        </w:rPr>
        <w:t>assurer la traçabilité</w:t>
      </w:r>
      <w:r>
        <w:t>.</w:t>
      </w:r>
    </w:p>
    <w:p w:rsidR="001A454F" w:rsidRPr="00883605" w:rsidRDefault="001A454F" w:rsidP="00351BA6">
      <w:pPr>
        <w:pStyle w:val="Tiret0"/>
      </w:pPr>
      <w:r>
        <w:t>les fabricants et les importateurs des deux catégories de produits doivent s'enregistrer et</w:t>
      </w:r>
      <w:r w:rsidR="00351BA6">
        <w:t> </w:t>
      </w:r>
      <w:r>
        <w:t xml:space="preserve">enregistrer les dispositifs qu'ils mettent sur le marché de l'UE dans une </w:t>
      </w:r>
      <w:r>
        <w:rPr>
          <w:b/>
        </w:rPr>
        <w:t>banque de données centrale européenne</w:t>
      </w:r>
    </w:p>
    <w:p w:rsidR="001A454F" w:rsidRPr="00883605" w:rsidRDefault="001A454F" w:rsidP="001A454F">
      <w:pPr>
        <w:pStyle w:val="Tiret0"/>
      </w:pPr>
      <w:r>
        <w:t xml:space="preserve">les </w:t>
      </w:r>
      <w:r>
        <w:rPr>
          <w:b/>
        </w:rPr>
        <w:t>patients</w:t>
      </w:r>
      <w:r>
        <w:t xml:space="preserve"> auxquels on implante un dispositif doivent obtenir des </w:t>
      </w:r>
      <w:r>
        <w:rPr>
          <w:b/>
        </w:rPr>
        <w:t>informations de base</w:t>
      </w:r>
      <w:r>
        <w:t xml:space="preserve"> sur le produit implanté, y compris tous les avertissements utiles ou toutes les précautions à prendre, par exemple des indications quant à sa compatibilité avec certains dispositifs de diagnostic ou avec des scanners</w:t>
      </w:r>
    </w:p>
    <w:p w:rsidR="001A454F" w:rsidRPr="00883605" w:rsidRDefault="001A454F" w:rsidP="001A454F">
      <w:pPr>
        <w:pStyle w:val="Tiret0"/>
      </w:pPr>
      <w:r>
        <w:t xml:space="preserve">un portail de l'UE, sur lequel les </w:t>
      </w:r>
      <w:r>
        <w:rPr>
          <w:b/>
        </w:rPr>
        <w:t>fabricants doivent signaler les incidents graves</w:t>
      </w:r>
      <w:r>
        <w:t xml:space="preserve"> et indiquer les mesures correctives qu'ils ont prises pour réduire le risque de récurrence, a été créé</w:t>
      </w:r>
    </w:p>
    <w:p w:rsidR="001A454F" w:rsidRPr="00883605" w:rsidRDefault="001A454F" w:rsidP="001A454F">
      <w:pPr>
        <w:pStyle w:val="Tiret0"/>
      </w:pPr>
      <w:r>
        <w:t xml:space="preserve">les organismes notifiés ont à présent le droit et l'obligation de mener des </w:t>
      </w:r>
      <w:r>
        <w:rPr>
          <w:b/>
        </w:rPr>
        <w:t>inspections de site inopinées</w:t>
      </w:r>
      <w:r>
        <w:t xml:space="preserve"> et de soumettre les dispositifs médicaux et les dispositifs médicaux de diagnostic in vitro à des essais physiques ou en laboratoire.</w:t>
      </w:r>
    </w:p>
    <w:p w:rsidR="001A454F" w:rsidRPr="00883605" w:rsidRDefault="001A454F" w:rsidP="001A454F">
      <w:pPr>
        <w:pStyle w:val="ItemDebated"/>
      </w:pPr>
      <w:r>
        <w:br w:type="page"/>
      </w:r>
      <w:bookmarkStart w:id="8" w:name="_Toc411256139"/>
      <w:r>
        <w:lastRenderedPageBreak/>
        <w:t>Stratégie Europe 2020 Examen à mi-parcours</w:t>
      </w:r>
      <w:bookmarkEnd w:id="8"/>
    </w:p>
    <w:p w:rsidR="001A454F" w:rsidRPr="00883605" w:rsidRDefault="001A454F" w:rsidP="00FE42AD">
      <w:r>
        <w:t>Le Conseil a procédé à un échange de vues sur la manière dont les investissements dans les systèmes de santé peuvent contribuer à la réalisation des objectifs d'Europe 2020, la stratégie de</w:t>
      </w:r>
      <w:r w:rsidR="00351BA6">
        <w:t> </w:t>
      </w:r>
      <w:r>
        <w:t>l'UE pour la croissance. Il s'est appuyé sur une note de la présidence qui figure dans le</w:t>
      </w:r>
      <w:r w:rsidR="00351BA6">
        <w:t> </w:t>
      </w:r>
      <w:r>
        <w:t>document</w:t>
      </w:r>
      <w:r w:rsidR="00FE42AD">
        <w:t> </w:t>
      </w:r>
      <w:hyperlink r:id="rId32" w:tooltip="http://register.consilium.europa.eu/pdf/fr/14/st15/st15480.fr14.pdf">
        <w:r w:rsidRPr="00FE42AD">
          <w:rPr>
            <w:rStyle w:val="Hyperlink"/>
            <w:i/>
          </w:rPr>
          <w:t>15480/14.</w:t>
        </w:r>
      </w:hyperlink>
    </w:p>
    <w:p w:rsidR="001A454F" w:rsidRPr="00883605" w:rsidRDefault="001A454F" w:rsidP="00351BA6">
      <w:r>
        <w:t>Les États membres ont reconnu que la santé était non seulement un facteur important du bien-être social, mais qu'elle contribuait également dans une large mesure à la croissance économique et à</w:t>
      </w:r>
      <w:r w:rsidR="00351BA6">
        <w:t> </w:t>
      </w:r>
      <w:r>
        <w:t>l'emploi. Un certain nombre de délégations ont demandé qu'une réflexion plus approfondie soit menée sur le rôle que joue le bon état de santé de la population dans la réalisation des objectifs de la</w:t>
      </w:r>
      <w:r w:rsidR="00351BA6">
        <w:t> </w:t>
      </w:r>
      <w:r>
        <w:t>stratégie Europe 2020 et de certains de ses grands objectifs (tels que l'emploi, la recherche et l'éducation). L'ajout de grands objectifs spécifiques en matière de santé</w:t>
      </w:r>
      <w:r w:rsidR="003B68D0">
        <w:t xml:space="preserve"> n'a pas été jugé souhaitable. </w:t>
      </w:r>
      <w:r>
        <w:t>Étant donné que la fourniture et l'organisation des soins de santé relèvent de la compétence des</w:t>
      </w:r>
      <w:r w:rsidR="00351BA6">
        <w:t> </w:t>
      </w:r>
      <w:r>
        <w:t>États membres, la meilleure voie à suivre consiste à échanger des informations et de bonnes pratiques dans le but d'améliorer la viabilité et l'efficacité des systèmes de santé des États membres. La coopération entre le groupe "Santé Publique" du Conseil au niveau des hauts fonctionnaires et le</w:t>
      </w:r>
      <w:r w:rsidR="00351BA6">
        <w:t> </w:t>
      </w:r>
      <w:r>
        <w:t>comité de la protection sociale pour évaluer les nouvelles recommandations par pays en matière de santé dans le cadre du semestre européen doit se poursuivre et être renforcée.</w:t>
      </w:r>
    </w:p>
    <w:p w:rsidR="001A454F" w:rsidRPr="00883605" w:rsidRDefault="001A454F" w:rsidP="00351BA6">
      <w:r>
        <w:t>L'examen de la stratégie Europe 2020 est abordé au sein de toutes les formations concernées du Conseil, chacune d'entre elles s'intéressant aux aspects relevant de sa compétence. La présidence a l'intention de résumer les résultats des discussions tenues au sein des différentes formations du</w:t>
      </w:r>
      <w:r w:rsidR="00351BA6">
        <w:t> </w:t>
      </w:r>
      <w:r>
        <w:t>Conseil dans un rapport de synthèse qui devra être approuvé par le Conseil des affaires générales du 16 décembre et transmis au Conseil européen des 18 et 19 décembre. La Commission s'appuiera sur ce rapport de synthèse pour élaborer des propositions qu'elle doit présenter en temps utile pour permettre au Conseil européen de mars 2015 d'en débattre. L'examen de la stratégie devra être approuvé par le Conseil européen en 2015.</w:t>
      </w:r>
    </w:p>
    <w:p w:rsidR="001A454F" w:rsidRPr="00883605" w:rsidRDefault="001A454F" w:rsidP="001A454F">
      <w:pPr>
        <w:pStyle w:val="ItemDebated"/>
      </w:pPr>
      <w:r>
        <w:br w:type="page"/>
      </w:r>
      <w:bookmarkStart w:id="9" w:name="_Toc411256140"/>
      <w:r>
        <w:lastRenderedPageBreak/>
        <w:t>La vaccination</w:t>
      </w:r>
      <w:bookmarkEnd w:id="9"/>
    </w:p>
    <w:p w:rsidR="001A454F" w:rsidRPr="00883605" w:rsidRDefault="001A454F" w:rsidP="00351BA6">
      <w:r>
        <w:t>Le Conseil a adopté des conclusions sur la vaccination, un outil de santé publique performant, qui</w:t>
      </w:r>
      <w:r w:rsidR="00351BA6">
        <w:t> </w:t>
      </w:r>
      <w:r>
        <w:t xml:space="preserve">figurent dans le document </w:t>
      </w:r>
      <w:hyperlink r:id="rId33" w:tooltip="http://register.consilium.europa.eu/pdf/fr/14/st15/st15090.fr14.pdf">
        <w:r w:rsidRPr="00FE42AD">
          <w:rPr>
            <w:rStyle w:val="Hyperlink"/>
            <w:i/>
          </w:rPr>
          <w:t>15090/14</w:t>
        </w:r>
      </w:hyperlink>
      <w:r>
        <w:t>.</w:t>
      </w:r>
    </w:p>
    <w:p w:rsidR="001A454F" w:rsidRPr="00883605" w:rsidRDefault="001A454F" w:rsidP="001A454F">
      <w:pPr>
        <w:pStyle w:val="ItemDebated"/>
      </w:pPr>
      <w:bookmarkStart w:id="10" w:name="_Toc411256141"/>
      <w:r>
        <w:t>La sécurité des patients</w:t>
      </w:r>
      <w:bookmarkEnd w:id="10"/>
    </w:p>
    <w:p w:rsidR="001A454F" w:rsidRPr="00883605" w:rsidRDefault="001A454F" w:rsidP="00351BA6">
      <w:r>
        <w:t>Le Conseil a adopté des conclusions sur la sécurité des patients et la qualité des soins, y compris la</w:t>
      </w:r>
      <w:r w:rsidR="00351BA6">
        <w:t> </w:t>
      </w:r>
      <w:r>
        <w:t>prévention des infections associées aux soins et la lutte contre celles-ci ainsi que la résistance aux</w:t>
      </w:r>
      <w:r w:rsidR="00351BA6">
        <w:t> </w:t>
      </w:r>
      <w:r>
        <w:t xml:space="preserve">antimicrobiens, qui figurent dans le document </w:t>
      </w:r>
      <w:hyperlink r:id="rId34" w:tooltip="http://register.consilium.europa.eu/pdf/fr/14/st15/st15441.fr14.pdf">
        <w:r w:rsidRPr="00FE42AD">
          <w:rPr>
            <w:rStyle w:val="Hyperlink"/>
            <w:i/>
          </w:rPr>
          <w:t>15441/14</w:t>
        </w:r>
      </w:hyperlink>
      <w:r>
        <w:t>.</w:t>
      </w:r>
    </w:p>
    <w:p w:rsidR="001A454F" w:rsidRPr="00883605" w:rsidRDefault="001A454F" w:rsidP="001A454F">
      <w:pPr>
        <w:pStyle w:val="ItemDebated"/>
      </w:pPr>
      <w:bookmarkStart w:id="11" w:name="_Toc411256142"/>
      <w:r>
        <w:t>L'innovation dans l'intérêt des patients</w:t>
      </w:r>
      <w:bookmarkEnd w:id="11"/>
    </w:p>
    <w:p w:rsidR="001A454F" w:rsidRPr="00883605" w:rsidRDefault="001A454F" w:rsidP="00351BA6">
      <w:pPr>
        <w:rPr>
          <w:i/>
          <w:iCs/>
        </w:rPr>
      </w:pPr>
      <w:r>
        <w:t>Le Conseil a adopté des conclusions sur l'innovation dans l'intérêt des patients, qui figurent dans</w:t>
      </w:r>
      <w:r w:rsidR="00351BA6">
        <w:t> </w:t>
      </w:r>
      <w:r>
        <w:t>le</w:t>
      </w:r>
      <w:r w:rsidR="00351BA6">
        <w:t> </w:t>
      </w:r>
      <w:r>
        <w:t xml:space="preserve">document </w:t>
      </w:r>
      <w:hyperlink r:id="rId35" w:tooltip="http://register.consilium.europa.eu/pdf/fr/14/st15/st15838.fr14.pdf">
        <w:r w:rsidRPr="00FE42AD">
          <w:rPr>
            <w:rStyle w:val="Hyperlink"/>
            <w:i/>
          </w:rPr>
          <w:t>15838/14</w:t>
        </w:r>
      </w:hyperlink>
      <w:r>
        <w:t>.</w:t>
      </w:r>
    </w:p>
    <w:p w:rsidR="001A454F" w:rsidRPr="00883605" w:rsidRDefault="001A454F" w:rsidP="00351BA6">
      <w:r>
        <w:t>Ces conclusions du Conseil font suite au débat qui s'est tenu lors de la réunion informelle des</w:t>
      </w:r>
      <w:r w:rsidR="00351BA6">
        <w:t> </w:t>
      </w:r>
      <w:r>
        <w:t>ministres de la santé, les 22 et 23 septembre à Milan, débat au cours duquel les ministres sont</w:t>
      </w:r>
      <w:r w:rsidR="00351BA6">
        <w:t> </w:t>
      </w:r>
      <w:r>
        <w:t>convenus que les patients devraient bénéficier de nouvelles thérapies à des prix abordables et</w:t>
      </w:r>
      <w:r w:rsidR="00351BA6">
        <w:t> </w:t>
      </w:r>
      <w:r>
        <w:t>que l'innovation dans le secteur pharmaceutique devrait être soutenue.</w:t>
      </w:r>
    </w:p>
    <w:p w:rsidR="001A454F" w:rsidRPr="00883605" w:rsidRDefault="001A454F" w:rsidP="001A454F">
      <w:pPr>
        <w:pStyle w:val="ItemDebated"/>
      </w:pPr>
      <w:r>
        <w:br w:type="page"/>
      </w:r>
      <w:bookmarkStart w:id="12" w:name="_Toc411256143"/>
      <w:r>
        <w:lastRenderedPageBreak/>
        <w:t>Divers</w:t>
      </w:r>
      <w:bookmarkEnd w:id="12"/>
    </w:p>
    <w:p w:rsidR="001A454F" w:rsidRPr="00883605" w:rsidRDefault="001A454F" w:rsidP="001A454F">
      <w:pPr>
        <w:pStyle w:val="Sub-sub-itemDebated"/>
      </w:pPr>
      <w:bookmarkStart w:id="13" w:name="_Toc411256144"/>
      <w:proofErr w:type="spellStart"/>
      <w:r>
        <w:t>Ebola</w:t>
      </w:r>
      <w:bookmarkEnd w:id="13"/>
      <w:proofErr w:type="spellEnd"/>
    </w:p>
    <w:p w:rsidR="001A454F" w:rsidRPr="00883605" w:rsidRDefault="001A454F" w:rsidP="00351BA6">
      <w:r>
        <w:t xml:space="preserve">Le commissaire chargé de la santé et de la sécurité alimentaire, </w:t>
      </w:r>
      <w:proofErr w:type="spellStart"/>
      <w:r>
        <w:t>M.Vytenis</w:t>
      </w:r>
      <w:proofErr w:type="spellEnd"/>
      <w:r>
        <w:t xml:space="preserve"> </w:t>
      </w:r>
      <w:proofErr w:type="spellStart"/>
      <w:r>
        <w:t>Andriukaitis</w:t>
      </w:r>
      <w:proofErr w:type="spellEnd"/>
      <w:r>
        <w:t xml:space="preserve">, a informé le Conseil de la situation concernant </w:t>
      </w:r>
      <w:proofErr w:type="spellStart"/>
      <w:r>
        <w:t>Ebola</w:t>
      </w:r>
      <w:proofErr w:type="spellEnd"/>
      <w:r>
        <w:t xml:space="preserve"> (doc. </w:t>
      </w:r>
      <w:hyperlink r:id="rId36" w:tooltip="http://register.consilium.europa.eu/pdf/en/14/st15/st15979.en14.pdf">
        <w:r w:rsidRPr="00FE42AD">
          <w:rPr>
            <w:rStyle w:val="Hyperlink"/>
            <w:i/>
          </w:rPr>
          <w:t>15979/14</w:t>
        </w:r>
      </w:hyperlink>
      <w:r>
        <w:t>). Il a souligné qu'il était urgent d'envoyer davantage de personnel sur le terrain et a rendu compte d'un nombre de mesures importantes prises au cours des dernières semaines. Ces mesures comprennent notamment 1) une mission conjointe de</w:t>
      </w:r>
      <w:r w:rsidR="00351BA6">
        <w:t> </w:t>
      </w:r>
      <w:r>
        <w:t>la Commission et du Centre européen de prévention et de contrôle des maladies (ECDC) dans les</w:t>
      </w:r>
      <w:r w:rsidR="00351BA6">
        <w:t> </w:t>
      </w:r>
      <w:r>
        <w:t>pays touchés par la maladie, qui a constaté qu'un dépistage à la sortie était effectué conformément aux règles et que le risque qu'une personne infectée voyage en dehors des pays concernés était par conséquent très bas; 2) le lancement d'un réseau européen de cliniciens le</w:t>
      </w:r>
      <w:r w:rsidR="00351BA6">
        <w:t> </w:t>
      </w:r>
      <w:r>
        <w:t>11</w:t>
      </w:r>
      <w:r w:rsidR="00351BA6">
        <w:t> </w:t>
      </w:r>
      <w:r>
        <w:t>novembre, destiné à échanger de bonnes pratiques sur le traitement des patients atteints du</w:t>
      </w:r>
      <w:r w:rsidR="00351BA6">
        <w:t> </w:t>
      </w:r>
      <w:r>
        <w:t xml:space="preserve">virus </w:t>
      </w:r>
      <w:proofErr w:type="spellStart"/>
      <w:r>
        <w:t>Ebola</w:t>
      </w:r>
      <w:proofErr w:type="spellEnd"/>
      <w:r>
        <w:t xml:space="preserve">; une indication du fait que le mécanisme de coordination de l'UE pour l'évacuation des patients atteints du virus </w:t>
      </w:r>
      <w:proofErr w:type="spellStart"/>
      <w:r>
        <w:t>Ebola</w:t>
      </w:r>
      <w:proofErr w:type="spellEnd"/>
      <w:r>
        <w:t>, est désormais pleinement opérationnel; 4) une enquête menée par l'ECDC montrant que le niveau de préparation était suffisamment élevé pour la gestion des</w:t>
      </w:r>
      <w:r w:rsidR="00351BA6">
        <w:t> </w:t>
      </w:r>
      <w:r>
        <w:t xml:space="preserve">patients atteints de fièvres hémorragiques virales, y compris ceux souffrant du virus </w:t>
      </w:r>
      <w:proofErr w:type="spellStart"/>
      <w:r>
        <w:t>Ebola</w:t>
      </w:r>
      <w:proofErr w:type="spellEnd"/>
      <w:r>
        <w:t xml:space="preserve"> dans</w:t>
      </w:r>
      <w:r w:rsidR="00351BA6">
        <w:t> </w:t>
      </w:r>
      <w:r>
        <w:t>les États membres de l'UE.</w:t>
      </w:r>
    </w:p>
    <w:p w:rsidR="001A454F" w:rsidRPr="00883605" w:rsidRDefault="001A454F" w:rsidP="001A454F">
      <w:pPr>
        <w:pStyle w:val="Sub-sub-itemDebated"/>
      </w:pPr>
      <w:bookmarkStart w:id="14" w:name="_Toc411256145"/>
      <w:r>
        <w:t>Trafic d'organes humains</w:t>
      </w:r>
      <w:bookmarkEnd w:id="14"/>
    </w:p>
    <w:p w:rsidR="001A454F" w:rsidRPr="00883605" w:rsidRDefault="001A454F" w:rsidP="001A454F">
      <w:r>
        <w:t xml:space="preserve">La délégation espagnole a invité les États membres et l'UE à signer la convention contre le trafic d'organes humains (doc. </w:t>
      </w:r>
      <w:hyperlink r:id="rId37">
        <w:r w:rsidRPr="00FE42AD">
          <w:rPr>
            <w:rStyle w:val="Hyperlink"/>
            <w:i/>
          </w:rPr>
          <w:t>15513/14</w:t>
        </w:r>
      </w:hyperlink>
      <w:r>
        <w:t>).</w:t>
      </w:r>
    </w:p>
    <w:p w:rsidR="001A454F" w:rsidRPr="00883605" w:rsidRDefault="001A454F" w:rsidP="001A454F">
      <w:pPr>
        <w:pStyle w:val="Sub-sub-itemDebated"/>
      </w:pPr>
      <w:bookmarkStart w:id="15" w:name="_Toc411256146"/>
      <w:r>
        <w:t>Critères pour l'admission des homosexuels aux dons de sang</w:t>
      </w:r>
      <w:bookmarkEnd w:id="15"/>
    </w:p>
    <w:p w:rsidR="001A454F" w:rsidRPr="00883605" w:rsidRDefault="001A454F" w:rsidP="00351BA6">
      <w:r>
        <w:t>La délégation du Luxembourg, soutenue par la délégation néerlandaise, engagera les États membres à faire en sorte que l'exclusion du don de sang soit liée à un comportement à haut risque et non à</w:t>
      </w:r>
      <w:r w:rsidR="00351BA6">
        <w:t> </w:t>
      </w:r>
      <w:r>
        <w:t>l'orientation sexuelle (doc. </w:t>
      </w:r>
      <w:hyperlink r:id="rId38">
        <w:r w:rsidRPr="00FE42AD">
          <w:rPr>
            <w:rStyle w:val="Hyperlink"/>
            <w:i/>
          </w:rPr>
          <w:t>15553/14</w:t>
        </w:r>
      </w:hyperlink>
      <w:r>
        <w:t>).</w:t>
      </w:r>
    </w:p>
    <w:p w:rsidR="001A454F" w:rsidRPr="00883605" w:rsidRDefault="001A454F" w:rsidP="001A454F">
      <w:pPr>
        <w:pStyle w:val="Sub-sub-itemDebated"/>
      </w:pPr>
      <w:bookmarkStart w:id="16" w:name="_Toc411256147"/>
      <w:r>
        <w:t>Conférences</w:t>
      </w:r>
      <w:bookmarkEnd w:id="16"/>
    </w:p>
    <w:p w:rsidR="001A454F" w:rsidRPr="00883605" w:rsidRDefault="001A454F" w:rsidP="001A454F">
      <w:r>
        <w:t>La présidence a informé le Conseil des résultats des conférences qui ont eu lieu au cours de son mandat (</w:t>
      </w:r>
      <w:r>
        <w:rPr>
          <w:i/>
        </w:rPr>
        <w:t>16107/14</w:t>
      </w:r>
      <w:r>
        <w:t>).</w:t>
      </w:r>
    </w:p>
    <w:p w:rsidR="001A454F" w:rsidRPr="00883605" w:rsidRDefault="001A454F" w:rsidP="001A454F">
      <w:pPr>
        <w:pStyle w:val="Sub-sub-itemDebated"/>
      </w:pPr>
      <w:bookmarkStart w:id="17" w:name="_Toc411256148"/>
      <w:r>
        <w:t>Programme de travail de la prochaine présidence</w:t>
      </w:r>
      <w:bookmarkEnd w:id="17"/>
    </w:p>
    <w:p w:rsidR="001A454F" w:rsidRPr="00883605" w:rsidRDefault="001A454F" w:rsidP="00351BA6">
      <w:r>
        <w:t>La Lettonie étant le prochain État membre à exercer la présidence du Conseil de l'UE, la délégation lettone a informé les ministres de son programme de travail en ce qui concerne la santé et les</w:t>
      </w:r>
      <w:r w:rsidR="00351BA6">
        <w:t> </w:t>
      </w:r>
      <w:r>
        <w:t>consommateurs.</w:t>
      </w:r>
    </w:p>
    <w:p w:rsidR="001A454F" w:rsidRPr="005E0826" w:rsidRDefault="001A454F" w:rsidP="001A454F">
      <w:pPr>
        <w:pStyle w:val="ItemDebated"/>
      </w:pPr>
      <w:r>
        <w:br w:type="page"/>
      </w:r>
      <w:bookmarkStart w:id="18" w:name="_Toc411256149"/>
      <w:r>
        <w:lastRenderedPageBreak/>
        <w:t>En marge du Conseil</w:t>
      </w:r>
      <w:bookmarkEnd w:id="18"/>
    </w:p>
    <w:p w:rsidR="001A454F" w:rsidRPr="005E0826" w:rsidRDefault="001A454F" w:rsidP="001A454F">
      <w:pPr>
        <w:pStyle w:val="Sub-sub-itemDebated"/>
      </w:pPr>
      <w:bookmarkStart w:id="19" w:name="_Toc411256150"/>
      <w:r>
        <w:t>Cérémonie de signature de l'accord sur une procédure de passation conjointe de marché</w:t>
      </w:r>
      <w:bookmarkEnd w:id="19"/>
    </w:p>
    <w:p w:rsidR="001A454F" w:rsidRPr="005E0826" w:rsidRDefault="001A454F" w:rsidP="00351BA6">
      <w:pPr>
        <w:outlineLvl w:val="0"/>
      </w:pPr>
      <w:r>
        <w:t>Le Danemark et la Lituanie ont signé l'accord sur une procédure de passation conjointe de marché pour des vaccins pandémiques et autres contre-mesures médicales, portant ainsi à 20 le nombre de</w:t>
      </w:r>
      <w:r w:rsidR="00351BA6">
        <w:t> </w:t>
      </w:r>
      <w:r>
        <w:t>signataires. L'objectif de l'accord est d'aider les États membres à faire en sorte que des vaccins pandémiques et des médicaments soient disponibles en quantités suffisantes et à un prix avantageux en cas d'apparition d'une menace sanitaire transfrontière.</w:t>
      </w:r>
    </w:p>
    <w:p w:rsidR="001A454F" w:rsidRPr="005E0826" w:rsidRDefault="001A454F" w:rsidP="00351BA6">
      <w:r>
        <w:t>Les États signataires sont le Danemark, la Lituanie, la Hongrie, l'Italie, la Roumanie, le</w:t>
      </w:r>
      <w:r w:rsidR="00351BA6">
        <w:t> </w:t>
      </w:r>
      <w:r>
        <w:t>Luxembourg, la Belgique, la Croatie, la République tchèque, Chypre, l'Estonie, la Grèce, la</w:t>
      </w:r>
      <w:r w:rsidR="00351BA6">
        <w:t> </w:t>
      </w:r>
      <w:r>
        <w:t>Lettonie, Malte, les Pays-Bas, le Portugal, la Slovaquie, la Slovénie, l'Espagne et le</w:t>
      </w:r>
      <w:r w:rsidR="00351BA6">
        <w:t> </w:t>
      </w:r>
      <w:r>
        <w:t>Royaume</w:t>
      </w:r>
      <w:r w:rsidR="00351BA6">
        <w:noBreakHyphen/>
      </w:r>
      <w:r>
        <w:t>Uni.</w:t>
      </w:r>
    </w:p>
    <w:p w:rsidR="001A454F" w:rsidRPr="005E0826" w:rsidRDefault="001A454F" w:rsidP="00351BA6">
      <w:r>
        <w:t>À la suite de la pénurie de vaccins pandémiques en 2009 liée au virus H1N1 de la grippe porcine, le Conseil et le Parlement européen sont convenus d'une base juridique pour une procédure conjointe de passation de marché en vue de l'achat de contre-mesures médicales; cette base juridique est établie par la décision n° 1082/2013/UE relative aux menaces transfrontières graves sur la santé. L'accord sur une procédure de passation conjointe de marché est entré en vigueur le</w:t>
      </w:r>
      <w:r w:rsidR="00351BA6">
        <w:t> </w:t>
      </w:r>
      <w:r>
        <w:t>5</w:t>
      </w:r>
      <w:r w:rsidR="00351BA6">
        <w:t> </w:t>
      </w:r>
      <w:r>
        <w:t xml:space="preserve">juillet 2014. </w:t>
      </w:r>
    </w:p>
    <w:p w:rsidR="001A454F" w:rsidRPr="005E0826" w:rsidRDefault="001A454F" w:rsidP="001A454F">
      <w:pPr>
        <w:pStyle w:val="Sub-sub-itemDebated"/>
      </w:pPr>
      <w:bookmarkStart w:id="20" w:name="_Toc411256151"/>
      <w:r>
        <w:t>Journée mondiale de la lutte contre le sida</w:t>
      </w:r>
      <w:bookmarkEnd w:id="20"/>
    </w:p>
    <w:p w:rsidR="001A454F" w:rsidRPr="005E0826" w:rsidRDefault="001A454F" w:rsidP="00351BA6">
      <w:r>
        <w:t>À l'occasion de la Journée mondiale de la lutte contre le sida du 1</w:t>
      </w:r>
      <w:r>
        <w:rPr>
          <w:vertAlign w:val="superscript"/>
        </w:rPr>
        <w:t>er</w:t>
      </w:r>
      <w:r>
        <w:t xml:space="preserve"> décembre, la présidence a</w:t>
      </w:r>
      <w:r w:rsidR="00351BA6">
        <w:t> </w:t>
      </w:r>
      <w:r>
        <w:t>souligné l'importance de cette journée et de la nécessité de poursuivre le combat contre cette</w:t>
      </w:r>
      <w:r w:rsidR="00351BA6">
        <w:t> </w:t>
      </w:r>
      <w:r>
        <w:t>maladie.</w:t>
      </w:r>
    </w:p>
    <w:p w:rsidR="001A454F" w:rsidRPr="005E0826" w:rsidRDefault="001A454F" w:rsidP="001A454F">
      <w:pPr>
        <w:sectPr w:rsidR="001A454F" w:rsidRPr="005E0826" w:rsidSect="00211E45">
          <w:headerReference w:type="even" r:id="rId39"/>
          <w:footerReference w:type="even" r:id="rId40"/>
          <w:headerReference w:type="first" r:id="rId41"/>
          <w:footerReference w:type="first" r:id="rId42"/>
          <w:footnotePr>
            <w:numRestart w:val="eachPage"/>
          </w:footnotePr>
          <w:pgSz w:w="11907" w:h="16840" w:code="9"/>
          <w:pgMar w:top="1134" w:right="1134" w:bottom="1134" w:left="1134" w:header="567" w:footer="567" w:gutter="0"/>
          <w:cols w:space="708"/>
          <w:docGrid w:linePitch="360"/>
        </w:sectPr>
      </w:pPr>
    </w:p>
    <w:p w:rsidR="001A454F" w:rsidRPr="005E0826" w:rsidRDefault="001A454F" w:rsidP="001A454F">
      <w:pPr>
        <w:pStyle w:val="ItemsApprovedHeading"/>
      </w:pPr>
      <w:bookmarkStart w:id="21" w:name="TBDW_35f7f80ee16145379a9d6d651172d554"/>
      <w:r>
        <w:lastRenderedPageBreak/>
        <w:t>AUTRES POINTS APPROUVÉS</w:t>
      </w:r>
      <w:bookmarkEnd w:id="21"/>
    </w:p>
    <w:p w:rsidR="001A454F" w:rsidRPr="005E0826" w:rsidRDefault="001A454F" w:rsidP="001A454F">
      <w:pPr>
        <w:pStyle w:val="ItemApproved"/>
      </w:pPr>
      <w:r>
        <w:t>ENVIRONNEMENT</w:t>
      </w:r>
    </w:p>
    <w:p w:rsidR="001A454F" w:rsidRPr="005E0826" w:rsidRDefault="001A454F" w:rsidP="001A454F">
      <w:pPr>
        <w:pStyle w:val="Sub-itemApproved"/>
      </w:pPr>
      <w:bookmarkStart w:id="22" w:name="_Toc411256153"/>
      <w:r>
        <w:t>Convention sur les effets transfrontières des accidents industriels</w:t>
      </w:r>
      <w:bookmarkEnd w:id="22"/>
    </w:p>
    <w:p w:rsidR="001A454F" w:rsidRPr="005E0826" w:rsidRDefault="001A454F" w:rsidP="00351BA6">
      <w:r>
        <w:t>Le Conseil a adopté une décision du Conseil définissant la position à adopter, au nom de l'UE, lors</w:t>
      </w:r>
      <w:r w:rsidR="00351BA6">
        <w:t> </w:t>
      </w:r>
      <w:r>
        <w:t>de la huitième Conférence des Parties à la convention d'Helsinki sur les effets transfrontières des accidents industriels, en ce qui concerne la proposition d'amendement à l'annexe I (doc.</w:t>
      </w:r>
      <w:r w:rsidR="00351BA6">
        <w:t> </w:t>
      </w:r>
      <w:hyperlink r:id="rId43" w:tooltip="http://register.consilium.europa.eu/pdf/fr/14/st15/st15610.fr14.pdf">
        <w:r w:rsidRPr="00FE42AD">
          <w:rPr>
            <w:rStyle w:val="Hyperlink"/>
            <w:i/>
          </w:rPr>
          <w:t>15610/14</w:t>
        </w:r>
      </w:hyperlink>
      <w:r>
        <w:t>)</w:t>
      </w:r>
    </w:p>
    <w:p w:rsidR="001A454F" w:rsidRPr="005E0826" w:rsidRDefault="001A454F" w:rsidP="00351BA6">
      <w:r>
        <w:t>Le Conseil a également adopté une décision du Conseil autorisant la Commission à mener des</w:t>
      </w:r>
      <w:r w:rsidR="00351BA6">
        <w:t> </w:t>
      </w:r>
      <w:r>
        <w:t xml:space="preserve">négociations sur la modification de la convention sur les effets transfrontières des accidents industriels (doc. </w:t>
      </w:r>
      <w:hyperlink r:id="rId44" w:tooltip="http://register.consilium.europa.eu/pdf/fr/14/st15/st15663.fr14.pdf">
        <w:r w:rsidRPr="00FE42AD">
          <w:rPr>
            <w:rStyle w:val="Hyperlink"/>
            <w:i/>
          </w:rPr>
          <w:t>15663/14</w:t>
        </w:r>
      </w:hyperlink>
      <w:r>
        <w:t>)</w:t>
      </w:r>
    </w:p>
    <w:p w:rsidR="001A454F" w:rsidRPr="005E0826" w:rsidRDefault="001A454F" w:rsidP="00351BA6">
      <w:r>
        <w:t>La huitième réunion de la conférence des parties à la convention se tien</w:t>
      </w:r>
      <w:r w:rsidR="003B68D0">
        <w:t>dra à Genève du 3</w:t>
      </w:r>
      <w:r w:rsidR="00351BA6">
        <w:t> </w:t>
      </w:r>
      <w:r w:rsidR="003B68D0">
        <w:t>au 5 décembre</w:t>
      </w:r>
      <w:r>
        <w:t xml:space="preserve"> 2014. Pour en savoir plus, voir le </w:t>
      </w:r>
      <w:hyperlink r:id="rId45" w:anchor="/">
        <w:r w:rsidRPr="00FE42AD">
          <w:rPr>
            <w:rStyle w:val="Hyperlink"/>
          </w:rPr>
          <w:t>site web</w:t>
        </w:r>
      </w:hyperlink>
      <w:r>
        <w:t xml:space="preserve"> de la Commission.</w:t>
      </w:r>
    </w:p>
    <w:p w:rsidR="001A454F" w:rsidRPr="005E0826" w:rsidRDefault="001A454F" w:rsidP="001A454F">
      <w:pPr>
        <w:pStyle w:val="ItemApproved"/>
      </w:pPr>
      <w:r>
        <w:t>AFFAIRES ÉTRANGÈRES</w:t>
      </w:r>
    </w:p>
    <w:p w:rsidR="001A454F" w:rsidRPr="005E0826" w:rsidRDefault="001A454F" w:rsidP="001A454F">
      <w:pPr>
        <w:pStyle w:val="Sub-itemApproved"/>
      </w:pPr>
      <w:bookmarkStart w:id="23" w:name="_Toc411256155"/>
      <w:r>
        <w:t>Mesures restrictives - République centrafricaine</w:t>
      </w:r>
      <w:bookmarkEnd w:id="23"/>
    </w:p>
    <w:p w:rsidR="001A454F" w:rsidRPr="005E0826" w:rsidRDefault="001A454F" w:rsidP="00351BA6">
      <w:r>
        <w:t>Le Conseil a modifié les mesures restrictives de l'UE à l'encontre de la République centrafricaine, afin de tenir compte des décisions prises par l Nations unies. Le Conseil a mis à jour les</w:t>
      </w:r>
      <w:r w:rsidR="00351BA6">
        <w:t> </w:t>
      </w:r>
      <w:r>
        <w:t>informations concernant trois personnes figurant sur la liste des personnes visées par ces</w:t>
      </w:r>
      <w:r w:rsidR="00351BA6">
        <w:t> </w:t>
      </w:r>
      <w:r>
        <w:t>mesures.</w:t>
      </w:r>
    </w:p>
    <w:p w:rsidR="001A454F" w:rsidRPr="005E0826" w:rsidRDefault="001A454F" w:rsidP="001A454F">
      <w:pPr>
        <w:pStyle w:val="Sub-itemApproved"/>
      </w:pPr>
      <w:bookmarkStart w:id="24" w:name="_Toc411256156"/>
      <w:r>
        <w:t>Mesures restrictives - République démocratique du Congo</w:t>
      </w:r>
      <w:bookmarkEnd w:id="24"/>
    </w:p>
    <w:p w:rsidR="001A454F" w:rsidRPr="005E0826" w:rsidRDefault="001A454F" w:rsidP="00351BA6">
      <w:r>
        <w:t>Le Conseil a modifié les mesures restrictives de l'UE à l'encontre de la République démocratique du Congo, afin de tenir compte des modifications décidées par les Nations unies. Il a ajouté une</w:t>
      </w:r>
      <w:r w:rsidR="00351BA6">
        <w:t> </w:t>
      </w:r>
      <w:r>
        <w:t>entité à la liste de celles qui font l'objet de sanctions, et a mis à jour les informations concernant d'autres mentions figurant sur cette liste.</w:t>
      </w:r>
    </w:p>
    <w:p w:rsidR="001A454F" w:rsidRPr="005E0826" w:rsidRDefault="001A454F" w:rsidP="001A454F">
      <w:pPr>
        <w:pStyle w:val="Sub-itemApproved"/>
      </w:pPr>
      <w:bookmarkStart w:id="25" w:name="_Toc411256157"/>
      <w:r>
        <w:t>Mesures pour combattre les armes nucléaires</w:t>
      </w:r>
      <w:bookmarkEnd w:id="25"/>
    </w:p>
    <w:p w:rsidR="001A454F" w:rsidRPr="005E0826" w:rsidRDefault="001A454F" w:rsidP="001A454F">
      <w:r>
        <w:t>Le Conseil a approuvé une modification de sa décision visant à apporter un soutien aux activités de la commission préparatoire de l'Organisation du traité d'interdiction complète des essais nucléaires. Il a prorogé de 12 mois la période de validité de la décision de financement. Cela permettra de mettre en œuvre les parties restantes des projets.</w:t>
      </w:r>
    </w:p>
    <w:p w:rsidR="001A454F" w:rsidRPr="005E0826" w:rsidRDefault="001A454F" w:rsidP="001A454F">
      <w:pPr>
        <w:pStyle w:val="ItemApproved"/>
      </w:pPr>
      <w:r>
        <w:br w:type="page"/>
      </w:r>
      <w:r>
        <w:lastRenderedPageBreak/>
        <w:t>POLITIQUE DE SÉCURITÉ ET DE DÉFENSE COMMUNE</w:t>
      </w:r>
    </w:p>
    <w:p w:rsidR="001A454F" w:rsidRPr="005E0826" w:rsidRDefault="001A454F" w:rsidP="001A454F">
      <w:pPr>
        <w:pStyle w:val="Sub-itemApproved"/>
      </w:pPr>
      <w:bookmarkStart w:id="26" w:name="_Toc411256159"/>
      <w:r>
        <w:t>Centre d'opérations de l'UE</w:t>
      </w:r>
      <w:bookmarkEnd w:id="26"/>
    </w:p>
    <w:p w:rsidR="001A454F" w:rsidRPr="005E0826" w:rsidRDefault="001A454F" w:rsidP="00FE42AD">
      <w:r>
        <w:t>Le Conseil a prorogé l'activation du centre d'opérations de l'UE jusqu'en décembre 2016. Le centre d'opérations aura un rôle élargi en ce qui concerne le rôle d'appui en matière de coordination et de</w:t>
      </w:r>
      <w:r w:rsidR="00351BA6">
        <w:t> </w:t>
      </w:r>
      <w:r>
        <w:t xml:space="preserve">planification </w:t>
      </w:r>
      <w:proofErr w:type="spellStart"/>
      <w:r>
        <w:t>civilo</w:t>
      </w:r>
      <w:proofErr w:type="spellEnd"/>
      <w:r>
        <w:t>-militaires. Outre sa contribution aux trois actions relevant de la PSDC dans</w:t>
      </w:r>
      <w:r w:rsidR="00FE42AD">
        <w:t> </w:t>
      </w:r>
      <w:r>
        <w:t>la Corne de l'Afrique, il apportera son soutien aux missions relevant de la PSDC dans la région du Sahel, à savoir la mission de formation de l'UE au Mali (EUTM Mali) ainsi que les missions EUCAP Sahel Niger et EUCAP Sahel Mali, qui apportent un soutien à la lutte contre le terrorisme et la criminalité organisée.</w:t>
      </w:r>
    </w:p>
    <w:p w:rsidR="001A454F" w:rsidRPr="005E0826" w:rsidRDefault="001A454F" w:rsidP="001A454F">
      <w:pPr>
        <w:pStyle w:val="ItemApproved"/>
      </w:pPr>
      <w:r>
        <w:t>AFFAIRES ÉCONOMIQUES ET FINANCIÈRES</w:t>
      </w:r>
    </w:p>
    <w:p w:rsidR="001A454F" w:rsidRPr="005E0826" w:rsidRDefault="001A454F" w:rsidP="001A454F">
      <w:pPr>
        <w:pStyle w:val="Sub-itemApproved"/>
      </w:pPr>
      <w:bookmarkStart w:id="27" w:name="_Toc411256161"/>
      <w:r>
        <w:t>Opérations de financement sur titres</w:t>
      </w:r>
      <w:bookmarkEnd w:id="27"/>
    </w:p>
    <w:p w:rsidR="001A454F" w:rsidRPr="005E0826" w:rsidRDefault="001A454F" w:rsidP="00351BA6">
      <w:r>
        <w:t>Le Conseil a confirmé un accord intervenu sur un projet de règlement visant à améliorer la</w:t>
      </w:r>
      <w:r w:rsidR="00351BA6">
        <w:t> </w:t>
      </w:r>
      <w:r>
        <w:t>transparence des opérations de financement sur titres et des opérations de mise en pension (doc. </w:t>
      </w:r>
      <w:hyperlink r:id="rId46" w:tooltip="http://register.consilium.europa.eu/pdf/fr/14/st15/st15897.fr14.pdf">
        <w:r w:rsidRPr="00FE42AD">
          <w:rPr>
            <w:rStyle w:val="Hyperlink"/>
            <w:i/>
          </w:rPr>
          <w:t>15897/14</w:t>
        </w:r>
      </w:hyperlink>
      <w:r>
        <w:rPr>
          <w:i/>
        </w:rPr>
        <w:t xml:space="preserve"> + </w:t>
      </w:r>
      <w:hyperlink r:id="rId47" w:tooltip="http://register.consilium.europa.eu/pdf/en/14/st15/st15424.en14.pdf">
        <w:r w:rsidRPr="00FE42AD">
          <w:rPr>
            <w:rStyle w:val="Hyperlink"/>
            <w:i/>
          </w:rPr>
          <w:t>15424/14</w:t>
        </w:r>
      </w:hyperlink>
      <w:r>
        <w:t>).</w:t>
      </w:r>
    </w:p>
    <w:p w:rsidR="001A454F" w:rsidRPr="005E0826" w:rsidRDefault="001A454F" w:rsidP="003B68D0">
      <w:r>
        <w:t>Le 20 novembre 2014, le Comité des représentants permanents a arrêté la position de négociation du Conseil sur la proposition, ce qui permet d'entamer les négociations avec le Parlement européen.</w:t>
      </w:r>
    </w:p>
    <w:p w:rsidR="001A454F" w:rsidRPr="005E0826" w:rsidRDefault="001A454F" w:rsidP="001A454F">
      <w:r>
        <w:t xml:space="preserve">Pour en savoir plus, voir le communiqué de presse </w:t>
      </w:r>
      <w:hyperlink r:id="rId48" w:tooltip="http://register.consilium.europa.eu/pdf/fr/14/st15/st15679.fr14.pdf">
        <w:r w:rsidRPr="00FE42AD">
          <w:rPr>
            <w:rStyle w:val="Hyperlink"/>
            <w:i/>
          </w:rPr>
          <w:t>15679/14</w:t>
        </w:r>
      </w:hyperlink>
      <w:r>
        <w:t>.</w:t>
      </w:r>
    </w:p>
    <w:p w:rsidR="001A454F" w:rsidRPr="005E0826" w:rsidRDefault="001A454F" w:rsidP="001A454F">
      <w:pPr>
        <w:pStyle w:val="Sub-itemApproved"/>
      </w:pPr>
      <w:bookmarkStart w:id="28" w:name="_Toc411256162"/>
      <w:r>
        <w:t>Vente à découvert - Dette souveraine</w:t>
      </w:r>
      <w:bookmarkEnd w:id="28"/>
      <w:r>
        <w:t xml:space="preserve"> </w:t>
      </w:r>
    </w:p>
    <w:p w:rsidR="001A454F" w:rsidRPr="005E0826" w:rsidRDefault="001A454F" w:rsidP="00351BA6">
      <w:r>
        <w:t xml:space="preserve"> Le Conseil a décidé de ne pas s'opposer à l'adoption par la Commission d'un règlement relatif à</w:t>
      </w:r>
      <w:r w:rsidR="00351BA6">
        <w:t> </w:t>
      </w:r>
      <w:r>
        <w:t>la</w:t>
      </w:r>
      <w:r w:rsidR="00351BA6">
        <w:t> </w:t>
      </w:r>
      <w:r>
        <w:t>notification de positions courtes nettes importantes sur la dette souveraine (</w:t>
      </w:r>
      <w:hyperlink r:id="rId49" w:tooltip="http://register.consilium.europa.eu/pdf/fr/14/st14/st14484.fr14.pdf">
        <w:r w:rsidRPr="00FE42AD">
          <w:rPr>
            <w:rStyle w:val="Hyperlink"/>
            <w:i/>
          </w:rPr>
          <w:t>14484/14</w:t>
        </w:r>
      </w:hyperlink>
      <w:r>
        <w:rPr>
          <w:i/>
        </w:rPr>
        <w:t xml:space="preserve"> +</w:t>
      </w:r>
      <w:r w:rsidR="00351BA6">
        <w:rPr>
          <w:i/>
        </w:rPr>
        <w:t> </w:t>
      </w:r>
      <w:hyperlink r:id="rId50" w:tooltip="http://register.consilium.europa.eu/pdf/fr/14/st15/st15708.fr14.pdf">
        <w:r w:rsidRPr="00FE42AD">
          <w:rPr>
            <w:rStyle w:val="Hyperlink"/>
            <w:i/>
          </w:rPr>
          <w:t>15708/14</w:t>
        </w:r>
      </w:hyperlink>
      <w:r>
        <w:t>).</w:t>
      </w:r>
    </w:p>
    <w:p w:rsidR="001A454F" w:rsidRPr="005E0826" w:rsidRDefault="001A454F" w:rsidP="00351BA6">
      <w:r>
        <w:t>En tant qu'acte délégué, le règlement peut à présent être publié et entrer en vigueur, à moins que</w:t>
      </w:r>
      <w:r w:rsidR="00351BA6">
        <w:t> </w:t>
      </w:r>
      <w:r>
        <w:t>le</w:t>
      </w:r>
      <w:r w:rsidR="00351BA6">
        <w:t> </w:t>
      </w:r>
      <w:r>
        <w:t>Parlement européen ne s'y oppose.</w:t>
      </w:r>
    </w:p>
    <w:p w:rsidR="001A454F" w:rsidRPr="005E0826" w:rsidRDefault="001A454F" w:rsidP="001A454F">
      <w:pPr>
        <w:pStyle w:val="FinalLine"/>
      </w:pPr>
    </w:p>
    <w:sectPr w:rsidR="001A454F" w:rsidRPr="005E0826" w:rsidSect="00211E45">
      <w:headerReference w:type="even" r:id="rId51"/>
      <w:footerReference w:type="even" r:id="rId52"/>
      <w:headerReference w:type="first" r:id="rId53"/>
      <w:footerReference w:type="first" r:id="rId54"/>
      <w:footnotePr>
        <w:numRestart w:val="eachPage"/>
      </w:footnotePr>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6A1E" w:rsidRDefault="00456A1E">
      <w:pPr>
        <w:spacing w:before="0" w:after="0"/>
      </w:pPr>
      <w:r>
        <w:separator/>
      </w:r>
    </w:p>
  </w:endnote>
  <w:endnote w:type="continuationSeparator" w:id="0">
    <w:p w:rsidR="00456A1E" w:rsidRDefault="00456A1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E45" w:rsidRPr="00211E45" w:rsidRDefault="00211E45" w:rsidP="00211E45">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54F" w:rsidRPr="00211E45" w:rsidRDefault="001A454F" w:rsidP="00211E45">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54F" w:rsidRPr="00211E45" w:rsidRDefault="001A454F" w:rsidP="00211E45">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4A4" w:rsidRPr="00211E45" w:rsidRDefault="00FA14A4" w:rsidP="00211E45">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4A4" w:rsidRPr="00211E45" w:rsidRDefault="00FA14A4" w:rsidP="00211E4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211E45" w:rsidRPr="007410E8" w:rsidTr="00211E45">
      <w:trPr>
        <w:jc w:val="center"/>
      </w:trPr>
      <w:tc>
        <w:tcPr>
          <w:tcW w:w="2604" w:type="pct"/>
          <w:shd w:val="clear" w:color="auto" w:fill="auto"/>
        </w:tcPr>
        <w:p w:rsidR="00211E45" w:rsidRPr="007410E8" w:rsidRDefault="00211E45" w:rsidP="0035025C">
          <w:pPr>
            <w:pStyle w:val="FooterText"/>
            <w:rPr>
              <w:sz w:val="16"/>
              <w:szCs w:val="16"/>
            </w:rPr>
          </w:pPr>
          <w:bookmarkStart w:id="1" w:name="FOOTER_PR_STANDARD"/>
        </w:p>
      </w:tc>
      <w:tc>
        <w:tcPr>
          <w:tcW w:w="1319" w:type="pct"/>
          <w:shd w:val="clear" w:color="auto" w:fill="auto"/>
        </w:tcPr>
        <w:p w:rsidR="00211E45" w:rsidRPr="007410E8" w:rsidRDefault="00211E45" w:rsidP="0035025C">
          <w:pPr>
            <w:pStyle w:val="FooterText"/>
            <w:rPr>
              <w:sz w:val="16"/>
              <w:szCs w:val="16"/>
            </w:rPr>
          </w:pPr>
        </w:p>
      </w:tc>
      <w:tc>
        <w:tcPr>
          <w:tcW w:w="1077" w:type="pct"/>
          <w:shd w:val="clear" w:color="auto" w:fill="auto"/>
        </w:tcPr>
        <w:p w:rsidR="00211E45" w:rsidRPr="007410E8" w:rsidRDefault="00211E45" w:rsidP="0035025C">
          <w:pPr>
            <w:pStyle w:val="FooterText"/>
            <w:jc w:val="right"/>
            <w:rPr>
              <w:sz w:val="16"/>
              <w:szCs w:val="16"/>
            </w:rPr>
          </w:pPr>
        </w:p>
      </w:tc>
    </w:tr>
    <w:tr w:rsidR="00211E45" w:rsidRPr="007410E8" w:rsidTr="00211E45">
      <w:trPr>
        <w:jc w:val="center"/>
      </w:trPr>
      <w:tc>
        <w:tcPr>
          <w:tcW w:w="2604" w:type="pct"/>
          <w:shd w:val="clear" w:color="auto" w:fill="auto"/>
        </w:tcPr>
        <w:p w:rsidR="00211E45" w:rsidRPr="007410E8" w:rsidRDefault="00211E45" w:rsidP="0035025C">
          <w:pPr>
            <w:pStyle w:val="FooterText"/>
            <w:rPr>
              <w:sz w:val="16"/>
            </w:rPr>
          </w:pPr>
          <w:r>
            <w:t>16269/14</w:t>
          </w:r>
          <w:r w:rsidRPr="002511D8">
            <w:t xml:space="preserve"> </w:t>
          </w:r>
        </w:p>
      </w:tc>
      <w:tc>
        <w:tcPr>
          <w:tcW w:w="1319" w:type="pct"/>
          <w:shd w:val="clear" w:color="auto" w:fill="auto"/>
        </w:tcPr>
        <w:p w:rsidR="00211E45" w:rsidRPr="007410E8" w:rsidRDefault="00211E45" w:rsidP="0035025C">
          <w:pPr>
            <w:pStyle w:val="FooterText"/>
            <w:rPr>
              <w:sz w:val="16"/>
            </w:rPr>
          </w:pPr>
        </w:p>
      </w:tc>
      <w:tc>
        <w:tcPr>
          <w:tcW w:w="1077" w:type="pct"/>
          <w:shd w:val="clear" w:color="auto" w:fill="auto"/>
        </w:tcPr>
        <w:p w:rsidR="00211E45" w:rsidRPr="007410E8" w:rsidRDefault="00211E45" w:rsidP="0035025C">
          <w:pPr>
            <w:pStyle w:val="FooterText"/>
            <w:jc w:val="right"/>
            <w:rPr>
              <w:sz w:val="16"/>
            </w:rPr>
          </w:pPr>
          <w:r>
            <w:fldChar w:fldCharType="begin"/>
          </w:r>
          <w:r>
            <w:instrText xml:space="preserve"> PAGE  \* MERGEFORMAT </w:instrText>
          </w:r>
          <w:r>
            <w:fldChar w:fldCharType="separate"/>
          </w:r>
          <w:r w:rsidR="007B08C2">
            <w:rPr>
              <w:noProof/>
            </w:rPr>
            <w:t>14</w:t>
          </w:r>
          <w:r>
            <w:fldChar w:fldCharType="end"/>
          </w:r>
        </w:p>
      </w:tc>
    </w:tr>
    <w:tr w:rsidR="00211E45" w:rsidRPr="007410E8" w:rsidTr="00211E45">
      <w:trPr>
        <w:jc w:val="center"/>
      </w:trPr>
      <w:tc>
        <w:tcPr>
          <w:tcW w:w="2604" w:type="pct"/>
          <w:shd w:val="clear" w:color="auto" w:fill="auto"/>
        </w:tcPr>
        <w:p w:rsidR="00211E45" w:rsidRPr="007410E8" w:rsidRDefault="00211E45" w:rsidP="0035025C">
          <w:pPr>
            <w:pStyle w:val="FooterText"/>
            <w:rPr>
              <w:sz w:val="16"/>
            </w:rPr>
          </w:pPr>
        </w:p>
      </w:tc>
      <w:tc>
        <w:tcPr>
          <w:tcW w:w="1319" w:type="pct"/>
          <w:shd w:val="clear" w:color="auto" w:fill="auto"/>
        </w:tcPr>
        <w:p w:rsidR="00211E45" w:rsidRPr="007410E8" w:rsidRDefault="00211E45" w:rsidP="0035025C">
          <w:pPr>
            <w:pStyle w:val="FooterText"/>
            <w:rPr>
              <w:sz w:val="16"/>
            </w:rPr>
          </w:pPr>
        </w:p>
      </w:tc>
      <w:tc>
        <w:tcPr>
          <w:tcW w:w="1077" w:type="pct"/>
          <w:shd w:val="clear" w:color="auto" w:fill="auto"/>
        </w:tcPr>
        <w:p w:rsidR="00211E45" w:rsidRPr="007410E8" w:rsidRDefault="00211E45" w:rsidP="0035025C">
          <w:pPr>
            <w:pStyle w:val="FooterText"/>
            <w:jc w:val="right"/>
            <w:rPr>
              <w:sz w:val="16"/>
            </w:rPr>
          </w:pPr>
          <w:r>
            <w:rPr>
              <w:b/>
              <w:position w:val="-4"/>
              <w:sz w:val="36"/>
            </w:rPr>
            <w:t>FR</w:t>
          </w:r>
        </w:p>
      </w:tc>
    </w:tr>
    <w:bookmarkEnd w:id="1"/>
  </w:tbl>
  <w:p w:rsidR="00926EAF" w:rsidRPr="00211E45" w:rsidRDefault="00926EAF" w:rsidP="00211E45">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1096"/>
      <w:gridCol w:w="3923"/>
      <w:gridCol w:w="2543"/>
      <w:gridCol w:w="783"/>
      <w:gridCol w:w="1294"/>
    </w:tblGrid>
    <w:tr w:rsidR="00211E45" w:rsidRPr="009C2FB3" w:rsidTr="00211E45">
      <w:trPr>
        <w:jc w:val="center"/>
      </w:trPr>
      <w:tc>
        <w:tcPr>
          <w:tcW w:w="569" w:type="pct"/>
          <w:shd w:val="clear" w:color="auto" w:fill="auto"/>
        </w:tcPr>
        <w:p w:rsidR="00211E45" w:rsidRPr="009C2FB3" w:rsidRDefault="00211E45" w:rsidP="0035025C">
          <w:pPr>
            <w:pStyle w:val="FooterText"/>
          </w:pPr>
          <w:bookmarkStart w:id="2" w:name="FOOTER_PR_COVERPAGE"/>
        </w:p>
      </w:tc>
      <w:tc>
        <w:tcPr>
          <w:tcW w:w="3760" w:type="pct"/>
          <w:gridSpan w:val="3"/>
          <w:shd w:val="clear" w:color="auto" w:fill="auto"/>
          <w:noWrap/>
        </w:tcPr>
        <w:p w:rsidR="00211E45" w:rsidRPr="00F37CD6" w:rsidRDefault="00211E45" w:rsidP="00CA18CB">
          <w:pPr>
            <w:pStyle w:val="FooterText"/>
            <w:pBdr>
              <w:bottom w:val="single" w:sz="24" w:space="1" w:color="2C4491"/>
            </w:pBdr>
            <w:spacing w:line="276" w:lineRule="auto"/>
            <w:jc w:val="center"/>
            <w:rPr>
              <w:b/>
              <w:color w:val="2C4491"/>
              <w:spacing w:val="200"/>
              <w:sz w:val="56"/>
            </w:rPr>
          </w:pPr>
          <w:r>
            <w:rPr>
              <w:b/>
              <w:color w:val="2C4491"/>
              <w:spacing w:val="200"/>
              <w:sz w:val="56"/>
            </w:rPr>
            <w:t>PRESSE</w:t>
          </w:r>
        </w:p>
      </w:tc>
      <w:tc>
        <w:tcPr>
          <w:tcW w:w="670" w:type="pct"/>
          <w:shd w:val="clear" w:color="auto" w:fill="auto"/>
        </w:tcPr>
        <w:p w:rsidR="00211E45" w:rsidRPr="009C2FB3" w:rsidRDefault="00211E45" w:rsidP="0035025C">
          <w:pPr>
            <w:pStyle w:val="FooterText"/>
          </w:pPr>
        </w:p>
      </w:tc>
    </w:tr>
    <w:tr w:rsidR="00211E45" w:rsidRPr="007410E8" w:rsidTr="00211E45">
      <w:trPr>
        <w:jc w:val="center"/>
      </w:trPr>
      <w:tc>
        <w:tcPr>
          <w:tcW w:w="5000" w:type="pct"/>
          <w:gridSpan w:val="5"/>
          <w:shd w:val="clear" w:color="auto" w:fill="auto"/>
        </w:tcPr>
        <w:p w:rsidR="00211E45" w:rsidRPr="00827A78" w:rsidRDefault="00211E45" w:rsidP="0035025C">
          <w:pPr>
            <w:pStyle w:val="FooterAddressText"/>
          </w:pPr>
        </w:p>
        <w:p w:rsidR="00211E45" w:rsidRPr="007410E8" w:rsidRDefault="00211E45" w:rsidP="0035025C">
          <w:pPr>
            <w:pStyle w:val="FooterAddressText"/>
          </w:pPr>
          <w:r>
            <w:t>Rue de la Loi 175  B – 1048 BRUXELLES  Tél. +32 (0)2 281 5394 / 6319  Fax +32 (0)2 281 8026</w:t>
          </w:r>
        </w:p>
      </w:tc>
    </w:tr>
    <w:tr w:rsidR="00211E45" w:rsidRPr="007410E8" w:rsidTr="00211E45">
      <w:trPr>
        <w:jc w:val="center"/>
      </w:trPr>
      <w:tc>
        <w:tcPr>
          <w:tcW w:w="5000" w:type="pct"/>
          <w:gridSpan w:val="5"/>
          <w:shd w:val="clear" w:color="auto" w:fill="auto"/>
        </w:tcPr>
        <w:p w:rsidR="00211E45" w:rsidRPr="007410E8" w:rsidRDefault="00211E45" w:rsidP="0035025C">
          <w:pPr>
            <w:pStyle w:val="FooterText"/>
            <w:jc w:val="center"/>
            <w:rPr>
              <w:sz w:val="20"/>
              <w:szCs w:val="20"/>
            </w:rPr>
          </w:pPr>
          <w:hyperlink r:id="rId1" w:history="1">
            <w:r w:rsidRPr="00211E45">
              <w:rPr>
                <w:rStyle w:val="Hyperlink"/>
                <w:sz w:val="20"/>
              </w:rPr>
              <w:t>press.office@consilium.europa.eu</w:t>
            </w:r>
          </w:hyperlink>
          <w:r w:rsidRPr="007410E8">
            <w:rPr>
              <w:sz w:val="20"/>
              <w:szCs w:val="20"/>
            </w:rPr>
            <w:t xml:space="preserve">  </w:t>
          </w:r>
          <w:hyperlink r:id="rId2" w:history="1">
            <w:r w:rsidRPr="00211E45">
              <w:rPr>
                <w:rStyle w:val="Hyperlink"/>
                <w:sz w:val="20"/>
              </w:rPr>
              <w:t>http://www.consilium.europa.eu/press</w:t>
            </w:r>
          </w:hyperlink>
        </w:p>
      </w:tc>
    </w:tr>
    <w:tr w:rsidR="00211E45" w:rsidRPr="007410E8" w:rsidTr="00211E45">
      <w:trPr>
        <w:jc w:val="center"/>
      </w:trPr>
      <w:tc>
        <w:tcPr>
          <w:tcW w:w="2604" w:type="pct"/>
          <w:gridSpan w:val="2"/>
          <w:shd w:val="clear" w:color="auto" w:fill="auto"/>
        </w:tcPr>
        <w:p w:rsidR="00211E45" w:rsidRPr="007410E8" w:rsidRDefault="00211E45" w:rsidP="0035025C">
          <w:pPr>
            <w:pStyle w:val="FooterText"/>
            <w:spacing w:before="60"/>
            <w:rPr>
              <w:sz w:val="16"/>
            </w:rPr>
          </w:pPr>
          <w:r>
            <w:t>16269/14</w:t>
          </w:r>
          <w:r w:rsidRPr="002511D8">
            <w:t xml:space="preserve"> </w:t>
          </w:r>
        </w:p>
      </w:tc>
      <w:tc>
        <w:tcPr>
          <w:tcW w:w="1319" w:type="pct"/>
          <w:shd w:val="clear" w:color="auto" w:fill="auto"/>
        </w:tcPr>
        <w:p w:rsidR="00211E45" w:rsidRPr="007410E8" w:rsidRDefault="00211E45" w:rsidP="0035025C">
          <w:pPr>
            <w:pStyle w:val="FooterText"/>
            <w:spacing w:before="120"/>
            <w:rPr>
              <w:sz w:val="16"/>
            </w:rPr>
          </w:pPr>
        </w:p>
      </w:tc>
      <w:tc>
        <w:tcPr>
          <w:tcW w:w="1077" w:type="pct"/>
          <w:gridSpan w:val="2"/>
          <w:shd w:val="clear" w:color="auto" w:fill="auto"/>
        </w:tcPr>
        <w:p w:rsidR="00211E45" w:rsidRPr="007410E8" w:rsidRDefault="00211E45" w:rsidP="0035025C">
          <w:pPr>
            <w:pStyle w:val="FooterText"/>
            <w:spacing w:before="60"/>
            <w:jc w:val="right"/>
            <w:rPr>
              <w:sz w:val="16"/>
            </w:rPr>
          </w:pPr>
          <w:r>
            <w:fldChar w:fldCharType="begin"/>
          </w:r>
          <w:r>
            <w:instrText xml:space="preserve"> PAGE  \* MERGEFORMAT </w:instrText>
          </w:r>
          <w:r>
            <w:fldChar w:fldCharType="separate"/>
          </w:r>
          <w:r w:rsidR="007B08C2">
            <w:rPr>
              <w:noProof/>
            </w:rPr>
            <w:t>1</w:t>
          </w:r>
          <w:r>
            <w:fldChar w:fldCharType="end"/>
          </w:r>
        </w:p>
      </w:tc>
    </w:tr>
    <w:tr w:rsidR="00211E45" w:rsidRPr="007410E8" w:rsidTr="00211E45">
      <w:trPr>
        <w:jc w:val="center"/>
      </w:trPr>
      <w:tc>
        <w:tcPr>
          <w:tcW w:w="2604" w:type="pct"/>
          <w:gridSpan w:val="2"/>
          <w:shd w:val="clear" w:color="auto" w:fill="auto"/>
        </w:tcPr>
        <w:p w:rsidR="00211E45" w:rsidRPr="007410E8" w:rsidRDefault="00211E45" w:rsidP="0035025C">
          <w:pPr>
            <w:pStyle w:val="FooterText"/>
            <w:rPr>
              <w:sz w:val="16"/>
            </w:rPr>
          </w:pPr>
        </w:p>
      </w:tc>
      <w:tc>
        <w:tcPr>
          <w:tcW w:w="1319" w:type="pct"/>
          <w:shd w:val="clear" w:color="auto" w:fill="auto"/>
        </w:tcPr>
        <w:p w:rsidR="00211E45" w:rsidRPr="007410E8" w:rsidRDefault="00211E45" w:rsidP="0035025C">
          <w:pPr>
            <w:pStyle w:val="FooterText"/>
            <w:rPr>
              <w:sz w:val="16"/>
            </w:rPr>
          </w:pPr>
        </w:p>
      </w:tc>
      <w:tc>
        <w:tcPr>
          <w:tcW w:w="1077" w:type="pct"/>
          <w:gridSpan w:val="2"/>
          <w:shd w:val="clear" w:color="auto" w:fill="auto"/>
        </w:tcPr>
        <w:p w:rsidR="00211E45" w:rsidRPr="007410E8" w:rsidRDefault="00211E45" w:rsidP="0035025C">
          <w:pPr>
            <w:pStyle w:val="FooterText"/>
            <w:jc w:val="right"/>
            <w:rPr>
              <w:sz w:val="16"/>
            </w:rPr>
          </w:pPr>
          <w:r>
            <w:rPr>
              <w:b/>
              <w:position w:val="-4"/>
              <w:sz w:val="36"/>
            </w:rPr>
            <w:t>FR</w:t>
          </w:r>
        </w:p>
      </w:tc>
    </w:tr>
    <w:bookmarkEnd w:id="2"/>
  </w:tbl>
  <w:p w:rsidR="00926EAF" w:rsidRPr="00211E45" w:rsidRDefault="00926EAF" w:rsidP="00211E45">
    <w:pPr>
      <w:pStyle w:val="FooterCouncil"/>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4A4" w:rsidRPr="00211E45" w:rsidRDefault="00FA14A4" w:rsidP="00211E45">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211E45" w:rsidRPr="007410E8" w:rsidTr="00211E45">
      <w:trPr>
        <w:jc w:val="center"/>
      </w:trPr>
      <w:tc>
        <w:tcPr>
          <w:tcW w:w="5000" w:type="pct"/>
          <w:gridSpan w:val="3"/>
          <w:shd w:val="clear" w:color="auto" w:fill="auto"/>
        </w:tcPr>
        <w:p w:rsidR="00211E45" w:rsidRPr="007410E8" w:rsidRDefault="00211E45" w:rsidP="0035025C">
          <w:pPr>
            <w:pStyle w:val="FooterText"/>
            <w:tabs>
              <w:tab w:val="left" w:pos="285"/>
              <w:tab w:val="left" w:pos="585"/>
            </w:tabs>
            <w:ind w:left="540" w:hanging="540"/>
            <w:rPr>
              <w:sz w:val="21"/>
              <w:szCs w:val="21"/>
            </w:rPr>
          </w:pPr>
          <w:bookmarkStart w:id="4" w:name="FOOTER_PR_STANDARD_FOOTNOTES"/>
          <w:r w:rsidRPr="007410E8">
            <w:rPr>
              <w:b/>
              <w:sz w:val="21"/>
              <w:szCs w:val="21"/>
              <w:vertAlign w:val="superscript"/>
            </w:rPr>
            <w:t>1</w:t>
          </w: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Lorsque des déclarations, des conclusions ou des résolutions ont été formellement adoptées par le Conseil, cela est indiqué dans le titre du point concerné et le texte figure entre guillemets.</w:t>
          </w:r>
        </w:p>
        <w:p w:rsidR="00211E45" w:rsidRPr="007410E8" w:rsidRDefault="00211E45"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Les documents dont la référence est mentionnée sont accessibles sur le site internet du Conseil http://www.consilium.europa.eu.</w:t>
          </w:r>
        </w:p>
        <w:p w:rsidR="00211E45" w:rsidRPr="007410E8" w:rsidRDefault="00211E45"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Les actes adoptés comportant des déclarations au procès-verbal accessibles au public sont signalés par un astérisque; ces déclarations sont accessibles sur le site internet du Conseil mentionné ci-dessus ou peuvent être obtenues auprès du Service de presse.</w:t>
          </w:r>
        </w:p>
        <w:p w:rsidR="00211E45" w:rsidRPr="007410E8" w:rsidRDefault="00211E45" w:rsidP="0035025C">
          <w:pPr>
            <w:pStyle w:val="FooterText"/>
            <w:tabs>
              <w:tab w:val="left" w:pos="285"/>
              <w:tab w:val="left" w:pos="585"/>
            </w:tabs>
            <w:rPr>
              <w:sz w:val="21"/>
              <w:szCs w:val="21"/>
            </w:rPr>
          </w:pPr>
        </w:p>
      </w:tc>
    </w:tr>
    <w:tr w:rsidR="00211E45" w:rsidRPr="007410E8" w:rsidTr="00211E45">
      <w:trPr>
        <w:jc w:val="center"/>
      </w:trPr>
      <w:tc>
        <w:tcPr>
          <w:tcW w:w="2604" w:type="pct"/>
          <w:shd w:val="clear" w:color="auto" w:fill="auto"/>
        </w:tcPr>
        <w:p w:rsidR="00211E45" w:rsidRPr="007410E8" w:rsidRDefault="00211E45" w:rsidP="0035025C">
          <w:pPr>
            <w:pStyle w:val="FooterText"/>
            <w:rPr>
              <w:sz w:val="16"/>
            </w:rPr>
          </w:pPr>
          <w:r>
            <w:t>16269/14</w:t>
          </w:r>
          <w:r w:rsidRPr="002511D8">
            <w:t xml:space="preserve"> </w:t>
          </w:r>
        </w:p>
      </w:tc>
      <w:tc>
        <w:tcPr>
          <w:tcW w:w="1319" w:type="pct"/>
          <w:shd w:val="clear" w:color="auto" w:fill="auto"/>
        </w:tcPr>
        <w:p w:rsidR="00211E45" w:rsidRPr="007410E8" w:rsidRDefault="00211E45" w:rsidP="0035025C">
          <w:pPr>
            <w:pStyle w:val="FooterText"/>
            <w:rPr>
              <w:sz w:val="16"/>
            </w:rPr>
          </w:pPr>
        </w:p>
      </w:tc>
      <w:tc>
        <w:tcPr>
          <w:tcW w:w="1077" w:type="pct"/>
          <w:shd w:val="clear" w:color="auto" w:fill="auto"/>
        </w:tcPr>
        <w:p w:rsidR="00211E45" w:rsidRPr="007410E8" w:rsidRDefault="00211E45" w:rsidP="0035025C">
          <w:pPr>
            <w:pStyle w:val="FooterText"/>
            <w:jc w:val="right"/>
            <w:rPr>
              <w:sz w:val="16"/>
            </w:rPr>
          </w:pPr>
          <w:r>
            <w:fldChar w:fldCharType="begin"/>
          </w:r>
          <w:r>
            <w:instrText xml:space="preserve"> PAGE  \* MERGEFORMAT </w:instrText>
          </w:r>
          <w:r>
            <w:fldChar w:fldCharType="separate"/>
          </w:r>
          <w:r w:rsidR="007B08C2">
            <w:rPr>
              <w:noProof/>
            </w:rPr>
            <w:t>2</w:t>
          </w:r>
          <w:r>
            <w:fldChar w:fldCharType="end"/>
          </w:r>
        </w:p>
      </w:tc>
    </w:tr>
    <w:tr w:rsidR="00211E45" w:rsidRPr="007410E8" w:rsidTr="00211E45">
      <w:trPr>
        <w:jc w:val="center"/>
      </w:trPr>
      <w:tc>
        <w:tcPr>
          <w:tcW w:w="2604" w:type="pct"/>
          <w:shd w:val="clear" w:color="auto" w:fill="auto"/>
        </w:tcPr>
        <w:p w:rsidR="00211E45" w:rsidRPr="007410E8" w:rsidRDefault="00211E45" w:rsidP="0035025C">
          <w:pPr>
            <w:pStyle w:val="FooterText"/>
            <w:rPr>
              <w:sz w:val="16"/>
            </w:rPr>
          </w:pPr>
        </w:p>
      </w:tc>
      <w:tc>
        <w:tcPr>
          <w:tcW w:w="1319" w:type="pct"/>
          <w:shd w:val="clear" w:color="auto" w:fill="auto"/>
        </w:tcPr>
        <w:p w:rsidR="00211E45" w:rsidRPr="007410E8" w:rsidRDefault="00211E45" w:rsidP="0035025C">
          <w:pPr>
            <w:pStyle w:val="FooterText"/>
            <w:rPr>
              <w:sz w:val="16"/>
            </w:rPr>
          </w:pPr>
        </w:p>
      </w:tc>
      <w:tc>
        <w:tcPr>
          <w:tcW w:w="1077" w:type="pct"/>
          <w:shd w:val="clear" w:color="auto" w:fill="auto"/>
        </w:tcPr>
        <w:p w:rsidR="00211E45" w:rsidRPr="007410E8" w:rsidRDefault="00211E45" w:rsidP="0035025C">
          <w:pPr>
            <w:pStyle w:val="FooterText"/>
            <w:jc w:val="right"/>
            <w:rPr>
              <w:sz w:val="16"/>
            </w:rPr>
          </w:pPr>
          <w:r>
            <w:rPr>
              <w:b/>
              <w:position w:val="-4"/>
              <w:sz w:val="36"/>
            </w:rPr>
            <w:t>FR</w:t>
          </w:r>
        </w:p>
      </w:tc>
    </w:tr>
    <w:bookmarkEnd w:id="4"/>
  </w:tbl>
  <w:p w:rsidR="00FA14A4" w:rsidRPr="00211E45" w:rsidRDefault="00FA14A4" w:rsidP="00211E45">
    <w:pPr>
      <w:pStyle w:val="FooterCouncil"/>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4A4" w:rsidRPr="00211E45" w:rsidRDefault="00FA14A4" w:rsidP="00211E45">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4A4" w:rsidRPr="00211E45" w:rsidRDefault="00FA14A4" w:rsidP="00211E45">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64F" w:rsidRPr="00211E45" w:rsidRDefault="0094264F" w:rsidP="00211E45">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64F" w:rsidRPr="00211E45" w:rsidRDefault="0094264F" w:rsidP="00211E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6A1E" w:rsidRDefault="00456A1E">
      <w:pPr>
        <w:spacing w:before="0" w:after="0"/>
      </w:pPr>
      <w:r>
        <w:separator/>
      </w:r>
    </w:p>
  </w:footnote>
  <w:footnote w:type="continuationSeparator" w:id="0">
    <w:p w:rsidR="00456A1E" w:rsidRDefault="00456A1E">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E45" w:rsidRPr="00211E45" w:rsidRDefault="00211E45" w:rsidP="00211E45">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64F" w:rsidRPr="00211E45" w:rsidRDefault="0094264F" w:rsidP="00211E45">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54F" w:rsidRPr="00211E45" w:rsidRDefault="001A454F" w:rsidP="00211E45">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54F" w:rsidRPr="00211E45" w:rsidRDefault="001A454F" w:rsidP="00211E45">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4A4" w:rsidRPr="00211E45" w:rsidRDefault="00FA14A4" w:rsidP="00211E45">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4A4" w:rsidRPr="00211E45" w:rsidRDefault="00FA14A4" w:rsidP="00211E4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E45" w:rsidRPr="00211E45" w:rsidRDefault="00211E45" w:rsidP="00211E45">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E45" w:rsidRPr="00211E45" w:rsidRDefault="00211E45" w:rsidP="00211E45">
    <w:pPr>
      <w:pStyle w:val="HeaderCouncil"/>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4A4" w:rsidRPr="00211E45" w:rsidRDefault="00FA14A4" w:rsidP="00211E4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211E45" w:rsidRPr="007410E8" w:rsidTr="00211E45">
      <w:trPr>
        <w:jc w:val="center"/>
      </w:trPr>
      <w:tc>
        <w:tcPr>
          <w:tcW w:w="2500" w:type="pct"/>
          <w:shd w:val="clear" w:color="auto" w:fill="auto"/>
        </w:tcPr>
        <w:p w:rsidR="00211E45" w:rsidRPr="007410E8" w:rsidRDefault="00211E45" w:rsidP="0035025C">
          <w:pPr>
            <w:pStyle w:val="HeaderText"/>
            <w:rPr>
              <w:b/>
              <w:i/>
              <w:sz w:val="16"/>
              <w:u w:val="single"/>
            </w:rPr>
          </w:pPr>
          <w:bookmarkStart w:id="3" w:name="HEADER_PRMEET"/>
        </w:p>
      </w:tc>
      <w:tc>
        <w:tcPr>
          <w:tcW w:w="2500" w:type="pct"/>
          <w:shd w:val="clear" w:color="auto" w:fill="auto"/>
        </w:tcPr>
        <w:p w:rsidR="00211E45" w:rsidRPr="007410E8" w:rsidRDefault="00211E45" w:rsidP="00211E45">
          <w:pPr>
            <w:pStyle w:val="HeaderText"/>
            <w:jc w:val="right"/>
            <w:rPr>
              <w:sz w:val="16"/>
            </w:rPr>
          </w:pPr>
          <w:r w:rsidRPr="00211E45">
            <w:t>1</w:t>
          </w:r>
          <w:r w:rsidRPr="00211E45">
            <w:rPr>
              <w:vertAlign w:val="superscript"/>
            </w:rPr>
            <w:t>er</w:t>
          </w:r>
          <w:r w:rsidRPr="00211E45">
            <w:t> décembre 2014</w:t>
          </w:r>
        </w:p>
      </w:tc>
    </w:tr>
    <w:bookmarkEnd w:id="3"/>
  </w:tbl>
  <w:p w:rsidR="00FA14A4" w:rsidRPr="00211E45" w:rsidRDefault="00FA14A4" w:rsidP="00211E45">
    <w:pPr>
      <w:pStyle w:val="HeaderCouncil"/>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211E45" w:rsidRPr="007410E8" w:rsidTr="00211E45">
      <w:trPr>
        <w:jc w:val="center"/>
      </w:trPr>
      <w:tc>
        <w:tcPr>
          <w:tcW w:w="2500" w:type="pct"/>
          <w:shd w:val="clear" w:color="auto" w:fill="auto"/>
        </w:tcPr>
        <w:p w:rsidR="00211E45" w:rsidRPr="007410E8" w:rsidRDefault="00211E45" w:rsidP="0035025C">
          <w:pPr>
            <w:pStyle w:val="HeaderText"/>
            <w:rPr>
              <w:b/>
              <w:i/>
              <w:sz w:val="16"/>
              <w:u w:val="single"/>
            </w:rPr>
          </w:pPr>
        </w:p>
      </w:tc>
      <w:tc>
        <w:tcPr>
          <w:tcW w:w="2500" w:type="pct"/>
          <w:shd w:val="clear" w:color="auto" w:fill="auto"/>
        </w:tcPr>
        <w:p w:rsidR="00211E45" w:rsidRPr="007410E8" w:rsidRDefault="00211E45" w:rsidP="00211E45">
          <w:pPr>
            <w:pStyle w:val="HeaderText"/>
            <w:jc w:val="right"/>
            <w:rPr>
              <w:sz w:val="16"/>
            </w:rPr>
          </w:pPr>
          <w:r w:rsidRPr="00211E45">
            <w:t>1</w:t>
          </w:r>
          <w:r w:rsidRPr="00211E45">
            <w:rPr>
              <w:vertAlign w:val="superscript"/>
            </w:rPr>
            <w:t>er</w:t>
          </w:r>
          <w:r w:rsidRPr="00211E45">
            <w:t> décembre 2014</w:t>
          </w:r>
        </w:p>
      </w:tc>
    </w:tr>
  </w:tbl>
  <w:p w:rsidR="00FA14A4" w:rsidRPr="00211E45" w:rsidRDefault="00FA14A4" w:rsidP="00211E45">
    <w:pPr>
      <w:pStyle w:val="HeaderCouncil"/>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4A4" w:rsidRPr="00211E45" w:rsidRDefault="00FA14A4" w:rsidP="00211E45">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4A4" w:rsidRPr="00211E45" w:rsidRDefault="00FA14A4" w:rsidP="00211E45">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64F" w:rsidRPr="00211E45" w:rsidRDefault="0094264F" w:rsidP="00211E4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91C99"/>
    <w:multiLevelType w:val="singleLevel"/>
    <w:tmpl w:val="99A27382"/>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
    <w:nsid w:val="03366666"/>
    <w:multiLevelType w:val="multilevel"/>
    <w:tmpl w:val="504A8816"/>
    <w:name w:val="Default"/>
    <w:lvl w:ilvl="0">
      <w:start w:val="1"/>
      <w:numFmt w:val="decimal"/>
      <w:lvlRestart w:val="0"/>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0D3B44F6"/>
    <w:multiLevelType w:val="singleLevel"/>
    <w:tmpl w:val="D4E05532"/>
    <w:name w:val="Tiret 4"/>
    <w:lvl w:ilvl="0">
      <w:start w:val="1"/>
      <w:numFmt w:val="bullet"/>
      <w:lvlRestart w:val="0"/>
      <w:pStyle w:val="Tiret4"/>
      <w:lvlText w:val="–"/>
      <w:lvlJc w:val="left"/>
      <w:pPr>
        <w:tabs>
          <w:tab w:val="num" w:pos="3118"/>
        </w:tabs>
        <w:ind w:left="3118" w:hanging="567"/>
      </w:pPr>
    </w:lvl>
  </w:abstractNum>
  <w:abstractNum w:abstractNumId="3">
    <w:nsid w:val="0ECF4EB5"/>
    <w:multiLevelType w:val="multilevel"/>
    <w:tmpl w:val="08B2DAEC"/>
    <w:name w:val="LegalNumber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0FED3959"/>
    <w:multiLevelType w:val="multilevel"/>
    <w:tmpl w:val="DDE42A1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1D6C5FF6"/>
    <w:multiLevelType w:val="multilevel"/>
    <w:tmpl w:val="B7C21C9A"/>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6">
    <w:nsid w:val="28660902"/>
    <w:multiLevelType w:val="singleLevel"/>
    <w:tmpl w:val="8B3C05B8"/>
    <w:name w:val="Tiret 0"/>
    <w:lvl w:ilvl="0">
      <w:start w:val="1"/>
      <w:numFmt w:val="bullet"/>
      <w:lvlRestart w:val="0"/>
      <w:pStyle w:val="Tiret0"/>
      <w:lvlText w:val="–"/>
      <w:lvlJc w:val="left"/>
      <w:pPr>
        <w:tabs>
          <w:tab w:val="num" w:pos="850"/>
        </w:tabs>
        <w:ind w:left="850" w:hanging="850"/>
      </w:pPr>
    </w:lvl>
  </w:abstractNum>
  <w:abstractNum w:abstractNumId="7">
    <w:nsid w:val="28CC5E43"/>
    <w:multiLevelType w:val="hybridMultilevel"/>
    <w:tmpl w:val="DD083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FE9375A"/>
    <w:multiLevelType w:val="singleLevel"/>
    <w:tmpl w:val="2FA07A9C"/>
    <w:name w:val="Tiret 3"/>
    <w:lvl w:ilvl="0">
      <w:start w:val="1"/>
      <w:numFmt w:val="bullet"/>
      <w:lvlRestart w:val="0"/>
      <w:pStyle w:val="Tiret3"/>
      <w:lvlText w:val="–"/>
      <w:lvlJc w:val="left"/>
      <w:pPr>
        <w:tabs>
          <w:tab w:val="num" w:pos="2551"/>
        </w:tabs>
        <w:ind w:left="2551" w:hanging="567"/>
      </w:pPr>
    </w:lvl>
  </w:abstractNum>
  <w:abstractNum w:abstractNumId="9">
    <w:nsid w:val="354435D0"/>
    <w:multiLevelType w:val="singleLevel"/>
    <w:tmpl w:val="AC828128"/>
    <w:name w:val="Tiret 2"/>
    <w:lvl w:ilvl="0">
      <w:start w:val="1"/>
      <w:numFmt w:val="bullet"/>
      <w:lvlRestart w:val="0"/>
      <w:pStyle w:val="Tiret2"/>
      <w:lvlText w:val="–"/>
      <w:lvlJc w:val="left"/>
      <w:pPr>
        <w:tabs>
          <w:tab w:val="num" w:pos="1984"/>
        </w:tabs>
        <w:ind w:left="1984" w:hanging="567"/>
      </w:pPr>
    </w:lvl>
  </w:abstractNum>
  <w:abstractNum w:abstractNumId="10">
    <w:nsid w:val="3C705E92"/>
    <w:multiLevelType w:val="singleLevel"/>
    <w:tmpl w:val="58AE92AA"/>
    <w:name w:val="TOC 9"/>
    <w:lvl w:ilvl="0">
      <w:start w:val="1"/>
      <w:numFmt w:val="bullet"/>
      <w:lvlRestart w:val="0"/>
      <w:pStyle w:val="TOC9"/>
      <w:lvlText w:val="–"/>
      <w:lvlJc w:val="left"/>
      <w:pPr>
        <w:tabs>
          <w:tab w:val="num" w:pos="567"/>
        </w:tabs>
        <w:ind w:left="567" w:hanging="567"/>
      </w:pPr>
      <w:rPr>
        <w:rFonts w:ascii="Times New Roman" w:hAnsi="Times New Roman" w:cs="Times New Roman"/>
      </w:rPr>
    </w:lvl>
  </w:abstractNum>
  <w:abstractNum w:abstractNumId="11">
    <w:nsid w:val="44DA1CB5"/>
    <w:multiLevelType w:val="singleLevel"/>
    <w:tmpl w:val="F078DB7E"/>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2">
    <w:nsid w:val="49562F2E"/>
    <w:multiLevelType w:val="singleLevel"/>
    <w:tmpl w:val="C7FCB5EA"/>
    <w:name w:val="Sub-sub-item Debated"/>
    <w:lvl w:ilvl="0">
      <w:start w:val="1"/>
      <w:numFmt w:val="bullet"/>
      <w:lvlRestart w:val="0"/>
      <w:pStyle w:val="Sub-sub-itemDebated"/>
      <w:lvlText w:val="–"/>
      <w:lvlJc w:val="left"/>
      <w:pPr>
        <w:tabs>
          <w:tab w:val="num" w:pos="567"/>
        </w:tabs>
        <w:ind w:left="567" w:hanging="567"/>
      </w:pPr>
      <w:rPr>
        <w:rFonts w:ascii="Times New Roman" w:hAnsi="Times New Roman" w:cs="Times New Roman"/>
      </w:rPr>
    </w:lvl>
  </w:abstractNum>
  <w:abstractNum w:abstractNumId="13">
    <w:nsid w:val="4E9615FC"/>
    <w:multiLevelType w:val="singleLevel"/>
    <w:tmpl w:val="2BD033FC"/>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4">
    <w:nsid w:val="55560435"/>
    <w:multiLevelType w:val="singleLevel"/>
    <w:tmpl w:val="651EC260"/>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88A607C"/>
    <w:multiLevelType w:val="singleLevel"/>
    <w:tmpl w:val="F7F40028"/>
    <w:name w:val="Tiret 1"/>
    <w:lvl w:ilvl="0">
      <w:start w:val="1"/>
      <w:numFmt w:val="bullet"/>
      <w:lvlRestart w:val="0"/>
      <w:pStyle w:val="Tiret1"/>
      <w:lvlText w:val="–"/>
      <w:lvlJc w:val="left"/>
      <w:pPr>
        <w:tabs>
          <w:tab w:val="num" w:pos="1417"/>
        </w:tabs>
        <w:ind w:left="1417" w:hanging="567"/>
      </w:pPr>
    </w:lvl>
  </w:abstractNum>
  <w:abstractNum w:abstractNumId="16">
    <w:nsid w:val="5E495A33"/>
    <w:multiLevelType w:val="hybridMultilevel"/>
    <w:tmpl w:val="445270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9CE619F"/>
    <w:multiLevelType w:val="multilevel"/>
    <w:tmpl w:val="3D3482E6"/>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6D180D64"/>
    <w:multiLevelType w:val="singleLevel"/>
    <w:tmpl w:val="D8E8EA1A"/>
    <w:lvl w:ilvl="0">
      <w:start w:val="1"/>
      <w:numFmt w:val="bullet"/>
      <w:lvlRestart w:val="0"/>
      <w:pStyle w:val="noItalic"/>
      <w:lvlText w:val="–"/>
      <w:lvlJc w:val="left"/>
      <w:pPr>
        <w:tabs>
          <w:tab w:val="num" w:pos="850"/>
        </w:tabs>
        <w:ind w:left="850" w:hanging="850"/>
      </w:pPr>
    </w:lvl>
  </w:abstractNum>
  <w:abstractNum w:abstractNumId="19">
    <w:nsid w:val="73AC6FF4"/>
    <w:multiLevelType w:val="singleLevel"/>
    <w:tmpl w:val="F866F702"/>
    <w:name w:val="Bullet 3"/>
    <w:lvl w:ilvl="0">
      <w:start w:val="1"/>
      <w:numFmt w:val="bullet"/>
      <w:lvlRestart w:val="0"/>
      <w:pStyle w:val="Bullet3"/>
      <w:lvlText w:val=""/>
      <w:lvlJc w:val="left"/>
      <w:pPr>
        <w:tabs>
          <w:tab w:val="num" w:pos="2551"/>
        </w:tabs>
        <w:ind w:left="2551" w:hanging="567"/>
      </w:pPr>
      <w:rPr>
        <w:rFonts w:ascii="Symbol" w:hAnsi="Symbol" w:hint="default"/>
      </w:rPr>
    </w:lvl>
  </w:abstractNum>
  <w:num w:numId="1">
    <w:abstractNumId w:val="6"/>
  </w:num>
  <w:num w:numId="2">
    <w:abstractNumId w:val="15"/>
  </w:num>
  <w:num w:numId="3">
    <w:abstractNumId w:val="9"/>
  </w:num>
  <w:num w:numId="4">
    <w:abstractNumId w:val="8"/>
  </w:num>
  <w:num w:numId="5">
    <w:abstractNumId w:val="2"/>
  </w:num>
  <w:num w:numId="6">
    <w:abstractNumId w:val="17"/>
  </w:num>
  <w:num w:numId="7">
    <w:abstractNumId w:val="4"/>
  </w:num>
  <w:num w:numId="8">
    <w:abstractNumId w:val="5"/>
  </w:num>
  <w:num w:numId="9">
    <w:abstractNumId w:val="14"/>
  </w:num>
  <w:num w:numId="10">
    <w:abstractNumId w:val="11"/>
  </w:num>
  <w:num w:numId="11">
    <w:abstractNumId w:val="0"/>
  </w:num>
  <w:num w:numId="12">
    <w:abstractNumId w:val="19"/>
  </w:num>
  <w:num w:numId="13">
    <w:abstractNumId w:val="13"/>
  </w:num>
  <w:num w:numId="14">
    <w:abstractNumId w:val="12"/>
  </w:num>
  <w:num w:numId="15">
    <w:abstractNumId w:val="10"/>
  </w:num>
  <w:num w:numId="16">
    <w:abstractNumId w:val="7"/>
  </w:num>
  <w:num w:numId="17">
    <w:abstractNumId w:val="16"/>
  </w:num>
  <w:num w:numId="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noPunctuationKerning/>
  <w:characterSpacingControl w:val="doNotCompress"/>
  <w:footnotePr>
    <w:numRestart w:val="eachPage"/>
    <w:footnote w:id="-1"/>
    <w:footnote w:id="0"/>
  </w:footnotePr>
  <w:endnotePr>
    <w:endnote w:id="-1"/>
    <w:endnote w:id="0"/>
  </w:endnotePr>
  <w:compat>
    <w:doNotUseHTMLParagraphAutoSpacing/>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pylist_Path" w:val="\\at100\user\WK\SEILEG\DocuWrite\Copylist\Template"/>
    <w:docVar w:name="Council" w:val="true"/>
    <w:docVar w:name="DocuWriteMetaData" w:val="&lt;metadataset docuwriteversion=&quot;3.4.3&quot; technicalblockguid=&quot;21ace7fa-7505-4bdc-8e7c-2bebcf55023e&quot;&gt;_x000d__x000a_  &lt;metadata key=&quot;md_DocumentLanguages&quot; translate=&quot;false&quot;&gt;_x000d__x000a_    &lt;basicdatatypelist&gt;_x000d__x000a_      &lt;language key=&quot;FR&quot; text=&quot;FR&quot; /&gt;_x000d__x000a_    &lt;/basicdatatypelist&gt;_x000d__x000a_  &lt;/metadata&gt;_x000d__x000a_  &lt;metadata key=&quot;md_OriginalLanguages&quot; translate=&quot;false&quot;&gt;_x000d__x000a_    &lt;basicdatatypelist&gt;_x000d__x000a_      &lt;language key=&quot;EN&quot; text=&quot;EN&quot; /&gt;_x000d__x000a_    &lt;/basicdatatypelist&gt;_x000d__x000a_  &lt;/metadata&gt;_x000d__x000a_  &lt;metadata key=&quot;md_UniqueHeading&quot; translate=&quot;false&quot;&gt;_x000d__x000a_    &lt;basicdatatype&gt;_x000d__x000a_      &lt;heading key=&quot;uh_20&quot; text=&quot;RÉSULTATS DE LA SESSION DU CONSEIL&quot; /&gt;_x000d__x000a_    &lt;/basicdatatype&gt;_x000d__x000a_  &lt;/metadata&gt;_x000d__x000a_  &lt;metadata key=&quot;md_HeadingText&quot; translate=&quot;false&quot;&gt;_x000d__x000a_    &lt;headingtext text=&quot;RÉSULTATS DE LA SESSION DU CONSEIL&quot;&gt;_x000d__x000a_      &lt;formattedtext&gt;_x000d__x000a_        &lt;xaml text=&quot;RÉSULTATS DE LA SESSION DU CONSEIL&quot;&gt;&amp;lt;FlowDocument xmlns=&quot;http://schemas.microsoft.com/winfx/2006/xaml/presentation&quot;&amp;gt;&amp;lt;Paragraph&amp;gt;RÉSULTATS DE LA SESSION DU CONSEIL&amp;lt;/Paragraph&amp;gt;&amp;lt;/FlowDocument&amp;gt;&lt;/xaml&gt;_x000d__x000a_      &lt;/formattedtext&gt;_x000d__x000a_    &lt;/headingtext&gt;_x000d__x000a_  &lt;/metadata&gt;_x000d__x000a_  &lt;metadata key=&quot;md_DocumentGroup&quot; translate=&quot;false&quot;&gt;_x000d__x000a_    &lt;basicdatatype&gt;_x000d__x000a_      &lt;document_group key=&quot;dg_04&quot; text=&quot;Press Release&quot; /&gt;_x000d__x000a_    &lt;/basicdatatype&gt;_x000d__x000a_  &lt;/metadata&gt;_x000d__x000a_  &lt;metadata key=&quot;md_DocumentType&quot; translate=&quot;false&quot;&gt;_x000d__x000a_    &lt;basicdatatype&gt;_x000d__x000a_      &lt;doc_type key=&quot;dt_ST&quot; text=&quot;ST&quot; /&gt;_x000d__x000a_    &lt;/basicdatatype&gt;_x000d__x000a_  &lt;/metadata&gt;_x000d__x000a_  &lt;metadata key=&quot;md_InstitutionalFramework&quot; translate=&quot;false&quot;&gt;_x000d__x000a_    &lt;basicdatatype&gt;_x000d__x000a_      &lt;framework key=&quot;if_01&quot; text=&quot;Conseil de l'Union européenne&quot; institution=&quot;instfr_institution&quot; acronym=&quot;instfr_acronym&quot; /&gt;_x000d__x000a_    &lt;/basicdatatype&gt;_x000d__x000a_  &lt;/metadata&gt;_x000d__x000a_  &lt;metadata key=&quot;md_DraftNote&quot; /&gt;_x000d__x000a_  &lt;metadata key=&quot;md_DocumentLocation&quot; translate=&quot;false&quot;&gt;_x000d__x000a_    &lt;basicdatatype&gt;_x000d__x000a_      &lt;location key=&quot;&quot; /&gt;_x000d__x000a_    &lt;/basicdatatype&gt;_x000d__x000a_  &lt;/metadata&gt;_x000d__x000a_  &lt;metadata key=&quot;md_DocumentDate&quot; translate=&quot;false&quot;&gt;_x000d__x000a_    &lt;text&gt;&lt;/text&gt;_x000d__x000a_  &lt;/metadata&gt;_x000d__x000a_  &lt;metadata key=&quot;md_Prefix&quot; translate=&quot;false&quot;&gt;_x000d__x000a_    &lt;text&gt;&lt;/text&gt;_x000d__x000a_  &lt;/metadata&gt;_x000d__x000a_  &lt;metadata key=&quot;md_DocumentNumber&quot; translate=&quot;false&quot;&gt;_x000d__x000a_    &lt;text&gt;16269&lt;/text&gt;_x000d__x000a_  &lt;/metadata&gt;_x000d__x000a_  &lt;metadata key=&quot;md_YearDocumentNumber&quot; translate=&quot;false&quot;&gt;_x000d__x000a_    &lt;text&gt;2014&lt;/text&gt;_x000d__x000a_  &lt;/metadata&gt;_x000d__x000a_  &lt;metadata key=&quot;md_Suffixes&quot; translate=&quot;false&quot;&gt;_x000d__x000a_    &lt;text&gt;&lt;/text&gt;_x000d__x000a_  &lt;/metadata&gt;_x000d__x000a_  &lt;metadata key=&quot;md_SuffixLanguagesInvolved&quot; translate=&quot;false&quot;&gt;_x000d__x000a_    &lt;text&gt;&lt;/text&gt;_x000d__x000a_  &lt;/metadata&gt;_x000d__x000a_  &lt;metadata key=&quot;md_FirstRevNumber&quot; translate=&quot;false&quot;&gt;_x000d__x000a_    &lt;text&gt;&lt;/text&gt;_x000d__x000a_  &lt;/metadata&gt;_x000d__x000a_  &lt;metadata key=&quot;md_Distribution&quot; translate=&quot;false&quot;&gt;_x000d__x000a_    &lt;basicdatatype&gt;_x000d__x000a_      &lt;distribution key=&quot;&quot; /&gt;_x000d__x000a_    &lt;/basicdatatype&gt;_x000d__x000a_  &lt;/metadata&gt;_x000d__x000a_  &lt;metadata key=&quot;md_SubjectCodes&quot; translate=&quot;false&quot;&gt;_x000d__x000a_    &lt;textlist&gt;_x000d__x000a_      &lt;text&gt;PRESSE 613&lt;/text&gt;_x000d__x000a_      &lt;text&gt;PR CO 63&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 translate=&quot;false&quot;&gt;_x000d__x000a_    &lt;text&gt;&lt;/text&gt;_x000d__x000a_  &lt;/metadata&gt;_x000d__x000a_  &lt;metadata key=&quot;md_PresidentInformation&quot;&gt;_x000d__x000a_    &lt;presidents&gt;_x000d__x000a_      &lt;president title=&quot;Ministre italienne de la santé&quot; name=&quot;Beatrice Lorenzin&quot; text=&quot;Beatrice Lorenzin, Ministre italienne de la santé&quot; genderKeyBds=&quot;gend_02&quot; /&gt;_x000d__x000a_    &lt;/presidents&gt;_x000d__x000a_  &lt;/metadata&gt;_x000d__x000a_  &lt;metadata key=&quot;md_MeetingNumber&quot;&gt;_x000d__x000a_    &lt;text&gt;3351&lt;/text&gt;_x000d__x000a_  &lt;/metadata&gt;_x000d__x000a_  &lt;metadata key=&quot;md_CouncilConfiguration&quot; translate=&quot;false&quot;&gt;_x000d__x000a_    &lt;basicdatatype&gt;_x000d__x000a_      &lt;configuration key=&quot;cc_05&quot; text=&quot;Emploi, politique sociale, santé et consommateurs&quot; /&gt;_x000d__x000a_    &lt;/basicdatatype&gt;_x000d__x000a_  &lt;/metadata&gt;_x000d__x000a_  &lt;metadata key=&quot;md_CouncilIssue&quot;&gt;_x000d__x000a_    &lt;text&gt;Santé&lt;/text&gt;_x000d__x000a_  &lt;/metadata&gt;_x000d__x000a_  &lt;metadata key=&quot;md_PhoneNumber&quot; translate=&quot;false&quot;&gt;_x000d__x000a_    &lt;text&gt;5394&lt;/text&gt;_x000d__x000a_  &lt;/metadata&gt;_x000d__x000a_  &lt;metadata key=&quot;md_TypeOfHeading&quot; translate=&quot;false&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 translate=&quot;false&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quot;&gt;&amp;lt;Paragraph xmlns=&quot;http://schemas.microsoft.com/winfx/2006/xaml/presentation&quot;&amp;gt;&amp;lt;/Paragraph&amp;gt;&lt;/xaml&gt;_x000d__x000a_  &lt;/metadata&gt;_x000d__x000a_  &lt;metadata key=&quot;md_SubjectFootnote&quot; /&gt;_x000d__x000a_  &lt;metadata key=&quot;md_DG&quot; /&gt;_x000d__x000a_  &lt;metadata key=&quot;md_Initials&quot; /&gt;_x000d__x000a_  &lt;metadata key=&quot;md_RectifProcedureType&quot; translate=&quot;fals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 translate=&quot;false&quot;&gt;_x000d__x000a_    &lt;basicdatatype&gt;_x000d__x000a_      &lt;text&gt;&lt;/text&gt;_x000d__x000a_    &lt;/basicdatatype&gt;_x000d__x000a_  &lt;/metadata&gt;_x000d__x000a_  &lt;metadata key=&quot;md_Rectif_Source1_DocumentType&quot; translate=&quot;false&quot;&gt;_x000d__x000a_    &lt;basicdatatype&gt;_x000d__x000a_      &lt;doc_type key=&quot;&quot; /&gt;_x000d__x000a_    &lt;/basicdatatype&gt;_x000d__x000a_  &lt;/metadata&gt;_x000d__x000a_  &lt;metadata key=&quot;md_Rectif_Source1_DocumentNumber&quot; translate=&quot;false&quot;&gt;_x000d__x000a_    &lt;text&gt;&lt;/text&gt;_x000d__x000a_  &lt;/metadata&gt;_x000d__x000a_  &lt;metadata key=&quot;md_Rectif_Source1_YearDocumentNumber&quot; translate=&quot;false&quot;&gt;_x000d__x000a_    &lt;text&gt;2015&lt;/text&gt;_x000d__x000a_  &lt;/metadata&gt;_x000d__x000a_  &lt;metadata key=&quot;md_Rectif_Source1_Suffixes&quot; translate=&quot;false&quot;&gt;_x000d__x000a_    &lt;text&gt;&lt;/text&gt;_x000d__x000a_  &lt;/metadata&gt;_x000d__x000a_  &lt;metadata key=&quot;md_Rectif_Source2_UniqueHeading&quot; translate=&quot;false&quot;&gt;_x000d__x000a_    &lt;basicdatatype&gt;_x000d__x000a_      &lt;text&gt;&lt;/text&gt;_x000d__x000a_    &lt;/basicdatatype&gt;_x000d__x000a_  &lt;/metadata&gt;_x000d__x000a_  &lt;metadata key=&quot;md_Rectif_Source2_DocumentType&quot; translate=&quot;false&quot;&gt;_x000d__x000a_    &lt;basicdatatype&gt;_x000d__x000a_      &lt;doc_type key=&quot;&quot; /&gt;_x000d__x000a_    &lt;/basicdatatype&gt;_x000d__x000a_  &lt;/metadata&gt;_x000d__x000a_  &lt;metadata key=&quot;md_Rectif_Source2_DocumentNumber&quot; translate=&quot;false&quot;&gt;_x000d__x000a_    &lt;text&gt;&lt;/text&gt;_x000d__x000a_  &lt;/metadata&gt;_x000d__x000a_  &lt;metadata key=&quot;md_Rectif_Source2_YearDocumentNumber&quot; translate=&quot;false&quot;&gt;_x000d__x000a_    &lt;text&gt;2015&lt;/text&gt;_x000d__x000a_  &lt;/metadata&gt;_x000d__x000a_  &lt;metadata key=&quot;md_Rectif_Source2_Suffixes&quot; translate=&quot;false&quot;&gt;_x000d__x000a_    &lt;text&gt;&lt;/text&gt;_x000d__x000a_  &lt;/metadata&gt;_x000d__x000a_  &lt;metadata key=&quot;md_CoverPageDocWithCouncilFooter&quot; /&gt;_x000d__x000a_  &lt;metadata key=&quot;md_SourceDocLanguage&quot; translate=&quot;false&quot;&gt;_x000d__x000a_    &lt;text&gt;&lt;/text&gt;_x000d__x000a_  &lt;/metadata&gt;_x000d__x000a_  &lt;metadata key=&quot;md_SourceDocType&quot; translate=&quot;false&quot;&gt;_x000d__x000a_    &lt;text&gt;&lt;/text&gt;_x000d__x000a_  &lt;/metadata&gt;_x000d__x000a_  &lt;metadata key=&quot;md_SourceDocTitle&quot; translate=&quot;fals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 translate=&quot;false&quot;&gt;_x000d__x000a_    &lt;meetings&gt;_x000d__x000a_      &lt;meeting date=&quot;2014-12-01&quot;&gt;_x000d__x000a_        &lt;meetinglocation&gt;_x000d__x000a_          &lt;basicdatatype&gt;_x000d__x000a_            &lt;location key=&quot;loc_01&quot; text=&quot;Bruxelles&quot; /&gt;_x000d__x000a_          &lt;/basicdatatype&gt;_x000d__x000a_        &lt;/meetinglocation&gt;_x000d__x000a_      &lt;/meeting&gt;_x000d__x000a_    &lt;/meetings&gt;_x000d__x000a_  &lt;/metadata&gt;_x000d__x000a_  &lt;metadata key=&quot;md_VisualRepresentation&quot; translate=&quot;false&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AutoOpen" w:val="True"/>
    <w:docVar w:name="DW_DocType" w:val="DW_PRMEET"/>
    <w:docVar w:name="LW_DocType" w:val="DW_PRMEET"/>
    <w:docVar w:name="VSSDB_IniPath" w:val="\\at100\user\wovo\SEILEG\vss\srcsafe.ini"/>
    <w:docVar w:name="VSSDB_ProjectPath" w:val="$/DocuWrite/DOT/DW_PRMEET"/>
  </w:docVars>
  <w:rsids>
    <w:rsidRoot w:val="000D3E4C"/>
    <w:rsid w:val="00035E1C"/>
    <w:rsid w:val="000A63B0"/>
    <w:rsid w:val="000D3E4C"/>
    <w:rsid w:val="001050F7"/>
    <w:rsid w:val="001403F2"/>
    <w:rsid w:val="00177E98"/>
    <w:rsid w:val="001A454F"/>
    <w:rsid w:val="001A4BC0"/>
    <w:rsid w:val="001C73CE"/>
    <w:rsid w:val="00203420"/>
    <w:rsid w:val="00211E45"/>
    <w:rsid w:val="00213E80"/>
    <w:rsid w:val="00264F4A"/>
    <w:rsid w:val="00287D25"/>
    <w:rsid w:val="00295AB6"/>
    <w:rsid w:val="002D1410"/>
    <w:rsid w:val="00351BA6"/>
    <w:rsid w:val="00370551"/>
    <w:rsid w:val="003946C8"/>
    <w:rsid w:val="003B68D0"/>
    <w:rsid w:val="00456A1E"/>
    <w:rsid w:val="00465975"/>
    <w:rsid w:val="004F1CD3"/>
    <w:rsid w:val="005063A0"/>
    <w:rsid w:val="00546259"/>
    <w:rsid w:val="00555A35"/>
    <w:rsid w:val="005A2A4F"/>
    <w:rsid w:val="005F470B"/>
    <w:rsid w:val="00607EB8"/>
    <w:rsid w:val="00614F92"/>
    <w:rsid w:val="006A56D8"/>
    <w:rsid w:val="006A7572"/>
    <w:rsid w:val="006D60A3"/>
    <w:rsid w:val="006F4E9F"/>
    <w:rsid w:val="00795BD0"/>
    <w:rsid w:val="007A0C3C"/>
    <w:rsid w:val="007B08C2"/>
    <w:rsid w:val="008131FC"/>
    <w:rsid w:val="008576FF"/>
    <w:rsid w:val="00895676"/>
    <w:rsid w:val="00917F04"/>
    <w:rsid w:val="00926EAF"/>
    <w:rsid w:val="0094264F"/>
    <w:rsid w:val="00967292"/>
    <w:rsid w:val="009A2A49"/>
    <w:rsid w:val="009E0812"/>
    <w:rsid w:val="009E7092"/>
    <w:rsid w:val="00A00910"/>
    <w:rsid w:val="00A03122"/>
    <w:rsid w:val="00A0565F"/>
    <w:rsid w:val="00A33747"/>
    <w:rsid w:val="00A67613"/>
    <w:rsid w:val="00A76CDC"/>
    <w:rsid w:val="00B03546"/>
    <w:rsid w:val="00B34272"/>
    <w:rsid w:val="00B60DEE"/>
    <w:rsid w:val="00B81A59"/>
    <w:rsid w:val="00BB7C80"/>
    <w:rsid w:val="00BD54A3"/>
    <w:rsid w:val="00C57AAC"/>
    <w:rsid w:val="00C620EF"/>
    <w:rsid w:val="00C74A32"/>
    <w:rsid w:val="00CA200C"/>
    <w:rsid w:val="00CD6530"/>
    <w:rsid w:val="00CE2CF2"/>
    <w:rsid w:val="00D0185A"/>
    <w:rsid w:val="00D45C7C"/>
    <w:rsid w:val="00D60459"/>
    <w:rsid w:val="00D909D0"/>
    <w:rsid w:val="00DB3E01"/>
    <w:rsid w:val="00DD4631"/>
    <w:rsid w:val="00DD51C4"/>
    <w:rsid w:val="00E16D67"/>
    <w:rsid w:val="00E401F0"/>
    <w:rsid w:val="00E737DC"/>
    <w:rsid w:val="00EF2FB1"/>
    <w:rsid w:val="00F0010B"/>
    <w:rsid w:val="00F00DAF"/>
    <w:rsid w:val="00F14EA3"/>
    <w:rsid w:val="00F2160B"/>
    <w:rsid w:val="00F4273F"/>
    <w:rsid w:val="00F7260C"/>
    <w:rsid w:val="00F92A32"/>
    <w:rsid w:val="00FA14A4"/>
    <w:rsid w:val="00FA2FE5"/>
    <w:rsid w:val="00FC6920"/>
    <w:rsid w:val="00FC7382"/>
    <w:rsid w:val="00FE42AD"/>
    <w:rsid w:val="00FF2F5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240"/>
    </w:pPr>
    <w:rPr>
      <w:sz w:val="24"/>
      <w:szCs w:val="24"/>
    </w:rPr>
  </w:style>
  <w:style w:type="paragraph" w:styleId="Heading1">
    <w:name w:val="heading 1"/>
    <w:basedOn w:val="Normal"/>
    <w:next w:val="Text1"/>
    <w:qFormat/>
    <w:rsid w:val="00A76CDC"/>
    <w:pPr>
      <w:keepNext/>
      <w:numPr>
        <w:numId w:val="7"/>
      </w:numPr>
      <w:spacing w:before="360"/>
      <w:outlineLvl w:val="0"/>
    </w:pPr>
    <w:rPr>
      <w:b/>
      <w:bCs/>
      <w:smallCaps/>
      <w:szCs w:val="32"/>
    </w:rPr>
  </w:style>
  <w:style w:type="paragraph" w:styleId="Heading2">
    <w:name w:val="heading 2"/>
    <w:basedOn w:val="Normal"/>
    <w:next w:val="Text1"/>
    <w:link w:val="Heading2Char"/>
    <w:qFormat/>
    <w:rsid w:val="00A76CDC"/>
    <w:pPr>
      <w:keepNext/>
      <w:numPr>
        <w:ilvl w:val="1"/>
        <w:numId w:val="7"/>
      </w:numPr>
      <w:outlineLvl w:val="1"/>
    </w:pPr>
    <w:rPr>
      <w:b/>
      <w:bCs/>
      <w:iCs/>
      <w:szCs w:val="28"/>
    </w:rPr>
  </w:style>
  <w:style w:type="paragraph" w:styleId="Heading3">
    <w:name w:val="heading 3"/>
    <w:basedOn w:val="Normal"/>
    <w:next w:val="Text1"/>
    <w:qFormat/>
    <w:rsid w:val="00A76CDC"/>
    <w:pPr>
      <w:keepNext/>
      <w:numPr>
        <w:ilvl w:val="2"/>
        <w:numId w:val="7"/>
      </w:numPr>
      <w:outlineLvl w:val="2"/>
    </w:pPr>
    <w:rPr>
      <w:bCs/>
      <w:i/>
      <w:szCs w:val="26"/>
    </w:rPr>
  </w:style>
  <w:style w:type="paragraph" w:styleId="Heading4">
    <w:name w:val="heading 4"/>
    <w:basedOn w:val="Normal"/>
    <w:next w:val="Text1"/>
    <w:qFormat/>
    <w:rsid w:val="00A76CDC"/>
    <w:pPr>
      <w:keepNext/>
      <w:numPr>
        <w:ilvl w:val="3"/>
        <w:numId w:val="7"/>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5">
    <w:name w:val="toc 5"/>
    <w:basedOn w:val="Normal"/>
    <w:next w:val="Normal"/>
    <w:uiPriority w:val="39"/>
    <w:rsid w:val="00A76CDC"/>
    <w:pPr>
      <w:keepNext/>
      <w:tabs>
        <w:tab w:val="right" w:leader="dot" w:pos="9638"/>
      </w:tabs>
      <w:spacing w:before="320"/>
      <w:ind w:right="567"/>
    </w:pPr>
    <w:rPr>
      <w:b/>
    </w:rPr>
  </w:style>
  <w:style w:type="paragraph" w:styleId="TOC6">
    <w:name w:val="toc 6"/>
    <w:basedOn w:val="Normal"/>
    <w:next w:val="Normal"/>
    <w:uiPriority w:val="39"/>
    <w:rsid w:val="00A76CDC"/>
    <w:pPr>
      <w:tabs>
        <w:tab w:val="right" w:leader="dot" w:pos="9638"/>
      </w:tabs>
      <w:spacing w:after="120"/>
      <w:ind w:right="567"/>
    </w:pPr>
  </w:style>
  <w:style w:type="paragraph" w:styleId="TOC7">
    <w:name w:val="toc 7"/>
    <w:basedOn w:val="Normal"/>
    <w:semiHidden/>
    <w:rsid w:val="00A76CDC"/>
    <w:pPr>
      <w:tabs>
        <w:tab w:val="right" w:leader="dot" w:pos="9638"/>
      </w:tabs>
      <w:spacing w:after="120"/>
      <w:ind w:right="567"/>
    </w:pPr>
  </w:style>
  <w:style w:type="paragraph" w:styleId="TOC8">
    <w:name w:val="toc 8"/>
    <w:basedOn w:val="Normal"/>
    <w:next w:val="Normal"/>
    <w:uiPriority w:val="39"/>
    <w:rsid w:val="00A76CDC"/>
    <w:pPr>
      <w:keepNext/>
      <w:tabs>
        <w:tab w:val="right" w:leader="dot" w:pos="9638"/>
      </w:tabs>
      <w:spacing w:after="120"/>
      <w:ind w:right="567"/>
    </w:pPr>
    <w:rPr>
      <w:i/>
    </w:rPr>
  </w:style>
  <w:style w:type="paragraph" w:styleId="TOC9">
    <w:name w:val="toc 9"/>
    <w:basedOn w:val="Normal"/>
    <w:uiPriority w:val="39"/>
    <w:rsid w:val="00A76CDC"/>
    <w:pPr>
      <w:numPr>
        <w:numId w:val="15"/>
      </w:numPr>
      <w:tabs>
        <w:tab w:val="right" w:leader="dot" w:pos="9638"/>
      </w:tabs>
      <w:spacing w:after="120"/>
      <w:ind w:right="567"/>
    </w:pPr>
    <w:rPr>
      <w:sz w:val="20"/>
    </w:rPr>
  </w:style>
  <w:style w:type="paragraph" w:styleId="Footer">
    <w:name w:val="footer"/>
    <w:basedOn w:val="Normal"/>
    <w:link w:val="FooterChar"/>
    <w:rsid w:val="00A76CDC"/>
    <w:pPr>
      <w:tabs>
        <w:tab w:val="right" w:pos="9638"/>
      </w:tabs>
      <w:spacing w:before="0" w:after="0"/>
    </w:pPr>
  </w:style>
  <w:style w:type="paragraph" w:styleId="Header">
    <w:name w:val="header"/>
    <w:basedOn w:val="Normal"/>
    <w:link w:val="HeaderChar"/>
    <w:rsid w:val="00A76CDC"/>
    <w:pPr>
      <w:tabs>
        <w:tab w:val="right" w:pos="9638"/>
      </w:tabs>
      <w:spacing w:before="0" w:after="0"/>
    </w:pPr>
  </w:style>
  <w:style w:type="paragraph" w:styleId="FootnoteText">
    <w:name w:val="footnote text"/>
    <w:basedOn w:val="Normal"/>
    <w:rsid w:val="00A76CDC"/>
    <w:pPr>
      <w:spacing w:before="0" w:after="0"/>
      <w:ind w:left="720" w:hanging="720"/>
    </w:pPr>
    <w:rPr>
      <w:szCs w:val="20"/>
    </w:rPr>
  </w:style>
  <w:style w:type="paragraph" w:styleId="TOC1">
    <w:name w:val="toc 1"/>
    <w:basedOn w:val="Normal"/>
    <w:next w:val="Normal"/>
    <w:semiHidden/>
    <w:rsid w:val="00A76CDC"/>
  </w:style>
  <w:style w:type="paragraph" w:styleId="TOC2">
    <w:name w:val="toc 2"/>
    <w:basedOn w:val="Normal"/>
    <w:next w:val="Normal"/>
    <w:semiHidden/>
    <w:rsid w:val="00A76CDC"/>
  </w:style>
  <w:style w:type="paragraph" w:styleId="TOC3">
    <w:name w:val="toc 3"/>
    <w:basedOn w:val="Normal"/>
    <w:next w:val="Normal"/>
    <w:semiHidden/>
    <w:rsid w:val="00A76CDC"/>
  </w:style>
  <w:style w:type="paragraph" w:styleId="TOC4">
    <w:name w:val="toc 4"/>
    <w:basedOn w:val="Normal"/>
    <w:next w:val="Normal"/>
    <w:semiHidden/>
    <w:rsid w:val="00A76CDC"/>
  </w:style>
  <w:style w:type="paragraph" w:customStyle="1" w:styleId="EntInstit">
    <w:name w:val="EntInstit"/>
    <w:basedOn w:val="Normal"/>
    <w:next w:val="InstitutionalReference"/>
    <w:rsid w:val="00A76CDC"/>
    <w:pPr>
      <w:spacing w:before="0" w:after="0"/>
      <w:jc w:val="right"/>
    </w:pPr>
    <w:rPr>
      <w:b/>
    </w:rPr>
  </w:style>
  <w:style w:type="paragraph" w:customStyle="1" w:styleId="InstitutionalReference">
    <w:name w:val="Institutional Reference"/>
    <w:basedOn w:val="Normal"/>
    <w:next w:val="OriginalLanguage"/>
    <w:rsid w:val="00A76CDC"/>
    <w:pPr>
      <w:spacing w:before="480" w:after="160"/>
      <w:ind w:left="5900"/>
    </w:pPr>
  </w:style>
  <w:style w:type="paragraph" w:customStyle="1" w:styleId="OriginalLanguage">
    <w:name w:val="Original Language"/>
    <w:basedOn w:val="Normal"/>
    <w:next w:val="ProvisionalVersion"/>
    <w:rsid w:val="00A76CDC"/>
    <w:pPr>
      <w:spacing w:before="0" w:after="160"/>
      <w:ind w:left="5900"/>
    </w:pPr>
  </w:style>
  <w:style w:type="paragraph" w:customStyle="1" w:styleId="ProvisionalVersion">
    <w:name w:val="Provisional Version"/>
    <w:basedOn w:val="Normal"/>
    <w:next w:val="Sujet"/>
    <w:rsid w:val="00A76CDC"/>
    <w:pPr>
      <w:spacing w:before="0" w:after="160"/>
      <w:ind w:left="5900"/>
    </w:pPr>
    <w:rPr>
      <w:b/>
      <w:i/>
      <w:u w:val="single"/>
    </w:rPr>
  </w:style>
  <w:style w:type="paragraph" w:customStyle="1" w:styleId="DocumentTitle">
    <w:name w:val="Document Title"/>
    <w:basedOn w:val="Normal"/>
    <w:next w:val="CouncilMeeting"/>
    <w:rsid w:val="00A76CDC"/>
    <w:pPr>
      <w:spacing w:before="400"/>
      <w:jc w:val="center"/>
    </w:pPr>
    <w:rPr>
      <w:b/>
      <w:sz w:val="28"/>
    </w:rPr>
  </w:style>
  <w:style w:type="paragraph" w:customStyle="1" w:styleId="CouncilMeeting">
    <w:name w:val="Council Meeting"/>
    <w:basedOn w:val="Normal"/>
    <w:next w:val="CouncilName"/>
    <w:rsid w:val="00A76CDC"/>
    <w:pPr>
      <w:jc w:val="center"/>
    </w:pPr>
  </w:style>
  <w:style w:type="paragraph" w:customStyle="1" w:styleId="CouncilSubject">
    <w:name w:val="Council Subject"/>
    <w:basedOn w:val="Normal"/>
    <w:next w:val="MeetingDate"/>
    <w:rsid w:val="00A76CDC"/>
    <w:pPr>
      <w:jc w:val="center"/>
    </w:pPr>
    <w:rPr>
      <w:b/>
      <w:sz w:val="32"/>
    </w:rPr>
  </w:style>
  <w:style w:type="paragraph" w:customStyle="1" w:styleId="MeetingDate">
    <w:name w:val="Meeting Date"/>
    <w:basedOn w:val="Normal"/>
    <w:next w:val="President"/>
    <w:rsid w:val="00A76CDC"/>
    <w:pPr>
      <w:jc w:val="center"/>
    </w:pPr>
  </w:style>
  <w:style w:type="paragraph" w:customStyle="1" w:styleId="President">
    <w:name w:val="President"/>
    <w:basedOn w:val="Normal"/>
    <w:next w:val="AdditionalInformation"/>
    <w:rsid w:val="00A76CDC"/>
    <w:pPr>
      <w:ind w:left="3685" w:hanging="1700"/>
    </w:pPr>
  </w:style>
  <w:style w:type="paragraph" w:customStyle="1" w:styleId="MainResultsHeading">
    <w:name w:val="Main Results Heading"/>
    <w:basedOn w:val="Normal"/>
    <w:next w:val="Normal"/>
    <w:rsid w:val="00A76CDC"/>
    <w:pPr>
      <w:spacing w:before="850" w:after="850"/>
      <w:jc w:val="center"/>
    </w:pPr>
    <w:rPr>
      <w:b/>
      <w:sz w:val="28"/>
    </w:rPr>
  </w:style>
  <w:style w:type="paragraph" w:customStyle="1" w:styleId="ParticipantsHeading">
    <w:name w:val="Participants Heading"/>
    <w:basedOn w:val="Normal"/>
    <w:next w:val="Normal"/>
    <w:rsid w:val="00A76CDC"/>
    <w:pPr>
      <w:keepNext/>
      <w:spacing w:after="560"/>
    </w:pPr>
    <w:rPr>
      <w:b/>
      <w:sz w:val="28"/>
      <w:u w:val="single"/>
    </w:rPr>
  </w:style>
  <w:style w:type="paragraph" w:customStyle="1" w:styleId="ParticipantsSeparator">
    <w:name w:val="Participants Separator"/>
    <w:basedOn w:val="Normal"/>
    <w:next w:val="Normal"/>
    <w:rsid w:val="00A76CDC"/>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A76CDC"/>
    <w:pPr>
      <w:keepNext/>
      <w:spacing w:after="0"/>
    </w:pPr>
    <w:rPr>
      <w:b/>
      <w:sz w:val="18"/>
      <w:u w:val="single"/>
    </w:rPr>
  </w:style>
  <w:style w:type="paragraph" w:customStyle="1" w:styleId="Participant">
    <w:name w:val="Participant"/>
    <w:basedOn w:val="Normal"/>
    <w:rsid w:val="005F470B"/>
    <w:pPr>
      <w:spacing w:before="0" w:after="0"/>
      <w:ind w:left="5386" w:hanging="5386"/>
    </w:pPr>
    <w:rPr>
      <w:sz w:val="18"/>
    </w:rPr>
  </w:style>
  <w:style w:type="paragraph" w:customStyle="1" w:styleId="ItemDebated">
    <w:name w:val="Item Debated"/>
    <w:basedOn w:val="Normal"/>
    <w:next w:val="Sub-itemDebated"/>
    <w:rsid w:val="00A76CDC"/>
    <w:pPr>
      <w:keepNext/>
      <w:spacing w:before="240"/>
    </w:pPr>
    <w:rPr>
      <w:b/>
      <w:u w:val="single"/>
    </w:rPr>
  </w:style>
  <w:style w:type="paragraph" w:customStyle="1" w:styleId="ItemsDebatedHeading">
    <w:name w:val="Items Debated Heading"/>
    <w:basedOn w:val="Normal"/>
    <w:next w:val="ItemDebated"/>
    <w:rsid w:val="00A76CDC"/>
    <w:pPr>
      <w:keepNext/>
      <w:spacing w:before="0"/>
    </w:pPr>
    <w:rPr>
      <w:b/>
      <w:u w:val="single"/>
    </w:rPr>
  </w:style>
  <w:style w:type="paragraph" w:customStyle="1" w:styleId="Sub-itemDebated">
    <w:name w:val="Sub-item Debated"/>
    <w:basedOn w:val="Normal"/>
    <w:next w:val="Sub-sub-itemDebated"/>
    <w:rsid w:val="00A76CDC"/>
    <w:pPr>
      <w:keepNext/>
      <w:spacing w:before="240"/>
    </w:pPr>
    <w:rPr>
      <w:b/>
    </w:rPr>
  </w:style>
  <w:style w:type="paragraph" w:customStyle="1" w:styleId="ItemApproved">
    <w:name w:val="Item Approved"/>
    <w:basedOn w:val="Normal"/>
    <w:next w:val="Sub-itemApproved"/>
    <w:rsid w:val="00A76CDC"/>
    <w:pPr>
      <w:keepNext/>
      <w:spacing w:before="240"/>
    </w:pPr>
    <w:rPr>
      <w:b/>
      <w:i/>
      <w:u w:val="single"/>
    </w:rPr>
  </w:style>
  <w:style w:type="paragraph" w:customStyle="1" w:styleId="ItemsApprovedHeading">
    <w:name w:val="Items Approved Heading"/>
    <w:basedOn w:val="Normal"/>
    <w:next w:val="ItemApproved"/>
    <w:rsid w:val="00A76CDC"/>
    <w:pPr>
      <w:keepNext/>
      <w:spacing w:before="0"/>
    </w:pPr>
    <w:rPr>
      <w:b/>
      <w:u w:val="single"/>
    </w:rPr>
  </w:style>
  <w:style w:type="paragraph" w:customStyle="1" w:styleId="Sub-itemApproved">
    <w:name w:val="Sub-item Approved"/>
    <w:basedOn w:val="Normal"/>
    <w:next w:val="Normal"/>
    <w:rsid w:val="00A76CDC"/>
    <w:pPr>
      <w:keepNext/>
      <w:spacing w:before="240"/>
    </w:pPr>
    <w:rPr>
      <w:b/>
    </w:rPr>
  </w:style>
  <w:style w:type="paragraph" w:customStyle="1" w:styleId="AnnexTitle">
    <w:name w:val="Annex Title"/>
    <w:basedOn w:val="Normal"/>
    <w:next w:val="Normal"/>
    <w:rsid w:val="00A76CDC"/>
    <w:pPr>
      <w:jc w:val="right"/>
    </w:pPr>
    <w:rPr>
      <w:b/>
      <w:u w:val="single"/>
    </w:rPr>
  </w:style>
  <w:style w:type="paragraph" w:customStyle="1" w:styleId="AnnexSubtitle">
    <w:name w:val="Annex Subtitle"/>
    <w:basedOn w:val="Normal"/>
    <w:next w:val="Text1"/>
    <w:rsid w:val="00A76CDC"/>
    <w:pPr>
      <w:spacing w:before="720" w:after="720"/>
      <w:ind w:left="567" w:right="850"/>
    </w:pPr>
    <w:rPr>
      <w:b/>
      <w:i/>
    </w:rPr>
  </w:style>
  <w:style w:type="paragraph" w:styleId="TOCHeading">
    <w:name w:val="TOC Heading"/>
    <w:basedOn w:val="Normal"/>
    <w:next w:val="Normal"/>
    <w:qFormat/>
    <w:rsid w:val="00A76CDC"/>
    <w:pPr>
      <w:spacing w:before="0" w:after="720"/>
      <w:jc w:val="center"/>
    </w:pPr>
    <w:rPr>
      <w:b/>
      <w:sz w:val="28"/>
      <w:u w:val="single"/>
    </w:rPr>
  </w:style>
  <w:style w:type="paragraph" w:customStyle="1" w:styleId="TableText">
    <w:name w:val="Table Text"/>
    <w:basedOn w:val="Normal"/>
    <w:next w:val="Normal"/>
    <w:rsid w:val="00A76CDC"/>
    <w:pPr>
      <w:spacing w:before="0" w:after="0"/>
    </w:pPr>
  </w:style>
  <w:style w:type="character" w:styleId="FootnoteReference">
    <w:name w:val="footnote reference"/>
    <w:rsid w:val="00A76CDC"/>
    <w:rPr>
      <w:b/>
      <w:shd w:val="clear" w:color="auto" w:fill="auto"/>
      <w:vertAlign w:val="superscript"/>
    </w:rPr>
  </w:style>
  <w:style w:type="paragraph" w:customStyle="1" w:styleId="CouncilName">
    <w:name w:val="Council Name"/>
    <w:basedOn w:val="Normal"/>
    <w:next w:val="CouncilSubject"/>
    <w:rsid w:val="00A76CDC"/>
    <w:pPr>
      <w:jc w:val="center"/>
    </w:pPr>
    <w:rPr>
      <w:b/>
      <w:sz w:val="28"/>
    </w:rPr>
  </w:style>
  <w:style w:type="paragraph" w:customStyle="1" w:styleId="AdditionalInformation">
    <w:name w:val="Additional Information"/>
    <w:basedOn w:val="Normal"/>
    <w:next w:val="Normal"/>
    <w:rsid w:val="00A76CDC"/>
    <w:pPr>
      <w:spacing w:before="560"/>
      <w:ind w:left="720" w:hanging="720"/>
    </w:pPr>
  </w:style>
  <w:style w:type="paragraph" w:customStyle="1" w:styleId="FooterLandscape">
    <w:name w:val="FooterLandscape"/>
    <w:basedOn w:val="Normal"/>
    <w:rsid w:val="00A76CDC"/>
    <w:pPr>
      <w:tabs>
        <w:tab w:val="right" w:pos="14570"/>
      </w:tabs>
      <w:spacing w:before="0" w:after="0"/>
    </w:pPr>
  </w:style>
  <w:style w:type="paragraph" w:customStyle="1" w:styleId="HeaderLandscape">
    <w:name w:val="HeaderLandscape"/>
    <w:basedOn w:val="Normal"/>
    <w:rsid w:val="00A76CDC"/>
    <w:pPr>
      <w:tabs>
        <w:tab w:val="right" w:pos="14570"/>
      </w:tabs>
    </w:pPr>
  </w:style>
  <w:style w:type="paragraph" w:customStyle="1" w:styleId="Sub-sub-itemDebated">
    <w:name w:val="Sub-sub-item Debated"/>
    <w:basedOn w:val="Normal"/>
    <w:next w:val="Normal"/>
    <w:rsid w:val="00A76CDC"/>
    <w:pPr>
      <w:keepNext/>
      <w:numPr>
        <w:numId w:val="14"/>
      </w:numPr>
      <w:spacing w:before="240"/>
    </w:pPr>
    <w:rPr>
      <w:b/>
      <w:i/>
    </w:rPr>
  </w:style>
  <w:style w:type="paragraph" w:customStyle="1" w:styleId="Sujet">
    <w:name w:val="Sujet"/>
    <w:basedOn w:val="Normal"/>
    <w:rsid w:val="00A76CDC"/>
    <w:pPr>
      <w:spacing w:before="0" w:after="0"/>
      <w:ind w:left="5900"/>
    </w:pPr>
  </w:style>
  <w:style w:type="paragraph" w:customStyle="1" w:styleId="Text1">
    <w:name w:val="Text 1"/>
    <w:basedOn w:val="Normal"/>
    <w:rsid w:val="00A76CDC"/>
    <w:pPr>
      <w:ind w:left="850"/>
      <w:outlineLvl w:val="0"/>
    </w:pPr>
  </w:style>
  <w:style w:type="paragraph" w:customStyle="1" w:styleId="Text2">
    <w:name w:val="Text 2"/>
    <w:basedOn w:val="Normal"/>
    <w:rsid w:val="00A76CDC"/>
    <w:pPr>
      <w:ind w:left="1417"/>
      <w:outlineLvl w:val="1"/>
    </w:pPr>
  </w:style>
  <w:style w:type="paragraph" w:customStyle="1" w:styleId="Text3">
    <w:name w:val="Text 3"/>
    <w:basedOn w:val="Normal"/>
    <w:rsid w:val="00A76CDC"/>
    <w:pPr>
      <w:ind w:left="1984"/>
      <w:outlineLvl w:val="2"/>
    </w:pPr>
  </w:style>
  <w:style w:type="paragraph" w:customStyle="1" w:styleId="Text4">
    <w:name w:val="Text 4"/>
    <w:basedOn w:val="Normal"/>
    <w:rsid w:val="00A76CDC"/>
    <w:pPr>
      <w:ind w:left="2551"/>
      <w:outlineLvl w:val="3"/>
    </w:pPr>
  </w:style>
  <w:style w:type="paragraph" w:customStyle="1" w:styleId="NormalCentered">
    <w:name w:val="Normal Centered"/>
    <w:basedOn w:val="Normal"/>
    <w:rsid w:val="00A76CDC"/>
    <w:pPr>
      <w:jc w:val="center"/>
    </w:pPr>
  </w:style>
  <w:style w:type="paragraph" w:customStyle="1" w:styleId="NormalLeft">
    <w:name w:val="Normal Left"/>
    <w:basedOn w:val="Normal"/>
    <w:rsid w:val="00A76CDC"/>
  </w:style>
  <w:style w:type="paragraph" w:customStyle="1" w:styleId="NormalRight">
    <w:name w:val="Normal Right"/>
    <w:basedOn w:val="Normal"/>
    <w:rsid w:val="00A76CDC"/>
    <w:pPr>
      <w:jc w:val="right"/>
    </w:pPr>
  </w:style>
  <w:style w:type="paragraph" w:customStyle="1" w:styleId="QuotedText">
    <w:name w:val="Quoted Text"/>
    <w:basedOn w:val="Normal"/>
    <w:rsid w:val="00A76CDC"/>
    <w:pPr>
      <w:ind w:left="1417"/>
    </w:pPr>
  </w:style>
  <w:style w:type="paragraph" w:customStyle="1" w:styleId="Point0">
    <w:name w:val="Point 0"/>
    <w:basedOn w:val="Normal"/>
    <w:rsid w:val="00A76CDC"/>
    <w:pPr>
      <w:ind w:left="850" w:hanging="850"/>
    </w:pPr>
  </w:style>
  <w:style w:type="paragraph" w:customStyle="1" w:styleId="Point1">
    <w:name w:val="Point 1"/>
    <w:basedOn w:val="Normal"/>
    <w:rsid w:val="00A76CDC"/>
    <w:pPr>
      <w:ind w:left="1417" w:hanging="567"/>
      <w:outlineLvl w:val="0"/>
    </w:pPr>
  </w:style>
  <w:style w:type="paragraph" w:customStyle="1" w:styleId="Point2">
    <w:name w:val="Point 2"/>
    <w:basedOn w:val="Normal"/>
    <w:rsid w:val="00A76CDC"/>
    <w:pPr>
      <w:ind w:left="1984" w:hanging="567"/>
      <w:outlineLvl w:val="1"/>
    </w:pPr>
  </w:style>
  <w:style w:type="paragraph" w:customStyle="1" w:styleId="Point3">
    <w:name w:val="Point 3"/>
    <w:basedOn w:val="Normal"/>
    <w:rsid w:val="00A76CDC"/>
    <w:pPr>
      <w:ind w:left="2551" w:hanging="567"/>
      <w:outlineLvl w:val="2"/>
    </w:pPr>
  </w:style>
  <w:style w:type="paragraph" w:customStyle="1" w:styleId="Point4">
    <w:name w:val="Point 4"/>
    <w:basedOn w:val="Normal"/>
    <w:rsid w:val="00A76CDC"/>
    <w:pPr>
      <w:ind w:left="3118" w:hanging="567"/>
      <w:outlineLvl w:val="3"/>
    </w:pPr>
  </w:style>
  <w:style w:type="paragraph" w:customStyle="1" w:styleId="PointDouble0">
    <w:name w:val="PointDouble 0"/>
    <w:basedOn w:val="Normal"/>
    <w:rsid w:val="00A76CDC"/>
    <w:pPr>
      <w:tabs>
        <w:tab w:val="left" w:pos="850"/>
      </w:tabs>
      <w:ind w:left="1417" w:hanging="1417"/>
    </w:pPr>
  </w:style>
  <w:style w:type="paragraph" w:customStyle="1" w:styleId="PointDouble1">
    <w:name w:val="PointDouble 1"/>
    <w:basedOn w:val="Normal"/>
    <w:rsid w:val="00A76CDC"/>
    <w:pPr>
      <w:tabs>
        <w:tab w:val="left" w:pos="1417"/>
      </w:tabs>
      <w:ind w:left="1984" w:hanging="1134"/>
      <w:outlineLvl w:val="0"/>
    </w:pPr>
  </w:style>
  <w:style w:type="paragraph" w:customStyle="1" w:styleId="PointDouble2">
    <w:name w:val="PointDouble 2"/>
    <w:basedOn w:val="Normal"/>
    <w:rsid w:val="00A76CDC"/>
    <w:pPr>
      <w:tabs>
        <w:tab w:val="left" w:pos="1984"/>
      </w:tabs>
      <w:ind w:left="2551" w:hanging="1134"/>
      <w:outlineLvl w:val="1"/>
    </w:pPr>
  </w:style>
  <w:style w:type="paragraph" w:customStyle="1" w:styleId="PointDouble3">
    <w:name w:val="PointDouble 3"/>
    <w:basedOn w:val="Normal"/>
    <w:rsid w:val="00A76CDC"/>
    <w:pPr>
      <w:tabs>
        <w:tab w:val="left" w:pos="2551"/>
      </w:tabs>
      <w:ind w:left="3118" w:hanging="1134"/>
      <w:outlineLvl w:val="2"/>
    </w:pPr>
  </w:style>
  <w:style w:type="paragraph" w:customStyle="1" w:styleId="PointDouble4">
    <w:name w:val="PointDouble 4"/>
    <w:basedOn w:val="Normal"/>
    <w:rsid w:val="00A76CDC"/>
    <w:pPr>
      <w:tabs>
        <w:tab w:val="left" w:pos="3118"/>
      </w:tabs>
      <w:ind w:left="3685" w:hanging="1134"/>
      <w:outlineLvl w:val="3"/>
    </w:pPr>
  </w:style>
  <w:style w:type="paragraph" w:customStyle="1" w:styleId="PointTriple0">
    <w:name w:val="PointTriple 0"/>
    <w:basedOn w:val="Normal"/>
    <w:rsid w:val="00A76CDC"/>
    <w:pPr>
      <w:tabs>
        <w:tab w:val="left" w:pos="850"/>
        <w:tab w:val="left" w:pos="1417"/>
      </w:tabs>
      <w:ind w:left="1984" w:hanging="1984"/>
    </w:pPr>
  </w:style>
  <w:style w:type="paragraph" w:customStyle="1" w:styleId="PointTriple1">
    <w:name w:val="PointTriple 1"/>
    <w:basedOn w:val="Normal"/>
    <w:rsid w:val="00A76CDC"/>
    <w:pPr>
      <w:tabs>
        <w:tab w:val="left" w:pos="1417"/>
        <w:tab w:val="left" w:pos="1984"/>
      </w:tabs>
      <w:ind w:left="2551" w:hanging="1701"/>
      <w:outlineLvl w:val="0"/>
    </w:pPr>
  </w:style>
  <w:style w:type="paragraph" w:customStyle="1" w:styleId="PointTriple2">
    <w:name w:val="PointTriple 2"/>
    <w:basedOn w:val="Normal"/>
    <w:rsid w:val="00A76CDC"/>
    <w:pPr>
      <w:tabs>
        <w:tab w:val="left" w:pos="1984"/>
        <w:tab w:val="left" w:pos="2551"/>
      </w:tabs>
      <w:ind w:left="3118" w:hanging="1701"/>
      <w:outlineLvl w:val="1"/>
    </w:pPr>
  </w:style>
  <w:style w:type="paragraph" w:customStyle="1" w:styleId="PointTriple3">
    <w:name w:val="PointTriple 3"/>
    <w:basedOn w:val="Normal"/>
    <w:rsid w:val="00A76CDC"/>
    <w:pPr>
      <w:tabs>
        <w:tab w:val="left" w:pos="2551"/>
        <w:tab w:val="left" w:pos="3118"/>
      </w:tabs>
      <w:ind w:left="3685" w:hanging="1701"/>
      <w:outlineLvl w:val="2"/>
    </w:pPr>
  </w:style>
  <w:style w:type="paragraph" w:customStyle="1" w:styleId="PointTriple4">
    <w:name w:val="PointTriple 4"/>
    <w:basedOn w:val="Normal"/>
    <w:rsid w:val="00A76CDC"/>
    <w:pPr>
      <w:tabs>
        <w:tab w:val="left" w:pos="3118"/>
        <w:tab w:val="left" w:pos="3685"/>
      </w:tabs>
      <w:ind w:left="4252" w:hanging="1701"/>
      <w:outlineLvl w:val="3"/>
    </w:pPr>
  </w:style>
  <w:style w:type="paragraph" w:customStyle="1" w:styleId="Tiret0">
    <w:name w:val="Tiret 0"/>
    <w:basedOn w:val="Normal"/>
    <w:rsid w:val="00A76CDC"/>
    <w:pPr>
      <w:numPr>
        <w:numId w:val="1"/>
      </w:numPr>
    </w:pPr>
  </w:style>
  <w:style w:type="paragraph" w:customStyle="1" w:styleId="Tiret1">
    <w:name w:val="Tiret 1"/>
    <w:basedOn w:val="Normal"/>
    <w:rsid w:val="00A76CDC"/>
    <w:pPr>
      <w:numPr>
        <w:numId w:val="2"/>
      </w:numPr>
      <w:outlineLvl w:val="0"/>
    </w:pPr>
  </w:style>
  <w:style w:type="paragraph" w:customStyle="1" w:styleId="Tiret2">
    <w:name w:val="Tiret 2"/>
    <w:basedOn w:val="Normal"/>
    <w:rsid w:val="00A76CDC"/>
    <w:pPr>
      <w:numPr>
        <w:numId w:val="3"/>
      </w:numPr>
      <w:outlineLvl w:val="1"/>
    </w:pPr>
  </w:style>
  <w:style w:type="paragraph" w:customStyle="1" w:styleId="Tiret3">
    <w:name w:val="Tiret 3"/>
    <w:basedOn w:val="Normal"/>
    <w:rsid w:val="00A76CDC"/>
    <w:pPr>
      <w:numPr>
        <w:numId w:val="4"/>
      </w:numPr>
      <w:outlineLvl w:val="2"/>
    </w:pPr>
  </w:style>
  <w:style w:type="paragraph" w:customStyle="1" w:styleId="Tiret4">
    <w:name w:val="Tiret 4"/>
    <w:basedOn w:val="Normal"/>
    <w:rsid w:val="00A76CDC"/>
    <w:pPr>
      <w:numPr>
        <w:numId w:val="5"/>
      </w:numPr>
      <w:outlineLvl w:val="3"/>
    </w:pPr>
  </w:style>
  <w:style w:type="paragraph" w:customStyle="1" w:styleId="NumPar1">
    <w:name w:val="NumPar 1"/>
    <w:basedOn w:val="Normal"/>
    <w:next w:val="Text1"/>
    <w:rsid w:val="00A76CDC"/>
    <w:pPr>
      <w:numPr>
        <w:numId w:val="6"/>
      </w:numPr>
      <w:outlineLvl w:val="0"/>
    </w:pPr>
  </w:style>
  <w:style w:type="paragraph" w:customStyle="1" w:styleId="NumPar2">
    <w:name w:val="NumPar 2"/>
    <w:basedOn w:val="Normal"/>
    <w:next w:val="Text1"/>
    <w:rsid w:val="00A76CDC"/>
    <w:pPr>
      <w:numPr>
        <w:ilvl w:val="1"/>
        <w:numId w:val="6"/>
      </w:numPr>
      <w:outlineLvl w:val="1"/>
    </w:pPr>
  </w:style>
  <w:style w:type="paragraph" w:customStyle="1" w:styleId="NumPar3">
    <w:name w:val="NumPar 3"/>
    <w:basedOn w:val="Normal"/>
    <w:next w:val="Text1"/>
    <w:rsid w:val="00A76CDC"/>
    <w:pPr>
      <w:numPr>
        <w:ilvl w:val="2"/>
        <w:numId w:val="6"/>
      </w:numPr>
      <w:outlineLvl w:val="2"/>
    </w:pPr>
  </w:style>
  <w:style w:type="paragraph" w:customStyle="1" w:styleId="NumPar4">
    <w:name w:val="NumPar 4"/>
    <w:basedOn w:val="Normal"/>
    <w:next w:val="Text1"/>
    <w:rsid w:val="00A76CDC"/>
    <w:pPr>
      <w:numPr>
        <w:ilvl w:val="3"/>
        <w:numId w:val="6"/>
      </w:numPr>
      <w:outlineLvl w:val="3"/>
    </w:pPr>
  </w:style>
  <w:style w:type="paragraph" w:customStyle="1" w:styleId="ManualNumPar1">
    <w:name w:val="Manual NumPar 1"/>
    <w:basedOn w:val="Normal"/>
    <w:next w:val="Text1"/>
    <w:rsid w:val="00A76CDC"/>
    <w:pPr>
      <w:ind w:left="850" w:hanging="850"/>
      <w:outlineLvl w:val="0"/>
    </w:pPr>
  </w:style>
  <w:style w:type="paragraph" w:customStyle="1" w:styleId="ManualNumPar2">
    <w:name w:val="Manual NumPar 2"/>
    <w:basedOn w:val="Normal"/>
    <w:next w:val="Text1"/>
    <w:rsid w:val="00A76CDC"/>
    <w:pPr>
      <w:ind w:left="850" w:hanging="850"/>
      <w:outlineLvl w:val="1"/>
    </w:pPr>
  </w:style>
  <w:style w:type="paragraph" w:customStyle="1" w:styleId="ManualNumPar3">
    <w:name w:val="Manual NumPar 3"/>
    <w:basedOn w:val="Normal"/>
    <w:next w:val="Text1"/>
    <w:rsid w:val="00A76CDC"/>
    <w:pPr>
      <w:ind w:left="850" w:hanging="850"/>
      <w:outlineLvl w:val="2"/>
    </w:pPr>
  </w:style>
  <w:style w:type="paragraph" w:customStyle="1" w:styleId="ManualNumPar4">
    <w:name w:val="Manual NumPar 4"/>
    <w:basedOn w:val="Normal"/>
    <w:next w:val="Text1"/>
    <w:rsid w:val="00A76CDC"/>
    <w:pPr>
      <w:ind w:left="850" w:hanging="850"/>
      <w:outlineLvl w:val="3"/>
    </w:pPr>
  </w:style>
  <w:style w:type="paragraph" w:customStyle="1" w:styleId="QuotedNumPar">
    <w:name w:val="Quoted NumPar"/>
    <w:basedOn w:val="Normal"/>
    <w:rsid w:val="00A76CDC"/>
    <w:pPr>
      <w:ind w:left="1417" w:hanging="567"/>
    </w:pPr>
  </w:style>
  <w:style w:type="paragraph" w:customStyle="1" w:styleId="ManualHeading1">
    <w:name w:val="Manual Heading 1"/>
    <w:basedOn w:val="Normal"/>
    <w:next w:val="Text1"/>
    <w:rsid w:val="00A76CDC"/>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A76CDC"/>
    <w:pPr>
      <w:keepNext/>
      <w:tabs>
        <w:tab w:val="left" w:pos="850"/>
      </w:tabs>
      <w:ind w:left="850" w:hanging="850"/>
      <w:outlineLvl w:val="1"/>
    </w:pPr>
    <w:rPr>
      <w:b/>
    </w:rPr>
  </w:style>
  <w:style w:type="paragraph" w:customStyle="1" w:styleId="ManualHeading3">
    <w:name w:val="Manual Heading 3"/>
    <w:basedOn w:val="Normal"/>
    <w:next w:val="Text1"/>
    <w:rsid w:val="00A76CDC"/>
    <w:pPr>
      <w:keepNext/>
      <w:tabs>
        <w:tab w:val="left" w:pos="850"/>
      </w:tabs>
      <w:ind w:left="850" w:hanging="850"/>
      <w:outlineLvl w:val="2"/>
    </w:pPr>
    <w:rPr>
      <w:i/>
    </w:rPr>
  </w:style>
  <w:style w:type="paragraph" w:customStyle="1" w:styleId="ManualHeading4">
    <w:name w:val="Manual Heading 4"/>
    <w:basedOn w:val="Normal"/>
    <w:next w:val="Text1"/>
    <w:rsid w:val="00A76CDC"/>
    <w:pPr>
      <w:keepNext/>
      <w:tabs>
        <w:tab w:val="left" w:pos="850"/>
      </w:tabs>
      <w:ind w:left="850" w:hanging="850"/>
      <w:outlineLvl w:val="3"/>
    </w:pPr>
  </w:style>
  <w:style w:type="paragraph" w:customStyle="1" w:styleId="ChapterTitle">
    <w:name w:val="ChapterTitle"/>
    <w:basedOn w:val="Normal"/>
    <w:next w:val="Normal"/>
    <w:rsid w:val="00A76CDC"/>
    <w:pPr>
      <w:keepNext/>
      <w:spacing w:after="360"/>
      <w:jc w:val="center"/>
    </w:pPr>
    <w:rPr>
      <w:b/>
      <w:sz w:val="32"/>
    </w:rPr>
  </w:style>
  <w:style w:type="paragraph" w:customStyle="1" w:styleId="PartTitle">
    <w:name w:val="PartTitle"/>
    <w:basedOn w:val="Normal"/>
    <w:next w:val="ChapterTitle"/>
    <w:rsid w:val="00A76CDC"/>
    <w:pPr>
      <w:keepNext/>
      <w:pageBreakBefore/>
      <w:spacing w:after="360"/>
      <w:jc w:val="center"/>
    </w:pPr>
    <w:rPr>
      <w:b/>
      <w:sz w:val="36"/>
    </w:rPr>
  </w:style>
  <w:style w:type="paragraph" w:customStyle="1" w:styleId="SectionTitle">
    <w:name w:val="SectionTitle"/>
    <w:basedOn w:val="Normal"/>
    <w:next w:val="Heading1"/>
    <w:rsid w:val="00A76CDC"/>
    <w:pPr>
      <w:keepNext/>
      <w:spacing w:after="360"/>
      <w:jc w:val="center"/>
    </w:pPr>
    <w:rPr>
      <w:b/>
      <w:smallCaps/>
      <w:sz w:val="28"/>
    </w:rPr>
  </w:style>
  <w:style w:type="paragraph" w:customStyle="1" w:styleId="TableTitle">
    <w:name w:val="Table Title"/>
    <w:basedOn w:val="Normal"/>
    <w:next w:val="Normal"/>
    <w:rsid w:val="00A76CDC"/>
    <w:pPr>
      <w:jc w:val="center"/>
    </w:pPr>
    <w:rPr>
      <w:b/>
    </w:rPr>
  </w:style>
  <w:style w:type="paragraph" w:customStyle="1" w:styleId="Point0number">
    <w:name w:val="Point 0 (number)"/>
    <w:basedOn w:val="Normal"/>
    <w:rsid w:val="00A76CDC"/>
    <w:pPr>
      <w:numPr>
        <w:numId w:val="8"/>
      </w:numPr>
    </w:pPr>
  </w:style>
  <w:style w:type="paragraph" w:customStyle="1" w:styleId="Point1number">
    <w:name w:val="Point 1 (number)"/>
    <w:basedOn w:val="Normal"/>
    <w:rsid w:val="00A76CDC"/>
    <w:pPr>
      <w:numPr>
        <w:ilvl w:val="2"/>
        <w:numId w:val="8"/>
      </w:numPr>
      <w:outlineLvl w:val="0"/>
    </w:pPr>
  </w:style>
  <w:style w:type="paragraph" w:customStyle="1" w:styleId="Point2number">
    <w:name w:val="Point 2 (number)"/>
    <w:basedOn w:val="Normal"/>
    <w:rsid w:val="00A76CDC"/>
    <w:pPr>
      <w:numPr>
        <w:ilvl w:val="4"/>
        <w:numId w:val="8"/>
      </w:numPr>
      <w:outlineLvl w:val="1"/>
    </w:pPr>
  </w:style>
  <w:style w:type="paragraph" w:customStyle="1" w:styleId="Point3number">
    <w:name w:val="Point 3 (number)"/>
    <w:basedOn w:val="Normal"/>
    <w:rsid w:val="00A76CDC"/>
    <w:pPr>
      <w:numPr>
        <w:ilvl w:val="6"/>
        <w:numId w:val="8"/>
      </w:numPr>
      <w:outlineLvl w:val="2"/>
    </w:pPr>
  </w:style>
  <w:style w:type="paragraph" w:customStyle="1" w:styleId="Point0letter">
    <w:name w:val="Point 0 (letter)"/>
    <w:basedOn w:val="Normal"/>
    <w:rsid w:val="00A76CDC"/>
    <w:pPr>
      <w:numPr>
        <w:ilvl w:val="1"/>
        <w:numId w:val="8"/>
      </w:numPr>
    </w:pPr>
  </w:style>
  <w:style w:type="paragraph" w:customStyle="1" w:styleId="Point1letter">
    <w:name w:val="Point 1 (letter)"/>
    <w:basedOn w:val="Normal"/>
    <w:rsid w:val="00A76CDC"/>
    <w:pPr>
      <w:numPr>
        <w:ilvl w:val="3"/>
        <w:numId w:val="8"/>
      </w:numPr>
      <w:outlineLvl w:val="0"/>
    </w:pPr>
  </w:style>
  <w:style w:type="paragraph" w:customStyle="1" w:styleId="Point2letter">
    <w:name w:val="Point 2 (letter)"/>
    <w:basedOn w:val="Normal"/>
    <w:rsid w:val="00A76CDC"/>
    <w:pPr>
      <w:numPr>
        <w:ilvl w:val="5"/>
        <w:numId w:val="8"/>
      </w:numPr>
      <w:outlineLvl w:val="1"/>
    </w:pPr>
  </w:style>
  <w:style w:type="paragraph" w:customStyle="1" w:styleId="Point3letter">
    <w:name w:val="Point 3 (letter)"/>
    <w:basedOn w:val="Normal"/>
    <w:rsid w:val="00A76CDC"/>
    <w:pPr>
      <w:numPr>
        <w:ilvl w:val="7"/>
        <w:numId w:val="8"/>
      </w:numPr>
      <w:outlineLvl w:val="2"/>
    </w:pPr>
  </w:style>
  <w:style w:type="paragraph" w:customStyle="1" w:styleId="Point4letter">
    <w:name w:val="Point 4 (letter)"/>
    <w:basedOn w:val="Normal"/>
    <w:rsid w:val="00A76CDC"/>
    <w:pPr>
      <w:numPr>
        <w:ilvl w:val="8"/>
        <w:numId w:val="8"/>
      </w:numPr>
      <w:outlineLvl w:val="3"/>
    </w:pPr>
  </w:style>
  <w:style w:type="paragraph" w:customStyle="1" w:styleId="Bullet0">
    <w:name w:val="Bullet 0"/>
    <w:basedOn w:val="Normal"/>
    <w:rsid w:val="00A76CDC"/>
    <w:pPr>
      <w:numPr>
        <w:numId w:val="9"/>
      </w:numPr>
    </w:pPr>
  </w:style>
  <w:style w:type="paragraph" w:customStyle="1" w:styleId="Bullet1">
    <w:name w:val="Bullet 1"/>
    <w:basedOn w:val="Normal"/>
    <w:rsid w:val="00A76CDC"/>
    <w:pPr>
      <w:numPr>
        <w:numId w:val="10"/>
      </w:numPr>
      <w:outlineLvl w:val="0"/>
    </w:pPr>
  </w:style>
  <w:style w:type="paragraph" w:customStyle="1" w:styleId="Bullet2">
    <w:name w:val="Bullet 2"/>
    <w:basedOn w:val="Normal"/>
    <w:rsid w:val="00A76CDC"/>
    <w:pPr>
      <w:numPr>
        <w:numId w:val="11"/>
      </w:numPr>
      <w:outlineLvl w:val="1"/>
    </w:pPr>
  </w:style>
  <w:style w:type="paragraph" w:customStyle="1" w:styleId="Bullet3">
    <w:name w:val="Bullet 3"/>
    <w:basedOn w:val="Normal"/>
    <w:rsid w:val="00A76CDC"/>
    <w:pPr>
      <w:numPr>
        <w:numId w:val="12"/>
      </w:numPr>
      <w:outlineLvl w:val="2"/>
    </w:pPr>
  </w:style>
  <w:style w:type="paragraph" w:customStyle="1" w:styleId="Bullet4">
    <w:name w:val="Bullet 4"/>
    <w:basedOn w:val="Normal"/>
    <w:rsid w:val="00A76CDC"/>
    <w:pPr>
      <w:numPr>
        <w:numId w:val="13"/>
      </w:numPr>
      <w:outlineLvl w:val="3"/>
    </w:pPr>
  </w:style>
  <w:style w:type="character" w:customStyle="1" w:styleId="Marker">
    <w:name w:val="Marker"/>
    <w:rsid w:val="00A76CDC"/>
    <w:rPr>
      <w:color w:val="0000FF"/>
      <w:shd w:val="clear" w:color="auto" w:fill="auto"/>
    </w:rPr>
  </w:style>
  <w:style w:type="character" w:customStyle="1" w:styleId="Marker1">
    <w:name w:val="Marker1"/>
    <w:rsid w:val="00A76CDC"/>
    <w:rPr>
      <w:color w:val="008000"/>
      <w:shd w:val="clear" w:color="auto" w:fill="auto"/>
    </w:rPr>
  </w:style>
  <w:style w:type="paragraph" w:customStyle="1" w:styleId="FinalLine">
    <w:name w:val="Final Line"/>
    <w:basedOn w:val="Normal"/>
    <w:next w:val="Normal"/>
    <w:rsid w:val="00A76CDC"/>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A76CDC"/>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link w:val="TechnicalBlockChar"/>
    <w:rsid w:val="00A76CDC"/>
    <w:pPr>
      <w:spacing w:before="0"/>
      <w:jc w:val="center"/>
    </w:pPr>
  </w:style>
  <w:style w:type="paragraph" w:customStyle="1" w:styleId="FooterCouncil">
    <w:name w:val="Footer Council"/>
    <w:basedOn w:val="Normal"/>
    <w:rsid w:val="00A76CDC"/>
    <w:pPr>
      <w:spacing w:before="0" w:after="0"/>
    </w:pPr>
    <w:rPr>
      <w:sz w:val="2"/>
    </w:rPr>
  </w:style>
  <w:style w:type="paragraph" w:customStyle="1" w:styleId="HeaderCouncil">
    <w:name w:val="Header Council"/>
    <w:basedOn w:val="Normal"/>
    <w:rsid w:val="00A76CDC"/>
    <w:pPr>
      <w:spacing w:before="0" w:after="0"/>
    </w:pPr>
    <w:rPr>
      <w:sz w:val="2"/>
    </w:rPr>
  </w:style>
  <w:style w:type="paragraph" w:customStyle="1" w:styleId="HeaderCouncilLarge">
    <w:name w:val="Header Council Large"/>
    <w:basedOn w:val="Normal"/>
    <w:link w:val="HeaderCouncilLargeChar"/>
    <w:rsid w:val="000D3E4C"/>
    <w:pPr>
      <w:spacing w:before="0" w:after="440"/>
      <w:ind w:left="-1134" w:right="-1134"/>
    </w:pPr>
    <w:rPr>
      <w:sz w:val="2"/>
    </w:rPr>
  </w:style>
  <w:style w:type="character" w:customStyle="1" w:styleId="TechnicalBlockChar">
    <w:name w:val="Technical Block Char"/>
    <w:link w:val="TechnicalBlock"/>
    <w:rsid w:val="000D3E4C"/>
    <w:rPr>
      <w:sz w:val="24"/>
      <w:szCs w:val="24"/>
      <w:lang w:eastAsia="fr-FR"/>
    </w:rPr>
  </w:style>
  <w:style w:type="character" w:customStyle="1" w:styleId="HeaderCouncilLargeChar">
    <w:name w:val="Header Council Large Char"/>
    <w:link w:val="HeaderCouncilLarge"/>
    <w:rsid w:val="000D3E4C"/>
    <w:rPr>
      <w:sz w:val="2"/>
      <w:szCs w:val="24"/>
    </w:rPr>
  </w:style>
  <w:style w:type="paragraph" w:customStyle="1" w:styleId="FooterText">
    <w:name w:val="Footer Text"/>
    <w:basedOn w:val="Normal"/>
    <w:rsid w:val="000D3E4C"/>
    <w:pPr>
      <w:spacing w:before="0" w:after="0"/>
    </w:pPr>
  </w:style>
  <w:style w:type="paragraph" w:customStyle="1" w:styleId="FooterAddressText">
    <w:name w:val="Footer Address Text"/>
    <w:basedOn w:val="FooterText"/>
    <w:qFormat/>
    <w:rsid w:val="000D3E4C"/>
    <w:pPr>
      <w:jc w:val="center"/>
    </w:pPr>
    <w:rPr>
      <w:spacing w:val="10"/>
      <w:sz w:val="16"/>
      <w:szCs w:val="16"/>
    </w:rPr>
  </w:style>
  <w:style w:type="character" w:styleId="Hyperlink">
    <w:name w:val="Hyperlink"/>
    <w:unhideWhenUsed/>
    <w:qFormat/>
    <w:rsid w:val="000D3E4C"/>
    <w:rPr>
      <w:color w:val="0000FF"/>
      <w:u w:val="single"/>
    </w:rPr>
  </w:style>
  <w:style w:type="paragraph" w:customStyle="1" w:styleId="HeaderText">
    <w:name w:val="Header Text"/>
    <w:basedOn w:val="Normal"/>
    <w:rsid w:val="000D3E4C"/>
    <w:pPr>
      <w:spacing w:before="0" w:after="0"/>
    </w:pPr>
  </w:style>
  <w:style w:type="paragraph" w:customStyle="1" w:styleId="EntEmet">
    <w:name w:val="EntEmet"/>
    <w:basedOn w:val="Normal"/>
    <w:rsid w:val="00E401F0"/>
    <w:pPr>
      <w:widowControl w:val="0"/>
      <w:tabs>
        <w:tab w:val="left" w:pos="284"/>
        <w:tab w:val="left" w:pos="567"/>
        <w:tab w:val="left" w:pos="851"/>
        <w:tab w:val="left" w:pos="1134"/>
        <w:tab w:val="left" w:pos="1418"/>
      </w:tabs>
      <w:spacing w:before="40" w:after="0"/>
    </w:pPr>
    <w:rPr>
      <w:szCs w:val="20"/>
    </w:rPr>
  </w:style>
  <w:style w:type="paragraph" w:customStyle="1" w:styleId="Default">
    <w:name w:val="Default"/>
    <w:rsid w:val="00E401F0"/>
    <w:pPr>
      <w:autoSpaceDE w:val="0"/>
      <w:autoSpaceDN w:val="0"/>
      <w:adjustRightInd w:val="0"/>
    </w:pPr>
    <w:rPr>
      <w:rFonts w:ascii="Arial" w:eastAsia="Calibri" w:hAnsi="Arial" w:cs="Arial"/>
      <w:color w:val="000000"/>
      <w:sz w:val="24"/>
      <w:szCs w:val="24"/>
    </w:rPr>
  </w:style>
  <w:style w:type="character" w:customStyle="1" w:styleId="Heading2Char">
    <w:name w:val="Heading 2 Char"/>
    <w:link w:val="Heading2"/>
    <w:rsid w:val="006D60A3"/>
    <w:rPr>
      <w:b/>
      <w:bCs/>
      <w:iCs/>
      <w:sz w:val="24"/>
      <w:szCs w:val="28"/>
      <w:lang w:eastAsia="fr-FR"/>
    </w:rPr>
  </w:style>
  <w:style w:type="paragraph" w:customStyle="1" w:styleId="Sub-sub-itemapproved">
    <w:name w:val="Sub-sub-item approved"/>
    <w:basedOn w:val="Tiret0"/>
    <w:rsid w:val="005A2A4F"/>
    <w:pPr>
      <w:numPr>
        <w:numId w:val="0"/>
      </w:numPr>
      <w:ind w:left="850" w:hanging="850"/>
    </w:pPr>
    <w:rPr>
      <w:b/>
      <w:bCs/>
      <w:i/>
      <w:iCs/>
    </w:rPr>
  </w:style>
  <w:style w:type="paragraph" w:customStyle="1" w:styleId="noItalic">
    <w:name w:val="noItalic"/>
    <w:basedOn w:val="Tiret0"/>
    <w:rsid w:val="005A2A4F"/>
    <w:pPr>
      <w:numPr>
        <w:numId w:val="18"/>
      </w:numPr>
      <w:spacing w:before="0" w:after="120"/>
    </w:pPr>
    <w:rPr>
      <w:b/>
      <w:bCs/>
      <w:i/>
      <w:iC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sid w:val="00D0185A"/>
    <w:rPr>
      <w:lang w:eastAsia="fr-FR"/>
    </w:rPr>
  </w:style>
  <w:style w:type="paragraph" w:styleId="CommentSubject">
    <w:name w:val="annotation subject"/>
    <w:basedOn w:val="CommentText"/>
    <w:next w:val="CommentText"/>
    <w:link w:val="CommentSubjectChar"/>
    <w:uiPriority w:val="99"/>
    <w:semiHidden/>
    <w:unhideWhenUsed/>
    <w:rsid w:val="00D0185A"/>
    <w:rPr>
      <w:b/>
      <w:bCs/>
    </w:rPr>
  </w:style>
  <w:style w:type="character" w:customStyle="1" w:styleId="CommentSubjectChar">
    <w:name w:val="Comment Subject Char"/>
    <w:link w:val="CommentSubject"/>
    <w:uiPriority w:val="99"/>
    <w:semiHidden/>
    <w:rsid w:val="00D0185A"/>
    <w:rPr>
      <w:b/>
      <w:bCs/>
      <w:lang w:eastAsia="fr-FR"/>
    </w:rPr>
  </w:style>
  <w:style w:type="paragraph" w:styleId="BalloonText">
    <w:name w:val="Balloon Text"/>
    <w:basedOn w:val="Normal"/>
    <w:link w:val="BalloonTextChar"/>
    <w:uiPriority w:val="99"/>
    <w:semiHidden/>
    <w:unhideWhenUsed/>
    <w:rsid w:val="00D0185A"/>
    <w:pPr>
      <w:spacing w:before="0" w:after="0"/>
    </w:pPr>
    <w:rPr>
      <w:rFonts w:ascii="Tahoma" w:hAnsi="Tahoma" w:cs="Tahoma"/>
      <w:sz w:val="16"/>
      <w:szCs w:val="16"/>
    </w:rPr>
  </w:style>
  <w:style w:type="character" w:customStyle="1" w:styleId="BalloonTextChar">
    <w:name w:val="Balloon Text Char"/>
    <w:link w:val="BalloonText"/>
    <w:uiPriority w:val="99"/>
    <w:semiHidden/>
    <w:rsid w:val="00D0185A"/>
    <w:rPr>
      <w:rFonts w:ascii="Tahoma" w:hAnsi="Tahoma" w:cs="Tahoma"/>
      <w:sz w:val="16"/>
      <w:szCs w:val="16"/>
      <w:lang w:eastAsia="fr-FR"/>
    </w:rPr>
  </w:style>
  <w:style w:type="character" w:customStyle="1" w:styleId="FooterChar">
    <w:name w:val="Footer Char"/>
    <w:link w:val="Footer"/>
    <w:rsid w:val="0094264F"/>
    <w:rPr>
      <w:sz w:val="24"/>
      <w:szCs w:val="24"/>
    </w:rPr>
  </w:style>
  <w:style w:type="character" w:customStyle="1" w:styleId="HeaderChar">
    <w:name w:val="Header Char"/>
    <w:link w:val="Header"/>
    <w:rsid w:val="0094264F"/>
    <w:rPr>
      <w:sz w:val="24"/>
      <w:szCs w:val="24"/>
    </w:rPr>
  </w:style>
  <w:style w:type="character" w:styleId="FollowedHyperlink">
    <w:name w:val="FollowedHyperlink"/>
    <w:basedOn w:val="DefaultParagraphFont"/>
    <w:uiPriority w:val="99"/>
    <w:semiHidden/>
    <w:unhideWhenUsed/>
    <w:rsid w:val="00FE42A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header" Target="header11.xml"/><Relationship Id="rId21" Type="http://schemas.openxmlformats.org/officeDocument/2006/relationships/header" Target="header7.xml"/><Relationship Id="rId34" Type="http://schemas.openxmlformats.org/officeDocument/2006/relationships/hyperlink" Target="http://register.consilium.europa.eu/pdf/fr/14/st15/st15441.fr14.pdf" TargetMode="External"/><Relationship Id="rId42" Type="http://schemas.openxmlformats.org/officeDocument/2006/relationships/footer" Target="footer11.xml"/><Relationship Id="rId47" Type="http://schemas.openxmlformats.org/officeDocument/2006/relationships/hyperlink" Target="http://register.consilium.europa.eu/pdf/en/14/st15/st15424.en14.pdf" TargetMode="External"/><Relationship Id="rId50" Type="http://schemas.openxmlformats.org/officeDocument/2006/relationships/hyperlink" Target="http://register.consilium.europa.eu/pdf/fr/14/st15/st15708.fr14.pdf" TargetMode="External"/><Relationship Id="rId55"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yperlink" Target="http://register.consilium.europa.eu/pdf/fr/14/st15/st15090.fr14.pdf" TargetMode="External"/><Relationship Id="rId38" Type="http://schemas.openxmlformats.org/officeDocument/2006/relationships/hyperlink" Target="http://data.consilium.europa.eu/doc/document/ST-15553-2014-INIT/x/pdf" TargetMode="External"/><Relationship Id="rId46" Type="http://schemas.openxmlformats.org/officeDocument/2006/relationships/hyperlink" Target="http://register.consilium.europa.eu/pdf/fr/14/st15/st15897.fr14.pdf" TargetMode="Externa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29" Type="http://schemas.openxmlformats.org/officeDocument/2006/relationships/hyperlink" Target="http://register.consilium.europa.eu/pdf/en/14/st15/st15881.en14.pdf" TargetMode="External"/><Relationship Id="rId41" Type="http://schemas.openxmlformats.org/officeDocument/2006/relationships/header" Target="header12.xml"/><Relationship Id="rId54" Type="http://schemas.openxmlformats.org/officeDocument/2006/relationships/footer" Target="footer1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yperlink" Target="http://register.consilium.europa.eu/pdf/fr/14/st15/st15480.fr14.pdf" TargetMode="External"/><Relationship Id="rId37" Type="http://schemas.openxmlformats.org/officeDocument/2006/relationships/hyperlink" Target="http://data.consilium.europa.eu/doc/document/ST-15513-2014-INIT/x/pdf" TargetMode="External"/><Relationship Id="rId40" Type="http://schemas.openxmlformats.org/officeDocument/2006/relationships/footer" Target="footer10.xml"/><Relationship Id="rId45" Type="http://schemas.openxmlformats.org/officeDocument/2006/relationships/hyperlink" Target="http://www.unece.org/env/teia/cop8.html" TargetMode="External"/><Relationship Id="rId53" Type="http://schemas.openxmlformats.org/officeDocument/2006/relationships/header" Target="header14.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oter" Target="footer9.xml"/><Relationship Id="rId36" Type="http://schemas.openxmlformats.org/officeDocument/2006/relationships/hyperlink" Target="http://register.consilium.europa.eu/pdf/en/14/st15/st15979.en14.pdf" TargetMode="External"/><Relationship Id="rId49" Type="http://schemas.openxmlformats.org/officeDocument/2006/relationships/hyperlink" Target="http://register.consilium.europa.eu/pdf/fr/14/st14/st14484.fr14.pdf" TargetMode="External"/><Relationship Id="rId10" Type="http://schemas.openxmlformats.org/officeDocument/2006/relationships/header" Target="header1.xml"/><Relationship Id="rId19" Type="http://schemas.openxmlformats.org/officeDocument/2006/relationships/header" Target="header6.xml"/><Relationship Id="rId31" Type="http://schemas.openxmlformats.org/officeDocument/2006/relationships/hyperlink" Target="http://register.consilium.europa.eu/pdf/fr/12/st14/st14499.fr12.pdf" TargetMode="External"/><Relationship Id="rId44" Type="http://schemas.openxmlformats.org/officeDocument/2006/relationships/hyperlink" Target="http://register.consilium.europa.eu/pdf/fr/14/st15/st15663.fr14.pdf" TargetMode="External"/><Relationship Id="rId52" Type="http://schemas.openxmlformats.org/officeDocument/2006/relationships/footer" Target="footer12.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header" Target="header10.xml"/><Relationship Id="rId30" Type="http://schemas.openxmlformats.org/officeDocument/2006/relationships/hyperlink" Target="http://register.consilium.europa.eu/pdf/fr/12/st14/st14493.fr12.pdf" TargetMode="External"/><Relationship Id="rId35" Type="http://schemas.openxmlformats.org/officeDocument/2006/relationships/hyperlink" Target="http://register.consilium.europa.eu/pdf/fr/14/st15/st15838.fr14.pdf" TargetMode="External"/><Relationship Id="rId43" Type="http://schemas.openxmlformats.org/officeDocument/2006/relationships/hyperlink" Target="http://register.consilium.europa.eu/pdf/fr/14/st15/st15610.fr14.pdf" TargetMode="External"/><Relationship Id="rId48" Type="http://schemas.openxmlformats.org/officeDocument/2006/relationships/hyperlink" Target="http://register.consilium.europa.eu/pdf/fr/14/st15/st15679.fr14.pdf" TargetMode="External"/><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eader" Target="header13.xml"/><Relationship Id="rId3" Type="http://schemas.openxmlformats.org/officeDocument/2006/relationships/styles" Target="styles.xml"/></Relationships>
</file>

<file path=word/_rels/footer3.xml.rels><?xml version="1.0" encoding="UTF-8" standalone="yes"?>
<Relationships xmlns="http://schemas.openxmlformats.org/package/2006/relationships"><Relationship Id="rId2" Type="http://schemas.openxmlformats.org/officeDocument/2006/relationships/hyperlink" Target="http://www.consilium.europa.eu/press" TargetMode="External"/><Relationship Id="rId1" Type="http://schemas.openxmlformats.org/officeDocument/2006/relationships/hyperlink" Target="mailto:press.office@consilium.europa.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PRM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E84552-668E-4C05-B737-76F778A78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DW_PRMEET.dotm</Template>
  <TotalTime>0</TotalTime>
  <Pages>14</Pages>
  <Words>3389</Words>
  <Characters>19319</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22663</CharactersWithSpaces>
  <SharedDoc>false</SharedDoc>
  <HLinks>
    <vt:vector size="12" baseType="variant">
      <vt:variant>
        <vt:i4>1114187</vt:i4>
      </vt:variant>
      <vt:variant>
        <vt:i4>6</vt:i4>
      </vt:variant>
      <vt:variant>
        <vt:i4>0</vt:i4>
      </vt:variant>
      <vt:variant>
        <vt:i4>5</vt:i4>
      </vt:variant>
      <vt:variant>
        <vt:lpwstr>http://www.consilium.europa.eu/press</vt:lpwstr>
      </vt:variant>
      <vt:variant>
        <vt:lpwstr/>
      </vt:variant>
      <vt:variant>
        <vt:i4>1769510</vt:i4>
      </vt:variant>
      <vt:variant>
        <vt:i4>3</vt:i4>
      </vt:variant>
      <vt:variant>
        <vt:i4>0</vt:i4>
      </vt:variant>
      <vt:variant>
        <vt:i4>5</vt:i4>
      </vt:variant>
      <vt:variant>
        <vt:lpwstr>mailto:press.office@consilium.europa.eu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MADEJ Anna</dc:creator>
  <cp:lastModifiedBy>CHAUVAUX Anne</cp:lastModifiedBy>
  <cp:revision>2</cp:revision>
  <cp:lastPrinted>2015-02-09T13:49:00Z</cp:lastPrinted>
  <dcterms:created xsi:type="dcterms:W3CDTF">2015-02-09T14:07:00Z</dcterms:created>
  <dcterms:modified xsi:type="dcterms:W3CDTF">2015-02-09T14:07:00Z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3.2.3, Build 20141104</vt:lpwstr>
  </property>
  <property fmtid="{D5CDD505-2E9C-101B-9397-08002B2CF9AE}" pid="4" name="Last edited using">
    <vt:lpwstr>DocuWrite 3.4.3, Build 20150129</vt:lpwstr>
  </property>
</Properties>
</file>