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4C3" w:rsidRPr="00421302" w:rsidRDefault="003178D4" w:rsidP="0042130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d14be31-3807-41f0-ac91-2fffcb4c0ab0" style="width:573.75pt;height:413.25pt">
            <v:imagedata r:id="rId9" o:title=""/>
          </v:shape>
        </w:pict>
      </w:r>
      <w:bookmarkEnd w:id="0"/>
    </w:p>
    <w:p w:rsidR="00B53E9F" w:rsidRPr="008E42F7" w:rsidRDefault="00B53E9F" w:rsidP="00B53E9F">
      <w:pPr>
        <w:pStyle w:val="TechnicalBlock"/>
        <w:ind w:left="-1134" w:right="-1134"/>
        <w:sectPr w:rsidR="00B53E9F" w:rsidRPr="008E42F7" w:rsidSect="00A01E3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9855"/>
      </w:tblGrid>
      <w:tr w:rsidR="00B53E9F" w:rsidRPr="008E42F7" w:rsidTr="00B53E9F">
        <w:tc>
          <w:tcPr>
            <w:tcW w:w="9855" w:type="dxa"/>
            <w:shd w:val="pct10" w:color="auto" w:fill="FFFFFF"/>
          </w:tcPr>
          <w:p w:rsidR="00B53E9F" w:rsidRPr="008E42F7" w:rsidRDefault="00B53E9F" w:rsidP="005A6527">
            <w:pPr>
              <w:pStyle w:val="MainResultsHeading"/>
              <w:spacing w:before="600" w:after="480"/>
            </w:pPr>
            <w:r w:rsidRPr="008E42F7">
              <w:lastRenderedPageBreak/>
              <w:t>Основни резултати от заседанието на Съвета</w:t>
            </w:r>
          </w:p>
          <w:p w:rsidR="00D174C3" w:rsidRPr="008E42F7" w:rsidRDefault="00D174C3" w:rsidP="00321EC8">
            <w:pPr>
              <w:rPr>
                <w:i/>
                <w:iCs/>
              </w:rPr>
            </w:pPr>
            <w:r w:rsidRPr="008E42F7">
              <w:rPr>
                <w:i/>
              </w:rPr>
              <w:t>Съветът прие две важни мерки в подкрепа на усилията на ЕС за предотвратяване на данъчните измами и избягването на данъци.</w:t>
            </w:r>
          </w:p>
          <w:p w:rsidR="00D174C3" w:rsidRPr="008E42F7" w:rsidRDefault="00D174C3" w:rsidP="00321EC8">
            <w:pPr>
              <w:rPr>
                <w:i/>
                <w:iCs/>
              </w:rPr>
            </w:pPr>
            <w:r w:rsidRPr="008E42F7">
              <w:rPr>
                <w:i/>
              </w:rPr>
              <w:t xml:space="preserve">Съветът постигна съгласие по обща клауза за борба със злоупотребите, която да бъде въведена в директивата за дружествата майки и дъщерните дружества като част от усилията за борба срещу </w:t>
            </w:r>
            <w:r w:rsidRPr="008E42F7">
              <w:rPr>
                <w:b/>
                <w:i/>
              </w:rPr>
              <w:t>избягването на</w:t>
            </w:r>
            <w:r w:rsidRPr="008E42F7">
              <w:rPr>
                <w:i/>
              </w:rPr>
              <w:t xml:space="preserve"> </w:t>
            </w:r>
            <w:r w:rsidRPr="008E42F7">
              <w:rPr>
                <w:b/>
                <w:i/>
              </w:rPr>
              <w:t>корпоративното данъчно облагане</w:t>
            </w:r>
            <w:r w:rsidRPr="008E42F7">
              <w:rPr>
                <w:i/>
              </w:rPr>
              <w:t>. По този начин правителствата ще се въздържат да предоставят предимствата на директивата на договорености, създадени единствено с цел получаването на данъчно предимство.</w:t>
            </w:r>
          </w:p>
          <w:p w:rsidR="00D174C3" w:rsidRPr="008E42F7" w:rsidRDefault="00D174C3" w:rsidP="00321EC8">
            <w:pPr>
              <w:rPr>
                <w:i/>
                <w:iCs/>
              </w:rPr>
            </w:pPr>
            <w:r w:rsidRPr="008E42F7">
              <w:rPr>
                <w:i/>
              </w:rPr>
              <w:t xml:space="preserve">Съветът прие директива за разширяване на задължителния автоматичен обмен на информация между националните данъчни органи, за да се предотвратят </w:t>
            </w:r>
            <w:r w:rsidRPr="008E42F7">
              <w:rPr>
                <w:b/>
                <w:i/>
              </w:rPr>
              <w:t>укриването на данъци и данъчните измами</w:t>
            </w:r>
            <w:r w:rsidRPr="008E42F7">
              <w:rPr>
                <w:i/>
              </w:rPr>
              <w:t xml:space="preserve"> от страна на индивидуални данъкоплатци. С директивата се цели да се предвидят мерки в случаите, при които данъчно задължено лице се опитва да укрие капитал в чужбина или активи, за които се дължи данък. С директивата се отчита световен стандарт, разработен от Организация за икономическо сътрудничество и развитие и подкрепен от Г-20.</w:t>
            </w:r>
          </w:p>
          <w:p w:rsidR="00D174C3" w:rsidRPr="008E42F7" w:rsidRDefault="00D174C3" w:rsidP="002C0232">
            <w:pPr>
              <w:rPr>
                <w:i/>
              </w:rPr>
            </w:pPr>
            <w:r w:rsidRPr="008E42F7">
              <w:rPr>
                <w:i/>
              </w:rPr>
              <w:t xml:space="preserve">Съветът постигна съгласие по проект за регламент за изчисляване на вноските, платими от банките, в </w:t>
            </w:r>
            <w:r w:rsidRPr="008E42F7">
              <w:rPr>
                <w:b/>
                <w:i/>
              </w:rPr>
              <w:t>единния фонд за преструктуриране</w:t>
            </w:r>
            <w:r w:rsidRPr="008E42F7">
              <w:rPr>
                <w:i/>
              </w:rPr>
              <w:t xml:space="preserve"> на ЕС. Фондът се създава съгласно единния механизъм за преструктуриране, който беше създаден, за да се гарантира организираното преструктуриране на неплатежоспособни банки.</w:t>
            </w:r>
          </w:p>
          <w:p w:rsidR="00D174C3" w:rsidRPr="008E42F7" w:rsidRDefault="00D174C3" w:rsidP="00D174C3">
            <w:pPr>
              <w:rPr>
                <w:i/>
                <w:iCs/>
              </w:rPr>
            </w:pPr>
            <w:r w:rsidRPr="008E42F7">
              <w:rPr>
                <w:i/>
              </w:rPr>
              <w:t xml:space="preserve">Министрите направиха преглед на напредъка относно мерките за създаване на трайни условия за устойчив растеж и работни места в ЕС. Съветът прие заключения относно </w:t>
            </w:r>
            <w:r w:rsidRPr="008E42F7">
              <w:rPr>
                <w:b/>
                <w:i/>
              </w:rPr>
              <w:t>финансирането за растеж</w:t>
            </w:r>
            <w:r w:rsidRPr="008E42F7">
              <w:rPr>
                <w:i/>
              </w:rPr>
              <w:t xml:space="preserve"> и дългосрочното финансиране на европейската икономика.</w:t>
            </w:r>
          </w:p>
          <w:p w:rsidR="00D174C3" w:rsidRPr="008E42F7" w:rsidRDefault="00D174C3" w:rsidP="002C0232">
            <w:pPr>
              <w:rPr>
                <w:i/>
                <w:iCs/>
              </w:rPr>
            </w:pPr>
            <w:r w:rsidRPr="008E42F7">
              <w:rPr>
                <w:i/>
              </w:rPr>
              <w:t xml:space="preserve">Съветът обсъди предложение за план за </w:t>
            </w:r>
            <w:r w:rsidRPr="008E42F7">
              <w:rPr>
                <w:b/>
                <w:i/>
              </w:rPr>
              <w:t>инвестиции</w:t>
            </w:r>
            <w:r w:rsidRPr="008E42F7">
              <w:rPr>
                <w:i/>
              </w:rPr>
              <w:t>, както и дейността на работната група, създадена с цел идентифициране на потенциално жизнеспособни проекти в сферата на инвестициите. В плана за инвестиции на Комисията в размер на 315 милиарда евро се предвижда създаването на Европейски фонд за стратегически инвестиции през 2015 г. Ролята на Фонда е да се осигури по-голям капацитет за поемане на риск, който да допринесе за отключването на инвестиции в сферата на енергетиката, широколентовия интернет и транспортната инфраструктура, образованието, научните изследвания и иновациите, енергията от възобновяеми източници и енергийната ефективност, както и да подкрепи рисковото финансиране за МСП.</w:t>
            </w:r>
          </w:p>
        </w:tc>
      </w:tr>
    </w:tbl>
    <w:p w:rsidR="00225887" w:rsidRPr="008E42F7" w:rsidRDefault="00225887" w:rsidP="00B53E9F">
      <w:pPr>
        <w:sectPr w:rsidR="00225887" w:rsidRPr="008E42F7" w:rsidSect="00A01E31">
          <w:headerReference w:type="even" r:id="rId16"/>
          <w:headerReference w:type="default" r:id="rId17"/>
          <w:footerReference w:type="even" r:id="rId18"/>
          <w:headerReference w:type="first" r:id="rId19"/>
          <w:footerReference w:type="first" r:id="rId20"/>
          <w:footnotePr>
            <w:numRestart w:val="eachPage"/>
          </w:footnotePr>
          <w:pgSz w:w="11907" w:h="16840" w:code="9"/>
          <w:pgMar w:top="1134" w:right="1134" w:bottom="1134" w:left="1134" w:header="567" w:footer="567" w:gutter="0"/>
          <w:cols w:space="708"/>
          <w:titlePg/>
          <w:docGrid w:linePitch="360"/>
        </w:sectPr>
      </w:pPr>
    </w:p>
    <w:p w:rsidR="005A6527" w:rsidRDefault="005A6527" w:rsidP="005A6527">
      <w:pPr>
        <w:pStyle w:val="TOCHeading"/>
      </w:pPr>
      <w:r>
        <w:lastRenderedPageBreak/>
        <w:t>СЪДЪРЖАНИЕ</w:t>
      </w:r>
      <w:r w:rsidRPr="005A6527">
        <w:rPr>
          <w:vertAlign w:val="superscript"/>
        </w:rPr>
        <w:t>1</w:t>
      </w:r>
    </w:p>
    <w:p w:rsidR="00855AA3" w:rsidRPr="00A01E31" w:rsidRDefault="00855AA3" w:rsidP="00A871D9">
      <w:pPr>
        <w:pStyle w:val="TOC5"/>
      </w:pPr>
      <w:r w:rsidRPr="00A871D9">
        <w:t>УЧАСТНИЦИ</w:t>
      </w:r>
      <w:r>
        <w:tab/>
      </w:r>
      <w:r w:rsidR="00A871D9">
        <w:fldChar w:fldCharType="begin"/>
      </w:r>
      <w:r w:rsidR="00A871D9">
        <w:instrText xml:space="preserve"> PAGEREF \h _Toc405919927 \* MERGEFORMAT </w:instrText>
      </w:r>
      <w:r w:rsidR="00A871D9">
        <w:fldChar w:fldCharType="separate"/>
      </w:r>
      <w:r w:rsidR="00A871D9">
        <w:t>5</w:t>
      </w:r>
      <w:r w:rsidR="00A871D9">
        <w:fldChar w:fldCharType="end"/>
      </w:r>
    </w:p>
    <w:p w:rsidR="005A6527" w:rsidRDefault="005A6527" w:rsidP="005A6527">
      <w:pPr>
        <w:pStyle w:val="TOC5"/>
      </w:pPr>
      <w:r>
        <w:t>ОБСЪДЕНИ ТОЧКИ ОТ ДНЕВНИЯ РЕД</w:t>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ДАНЪК ВЪРХУ ФИНАНСОВИТЕ СДЕЛКИ</w:t>
      </w:r>
      <w:r>
        <w:rPr>
          <w:noProof/>
        </w:rPr>
        <w:tab/>
      </w:r>
      <w:r>
        <w:rPr>
          <w:noProof/>
        </w:rPr>
        <w:fldChar w:fldCharType="begin"/>
      </w:r>
      <w:r>
        <w:rPr>
          <w:noProof/>
        </w:rPr>
        <w:instrText xml:space="preserve"> PAGEREF \h _Toc410898050 \* MERGEFORMAT </w:instrText>
      </w:r>
      <w:r>
        <w:rPr>
          <w:noProof/>
        </w:rPr>
      </w:r>
      <w:r>
        <w:rPr>
          <w:noProof/>
        </w:rPr>
        <w:fldChar w:fldCharType="separate"/>
      </w:r>
      <w:r>
        <w:rPr>
          <w:noProof/>
        </w:rPr>
        <w:t>7</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ЕДИНЕН ФОНД ЗА ПРЕСТРУКТУРИРАНЕ — ВНОСКИ НА БАНКИТЕ</w:t>
      </w:r>
      <w:r>
        <w:rPr>
          <w:noProof/>
        </w:rPr>
        <w:tab/>
      </w:r>
      <w:r>
        <w:rPr>
          <w:noProof/>
        </w:rPr>
        <w:fldChar w:fldCharType="begin"/>
      </w:r>
      <w:r>
        <w:rPr>
          <w:noProof/>
        </w:rPr>
        <w:instrText xml:space="preserve"> PAGEREF \h _Toc410898051 \* MERGEFORMAT </w:instrText>
      </w:r>
      <w:r>
        <w:rPr>
          <w:noProof/>
        </w:rPr>
      </w:r>
      <w:r>
        <w:rPr>
          <w:noProof/>
        </w:rPr>
        <w:fldChar w:fldCharType="separate"/>
      </w:r>
      <w:r>
        <w:rPr>
          <w:noProof/>
        </w:rPr>
        <w:t>8</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МЕРКИ В ПОДКРЕПА НА ИНВЕСТИЦИИТЕ</w:t>
      </w:r>
      <w:r>
        <w:rPr>
          <w:noProof/>
        </w:rPr>
        <w:tab/>
      </w:r>
      <w:r>
        <w:rPr>
          <w:noProof/>
        </w:rPr>
        <w:fldChar w:fldCharType="begin"/>
      </w:r>
      <w:r>
        <w:rPr>
          <w:noProof/>
        </w:rPr>
        <w:instrText xml:space="preserve"> PAGEREF \h _Toc410898052 \* MERGEFORMAT </w:instrText>
      </w:r>
      <w:r>
        <w:rPr>
          <w:noProof/>
        </w:rPr>
      </w:r>
      <w:r>
        <w:rPr>
          <w:noProof/>
        </w:rPr>
        <w:fldChar w:fldCharType="separate"/>
      </w:r>
      <w:r>
        <w:rPr>
          <w:noProof/>
        </w:rPr>
        <w:t>9</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СТРАТЕГИЯ „ЕВРОПА 2020“ ЗА РАСТЕЖ И РАБОТНИ МЕСТА</w:t>
      </w:r>
      <w:r>
        <w:rPr>
          <w:noProof/>
        </w:rPr>
        <w:tab/>
      </w:r>
      <w:r>
        <w:rPr>
          <w:noProof/>
        </w:rPr>
        <w:fldChar w:fldCharType="begin"/>
      </w:r>
      <w:r>
        <w:rPr>
          <w:noProof/>
        </w:rPr>
        <w:instrText xml:space="preserve"> PAGEREF \h _Toc410898053 \* MERGEFORMAT </w:instrText>
      </w:r>
      <w:r>
        <w:rPr>
          <w:noProof/>
        </w:rPr>
      </w:r>
      <w:r>
        <w:rPr>
          <w:noProof/>
        </w:rPr>
        <w:fldChar w:fldCharType="separate"/>
      </w:r>
      <w:r>
        <w:rPr>
          <w:noProof/>
        </w:rPr>
        <w:t>11</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ИКОНОМИЧЕСКО УПРАВЛЕНИЕ</w:t>
      </w:r>
      <w:r>
        <w:rPr>
          <w:noProof/>
        </w:rPr>
        <w:tab/>
      </w:r>
      <w:r>
        <w:rPr>
          <w:noProof/>
        </w:rPr>
        <w:fldChar w:fldCharType="begin"/>
      </w:r>
      <w:r>
        <w:rPr>
          <w:noProof/>
        </w:rPr>
        <w:instrText xml:space="preserve"> PAGEREF \h _Toc410898054 \* MERGEFORMAT </w:instrText>
      </w:r>
      <w:r>
        <w:rPr>
          <w:noProof/>
        </w:rPr>
      </w:r>
      <w:r>
        <w:rPr>
          <w:noProof/>
        </w:rPr>
        <w:fldChar w:fldCharType="separate"/>
      </w:r>
      <w:r>
        <w:rPr>
          <w:noProof/>
        </w:rPr>
        <w:t>12</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БЮДЖЕТ НА ЕС — ГОДИШЕН ДОКЛАД НА СМЕТНАТА ПАЛАТА</w:t>
      </w:r>
      <w:r>
        <w:rPr>
          <w:noProof/>
        </w:rPr>
        <w:tab/>
      </w:r>
      <w:r>
        <w:rPr>
          <w:noProof/>
        </w:rPr>
        <w:fldChar w:fldCharType="begin"/>
      </w:r>
      <w:r>
        <w:rPr>
          <w:noProof/>
        </w:rPr>
        <w:instrText xml:space="preserve"> PAGEREF \h _Toc410898055 \* MERGEFORMAT </w:instrText>
      </w:r>
      <w:r>
        <w:rPr>
          <w:noProof/>
        </w:rPr>
      </w:r>
      <w:r>
        <w:rPr>
          <w:noProof/>
        </w:rPr>
        <w:fldChar w:fldCharType="separate"/>
      </w:r>
      <w:r>
        <w:rPr>
          <w:noProof/>
        </w:rPr>
        <w:t>15</w:t>
      </w:r>
      <w:r>
        <w:rPr>
          <w:noProof/>
        </w:rPr>
        <w:fldChar w:fldCharType="end"/>
      </w:r>
    </w:p>
    <w:p w:rsidR="005A6527" w:rsidRPr="005A6527" w:rsidRDefault="005A6527" w:rsidP="005A6527">
      <w:pPr>
        <w:pStyle w:val="TOC6"/>
        <w:rPr>
          <w:rFonts w:asciiTheme="minorHAnsi" w:eastAsiaTheme="minorEastAsia" w:hAnsiTheme="minorHAnsi" w:cstheme="minorBidi"/>
          <w:noProof/>
          <w:sz w:val="22"/>
          <w:szCs w:val="22"/>
          <w:lang w:eastAsia="en-GB" w:bidi="ar-SA"/>
        </w:rPr>
      </w:pPr>
      <w:r>
        <w:rPr>
          <w:noProof/>
        </w:rPr>
        <w:t>ВРЕДНА ДАНЪЧНА КОНКУРЕНЦИЯ — ДАНЪЧНО ОБЛАГАНЕ НА ПРЕДПРИЯТИЯ</w:t>
      </w:r>
      <w:r>
        <w:rPr>
          <w:noProof/>
        </w:rPr>
        <w:tab/>
      </w:r>
      <w:r>
        <w:rPr>
          <w:noProof/>
        </w:rPr>
        <w:fldChar w:fldCharType="begin"/>
      </w:r>
      <w:r>
        <w:rPr>
          <w:noProof/>
        </w:rPr>
        <w:instrText xml:space="preserve"> PAGEREF \h _Toc410898056 \* MERGEFORMAT </w:instrText>
      </w:r>
      <w:r>
        <w:rPr>
          <w:noProof/>
        </w:rPr>
      </w:r>
      <w:r>
        <w:rPr>
          <w:noProof/>
        </w:rPr>
        <w:fldChar w:fldCharType="separate"/>
      </w:r>
      <w:r>
        <w:rPr>
          <w:noProof/>
        </w:rPr>
        <w:t>16</w:t>
      </w:r>
      <w:r>
        <w:rPr>
          <w:noProof/>
        </w:rPr>
        <w:fldChar w:fldCharType="end"/>
      </w:r>
    </w:p>
    <w:p w:rsidR="005A6527" w:rsidRDefault="005A6527" w:rsidP="005A6527">
      <w:pPr>
        <w:pStyle w:val="TOC6"/>
        <w:rPr>
          <w:rFonts w:asciiTheme="minorHAnsi" w:eastAsiaTheme="minorEastAsia" w:hAnsiTheme="minorHAnsi" w:cstheme="minorBidi"/>
          <w:noProof/>
          <w:sz w:val="22"/>
          <w:szCs w:val="22"/>
          <w:lang w:val="en-GB" w:eastAsia="en-GB" w:bidi="ar-SA"/>
        </w:rPr>
      </w:pPr>
      <w:r>
        <w:rPr>
          <w:noProof/>
        </w:rPr>
        <w:t>ДРУГИ ВЪПРОСИ</w:t>
      </w:r>
      <w:r>
        <w:rPr>
          <w:noProof/>
        </w:rPr>
        <w:tab/>
      </w:r>
      <w:r>
        <w:rPr>
          <w:noProof/>
        </w:rPr>
        <w:fldChar w:fldCharType="begin"/>
      </w:r>
      <w:r>
        <w:rPr>
          <w:noProof/>
        </w:rPr>
        <w:instrText xml:space="preserve"> PAGEREF \h _Toc410898057 \* MERGEFORMAT </w:instrText>
      </w:r>
      <w:r>
        <w:rPr>
          <w:noProof/>
        </w:rPr>
      </w:r>
      <w:r>
        <w:rPr>
          <w:noProof/>
        </w:rPr>
        <w:fldChar w:fldCharType="separate"/>
      </w:r>
      <w:r>
        <w:rPr>
          <w:noProof/>
        </w:rPr>
        <w:t>18</w:t>
      </w:r>
      <w:r>
        <w:rPr>
          <w:noProof/>
        </w:rPr>
        <w:fldChar w:fldCharType="end"/>
      </w:r>
    </w:p>
    <w:p w:rsidR="005A6527" w:rsidRDefault="005A6527" w:rsidP="005A6527">
      <w:pPr>
        <w:pStyle w:val="TOC9"/>
        <w:rPr>
          <w:rFonts w:asciiTheme="minorHAnsi" w:eastAsiaTheme="minorEastAsia" w:hAnsiTheme="minorHAnsi" w:cstheme="minorBidi"/>
          <w:noProof/>
          <w:sz w:val="22"/>
          <w:szCs w:val="22"/>
          <w:lang w:val="en-GB" w:eastAsia="en-GB" w:bidi="ar-SA"/>
        </w:rPr>
      </w:pPr>
      <w:r>
        <w:rPr>
          <w:noProof/>
        </w:rPr>
        <w:t>Текуща работа по законодателните досиета</w:t>
      </w:r>
      <w:r>
        <w:rPr>
          <w:noProof/>
        </w:rPr>
        <w:tab/>
      </w:r>
      <w:r>
        <w:rPr>
          <w:noProof/>
        </w:rPr>
        <w:fldChar w:fldCharType="begin"/>
      </w:r>
      <w:r>
        <w:rPr>
          <w:noProof/>
        </w:rPr>
        <w:instrText xml:space="preserve"> PAGEREF \h _Toc410898058 \* MERGEFORMAT </w:instrText>
      </w:r>
      <w:r>
        <w:rPr>
          <w:noProof/>
        </w:rPr>
      </w:r>
      <w:r>
        <w:rPr>
          <w:noProof/>
        </w:rPr>
        <w:fldChar w:fldCharType="separate"/>
      </w:r>
      <w:r>
        <w:rPr>
          <w:noProof/>
        </w:rPr>
        <w:t>18</w:t>
      </w:r>
      <w:r>
        <w:rPr>
          <w:noProof/>
        </w:rPr>
        <w:fldChar w:fldCharType="end"/>
      </w:r>
    </w:p>
    <w:p w:rsidR="005A6527" w:rsidRDefault="005A6527" w:rsidP="005A6527">
      <w:pPr>
        <w:pStyle w:val="TOC9"/>
        <w:rPr>
          <w:rFonts w:asciiTheme="minorHAnsi" w:eastAsiaTheme="minorEastAsia" w:hAnsiTheme="minorHAnsi" w:cstheme="minorBidi"/>
          <w:noProof/>
          <w:sz w:val="22"/>
          <w:szCs w:val="22"/>
          <w:lang w:val="en-GB" w:eastAsia="en-GB" w:bidi="ar-SA"/>
        </w:rPr>
      </w:pPr>
      <w:r>
        <w:rPr>
          <w:noProof/>
        </w:rPr>
        <w:t>Намаляване на основата за облагане с корпоративен данък и прехвърляне на печалби</w:t>
      </w:r>
      <w:r>
        <w:rPr>
          <w:noProof/>
        </w:rPr>
        <w:tab/>
      </w:r>
      <w:r>
        <w:rPr>
          <w:noProof/>
        </w:rPr>
        <w:fldChar w:fldCharType="begin"/>
      </w:r>
      <w:r>
        <w:rPr>
          <w:noProof/>
        </w:rPr>
        <w:instrText xml:space="preserve"> PAGEREF \h _Toc410898059 \* MERGEFORMAT </w:instrText>
      </w:r>
      <w:r>
        <w:rPr>
          <w:noProof/>
        </w:rPr>
      </w:r>
      <w:r>
        <w:rPr>
          <w:noProof/>
        </w:rPr>
        <w:fldChar w:fldCharType="separate"/>
      </w:r>
      <w:r>
        <w:rPr>
          <w:noProof/>
        </w:rPr>
        <w:t>18</w:t>
      </w:r>
      <w:r>
        <w:rPr>
          <w:noProof/>
        </w:rPr>
        <w:fldChar w:fldCharType="end"/>
      </w:r>
    </w:p>
    <w:p w:rsidR="005A6527" w:rsidRPr="005A6527" w:rsidRDefault="005A6527" w:rsidP="005A6527">
      <w:pPr>
        <w:pStyle w:val="TOC6"/>
      </w:pPr>
      <w:r>
        <w:rPr>
          <w:noProof/>
        </w:rPr>
        <w:t>ЗАСЕДАНИЯ, ПРОВЕДЕНИ УСПОРЕДНО СЪС ЗАСЕДАНИЕТО НА СЪВЕТА</w:t>
      </w:r>
      <w:r>
        <w:rPr>
          <w:noProof/>
        </w:rPr>
        <w:tab/>
      </w:r>
      <w:r>
        <w:rPr>
          <w:noProof/>
        </w:rPr>
        <w:fldChar w:fldCharType="begin"/>
      </w:r>
      <w:r>
        <w:rPr>
          <w:noProof/>
        </w:rPr>
        <w:instrText xml:space="preserve"> PAGEREF \h _Toc410898060 \* MERGEFORMAT </w:instrText>
      </w:r>
      <w:r>
        <w:rPr>
          <w:noProof/>
        </w:rPr>
      </w:r>
      <w:r>
        <w:rPr>
          <w:noProof/>
        </w:rPr>
        <w:fldChar w:fldCharType="separate"/>
      </w:r>
      <w:r>
        <w:rPr>
          <w:noProof/>
        </w:rPr>
        <w:t>19</w:t>
      </w:r>
      <w:r>
        <w:rPr>
          <w:noProof/>
        </w:rPr>
        <w:fldChar w:fldCharType="end"/>
      </w:r>
    </w:p>
    <w:p w:rsidR="005A6527" w:rsidRDefault="005A6527" w:rsidP="005A6527">
      <w:pPr>
        <w:pStyle w:val="TOC5"/>
      </w:pPr>
      <w:r>
        <w:t>ДРУГИ ОДОБРЕНИ ТОЧКИ</w:t>
      </w:r>
    </w:p>
    <w:p w:rsidR="005A6527" w:rsidRPr="005A6527" w:rsidRDefault="005A6527" w:rsidP="005A6527">
      <w:pPr>
        <w:pStyle w:val="TOC8"/>
        <w:rPr>
          <w:rFonts w:asciiTheme="minorHAnsi" w:eastAsiaTheme="minorEastAsia" w:hAnsiTheme="minorHAnsi" w:cstheme="minorBidi"/>
          <w:i w:val="0"/>
          <w:noProof/>
          <w:sz w:val="22"/>
          <w:szCs w:val="22"/>
          <w:lang w:eastAsia="en-GB" w:bidi="ar-SA"/>
        </w:rPr>
      </w:pPr>
      <w:r>
        <w:rPr>
          <w:noProof/>
        </w:rPr>
        <w:t>ИКОНОМИЧЕСКИ И ФИНАНСОВИ ВЪПРОСИ</w:t>
      </w:r>
    </w:p>
    <w:p w:rsidR="005A6527" w:rsidRPr="005A6527" w:rsidRDefault="005A6527" w:rsidP="005A6527">
      <w:pPr>
        <w:pStyle w:val="TOC9"/>
        <w:keepNext/>
        <w:rPr>
          <w:rFonts w:asciiTheme="minorHAnsi" w:eastAsiaTheme="minorEastAsia" w:hAnsiTheme="minorHAnsi" w:cstheme="minorBidi"/>
          <w:noProof/>
          <w:sz w:val="22"/>
          <w:szCs w:val="22"/>
          <w:lang w:eastAsia="en-GB" w:bidi="ar-SA"/>
        </w:rPr>
      </w:pPr>
      <w:r>
        <w:rPr>
          <w:noProof/>
        </w:rPr>
        <w:t>Борба с укриването на данъци — автоматичен обмен на информация</w:t>
      </w:r>
      <w:r>
        <w:rPr>
          <w:noProof/>
        </w:rPr>
        <w:tab/>
      </w:r>
      <w:r>
        <w:rPr>
          <w:noProof/>
        </w:rPr>
        <w:fldChar w:fldCharType="begin"/>
      </w:r>
      <w:r>
        <w:rPr>
          <w:noProof/>
        </w:rPr>
        <w:instrText xml:space="preserve"> PAGEREF \h _Toc410898062 \* MERGEFORMAT </w:instrText>
      </w:r>
      <w:r>
        <w:rPr>
          <w:noProof/>
        </w:rPr>
      </w:r>
      <w:r>
        <w:rPr>
          <w:noProof/>
        </w:rPr>
        <w:fldChar w:fldCharType="separate"/>
      </w:r>
      <w:r>
        <w:rPr>
          <w:noProof/>
        </w:rPr>
        <w:t>20</w:t>
      </w:r>
      <w:r>
        <w:rPr>
          <w:noProof/>
        </w:rPr>
        <w:fldChar w:fldCharType="end"/>
      </w:r>
    </w:p>
    <w:p w:rsidR="005A6527" w:rsidRPr="005A6527" w:rsidRDefault="005A6527" w:rsidP="005A6527">
      <w:pPr>
        <w:pStyle w:val="TOC9"/>
        <w:keepNext/>
        <w:rPr>
          <w:rFonts w:asciiTheme="minorHAnsi" w:eastAsiaTheme="minorEastAsia" w:hAnsiTheme="minorHAnsi" w:cstheme="minorBidi"/>
          <w:noProof/>
          <w:sz w:val="22"/>
          <w:szCs w:val="22"/>
          <w:lang w:eastAsia="en-GB" w:bidi="ar-SA"/>
        </w:rPr>
      </w:pPr>
      <w:r>
        <w:rPr>
          <w:noProof/>
        </w:rPr>
        <w:t>Данъчно облагане: Директива за дружествата майки и дъщерните дружества — клауза за борба със злоупотребите</w:t>
      </w:r>
      <w:r>
        <w:rPr>
          <w:noProof/>
        </w:rPr>
        <w:tab/>
      </w:r>
      <w:r>
        <w:rPr>
          <w:noProof/>
        </w:rPr>
        <w:fldChar w:fldCharType="begin"/>
      </w:r>
      <w:r>
        <w:rPr>
          <w:noProof/>
        </w:rPr>
        <w:instrText xml:space="preserve"> PAGEREF \h _Toc410898063 \* MERGEFORMAT </w:instrText>
      </w:r>
      <w:r>
        <w:rPr>
          <w:noProof/>
        </w:rPr>
      </w:r>
      <w:r>
        <w:rPr>
          <w:noProof/>
        </w:rPr>
        <w:fldChar w:fldCharType="separate"/>
      </w:r>
      <w:r>
        <w:rPr>
          <w:noProof/>
        </w:rPr>
        <w:t>20</w:t>
      </w:r>
      <w:r>
        <w:rPr>
          <w:noProof/>
        </w:rPr>
        <w:fldChar w:fldCharType="end"/>
      </w:r>
    </w:p>
    <w:p w:rsidR="005A6527" w:rsidRDefault="005A6527" w:rsidP="005A6527">
      <w:pPr>
        <w:pStyle w:val="TOC9"/>
        <w:keepNext/>
        <w:rPr>
          <w:rFonts w:asciiTheme="minorHAnsi" w:eastAsiaTheme="minorEastAsia" w:hAnsiTheme="minorHAnsi" w:cstheme="minorBidi"/>
          <w:noProof/>
          <w:sz w:val="22"/>
          <w:szCs w:val="22"/>
          <w:lang w:val="en-GB" w:eastAsia="en-GB" w:bidi="ar-SA"/>
        </w:rPr>
      </w:pPr>
      <w:r>
        <w:rPr>
          <w:noProof/>
        </w:rPr>
        <w:t>Платежни услуги</w:t>
      </w:r>
      <w:r>
        <w:rPr>
          <w:noProof/>
        </w:rPr>
        <w:tab/>
      </w:r>
      <w:r>
        <w:rPr>
          <w:noProof/>
        </w:rPr>
        <w:fldChar w:fldCharType="begin"/>
      </w:r>
      <w:r>
        <w:rPr>
          <w:noProof/>
        </w:rPr>
        <w:instrText xml:space="preserve"> PAGEREF \h _Toc410898064 \* MERGEFORMAT </w:instrText>
      </w:r>
      <w:r>
        <w:rPr>
          <w:noProof/>
        </w:rPr>
      </w:r>
      <w:r>
        <w:rPr>
          <w:noProof/>
        </w:rPr>
        <w:fldChar w:fldCharType="separate"/>
      </w:r>
      <w:r>
        <w:rPr>
          <w:noProof/>
        </w:rPr>
        <w:t>21</w:t>
      </w:r>
      <w:r>
        <w:rPr>
          <w:noProof/>
        </w:rPr>
        <w:fldChar w:fldCharType="end"/>
      </w:r>
    </w:p>
    <w:p w:rsidR="005A6527" w:rsidRDefault="005A6527" w:rsidP="005A6527">
      <w:pPr>
        <w:pStyle w:val="TOC9"/>
        <w:keepNext/>
        <w:rPr>
          <w:rFonts w:asciiTheme="minorHAnsi" w:eastAsiaTheme="minorEastAsia" w:hAnsiTheme="minorHAnsi" w:cstheme="minorBidi"/>
          <w:noProof/>
          <w:sz w:val="22"/>
          <w:szCs w:val="22"/>
          <w:lang w:val="en-GB" w:eastAsia="en-GB" w:bidi="ar-SA"/>
        </w:rPr>
      </w:pPr>
      <w:r>
        <w:rPr>
          <w:noProof/>
        </w:rPr>
        <w:t>Финансовата помощ за Кипър — преглед</w:t>
      </w:r>
      <w:r>
        <w:rPr>
          <w:noProof/>
        </w:rPr>
        <w:tab/>
      </w:r>
      <w:r>
        <w:rPr>
          <w:noProof/>
        </w:rPr>
        <w:fldChar w:fldCharType="begin"/>
      </w:r>
      <w:r>
        <w:rPr>
          <w:noProof/>
        </w:rPr>
        <w:instrText xml:space="preserve"> PAGEREF \h _Toc410898065 \* MERGEFORMAT </w:instrText>
      </w:r>
      <w:r>
        <w:rPr>
          <w:noProof/>
        </w:rPr>
      </w:r>
      <w:r>
        <w:rPr>
          <w:noProof/>
        </w:rPr>
        <w:fldChar w:fldCharType="separate"/>
      </w:r>
      <w:r>
        <w:rPr>
          <w:noProof/>
        </w:rPr>
        <w:t>21</w:t>
      </w:r>
      <w:r>
        <w:rPr>
          <w:noProof/>
        </w:rPr>
        <w:fldChar w:fldCharType="end"/>
      </w:r>
    </w:p>
    <w:p w:rsidR="005A6527" w:rsidRDefault="005A6527" w:rsidP="005A6527">
      <w:pPr>
        <w:pStyle w:val="TOC9"/>
        <w:keepNext/>
        <w:rPr>
          <w:rFonts w:asciiTheme="minorHAnsi" w:eastAsiaTheme="minorEastAsia" w:hAnsiTheme="minorHAnsi" w:cstheme="minorBidi"/>
          <w:noProof/>
          <w:sz w:val="22"/>
          <w:szCs w:val="22"/>
          <w:lang w:val="en-GB" w:eastAsia="en-GB" w:bidi="ar-SA"/>
        </w:rPr>
      </w:pPr>
      <w:r>
        <w:rPr>
          <w:noProof/>
        </w:rPr>
        <w:t>Данъчно облагане — доклади до Европейския съвет</w:t>
      </w:r>
      <w:r>
        <w:rPr>
          <w:noProof/>
        </w:rPr>
        <w:tab/>
      </w:r>
      <w:r>
        <w:rPr>
          <w:noProof/>
        </w:rPr>
        <w:fldChar w:fldCharType="begin"/>
      </w:r>
      <w:r>
        <w:rPr>
          <w:noProof/>
        </w:rPr>
        <w:instrText xml:space="preserve"> PAGEREF \h _Toc410898066 \* MERGEFORMAT </w:instrText>
      </w:r>
      <w:r>
        <w:rPr>
          <w:noProof/>
        </w:rPr>
      </w:r>
      <w:r>
        <w:rPr>
          <w:noProof/>
        </w:rPr>
        <w:fldChar w:fldCharType="separate"/>
      </w:r>
      <w:r>
        <w:rPr>
          <w:noProof/>
        </w:rPr>
        <w:t>21</w:t>
      </w:r>
      <w:r>
        <w:rPr>
          <w:noProof/>
        </w:rPr>
        <w:fldChar w:fldCharType="end"/>
      </w:r>
    </w:p>
    <w:p w:rsidR="005A6527" w:rsidRDefault="005A6527" w:rsidP="005A6527">
      <w:pPr>
        <w:pStyle w:val="TOC9"/>
        <w:keepNext/>
        <w:rPr>
          <w:rFonts w:asciiTheme="minorHAnsi" w:eastAsiaTheme="minorEastAsia" w:hAnsiTheme="minorHAnsi" w:cstheme="minorBidi"/>
          <w:noProof/>
          <w:sz w:val="22"/>
          <w:szCs w:val="22"/>
          <w:lang w:val="en-GB" w:eastAsia="en-GB" w:bidi="ar-SA"/>
        </w:rPr>
      </w:pPr>
      <w:r>
        <w:rPr>
          <w:noProof/>
        </w:rPr>
        <w:t>Административно сътрудничество: Норвегия</w:t>
      </w:r>
      <w:r>
        <w:rPr>
          <w:noProof/>
        </w:rPr>
        <w:tab/>
      </w:r>
      <w:r>
        <w:rPr>
          <w:noProof/>
        </w:rPr>
        <w:fldChar w:fldCharType="begin"/>
      </w:r>
      <w:r>
        <w:rPr>
          <w:noProof/>
        </w:rPr>
        <w:instrText xml:space="preserve"> PAGEREF \h _Toc410898067 \* MERGEFORMAT </w:instrText>
      </w:r>
      <w:r>
        <w:rPr>
          <w:noProof/>
        </w:rPr>
      </w:r>
      <w:r>
        <w:rPr>
          <w:noProof/>
        </w:rPr>
        <w:fldChar w:fldCharType="separate"/>
      </w:r>
      <w:r>
        <w:rPr>
          <w:noProof/>
        </w:rPr>
        <w:t>21</w:t>
      </w:r>
      <w:r>
        <w:rPr>
          <w:noProof/>
        </w:rPr>
        <w:fldChar w:fldCharType="end"/>
      </w:r>
    </w:p>
    <w:p w:rsidR="005A6527" w:rsidRDefault="005A6527" w:rsidP="005A6527">
      <w:pPr>
        <w:pStyle w:val="TOC9"/>
        <w:keepNext/>
        <w:rPr>
          <w:rFonts w:asciiTheme="minorHAnsi" w:eastAsiaTheme="minorEastAsia" w:hAnsiTheme="minorHAnsi" w:cstheme="minorBidi"/>
          <w:noProof/>
          <w:sz w:val="22"/>
          <w:szCs w:val="22"/>
          <w:lang w:val="en-GB" w:eastAsia="en-GB" w:bidi="ar-SA"/>
        </w:rPr>
      </w:pPr>
      <w:r>
        <w:rPr>
          <w:noProof/>
        </w:rPr>
        <w:t>Арбитражна конвенция: Присъединяване на Хърватия</w:t>
      </w:r>
      <w:r>
        <w:rPr>
          <w:noProof/>
        </w:rPr>
        <w:tab/>
      </w:r>
      <w:r>
        <w:rPr>
          <w:noProof/>
        </w:rPr>
        <w:fldChar w:fldCharType="begin"/>
      </w:r>
      <w:r>
        <w:rPr>
          <w:noProof/>
        </w:rPr>
        <w:instrText xml:space="preserve"> PAGEREF \h _Toc410898068 \* MERGEFORMAT </w:instrText>
      </w:r>
      <w:r>
        <w:rPr>
          <w:noProof/>
        </w:rPr>
      </w:r>
      <w:r>
        <w:rPr>
          <w:noProof/>
        </w:rPr>
        <w:fldChar w:fldCharType="separate"/>
      </w:r>
      <w:r>
        <w:rPr>
          <w:noProof/>
        </w:rPr>
        <w:t>21</w:t>
      </w:r>
      <w:r>
        <w:rPr>
          <w:noProof/>
        </w:rPr>
        <w:fldChar w:fldCharType="end"/>
      </w:r>
    </w:p>
    <w:p w:rsidR="005A6527" w:rsidRDefault="005A6527" w:rsidP="005A6527">
      <w:pPr>
        <w:pStyle w:val="TOC9"/>
        <w:rPr>
          <w:rFonts w:asciiTheme="minorHAnsi" w:eastAsiaTheme="minorEastAsia" w:hAnsiTheme="minorHAnsi" w:cstheme="minorBidi"/>
          <w:noProof/>
          <w:sz w:val="22"/>
          <w:szCs w:val="22"/>
          <w:lang w:val="en-GB" w:eastAsia="en-GB" w:bidi="ar-SA"/>
        </w:rPr>
      </w:pPr>
      <w:r>
        <w:rPr>
          <w:noProof/>
        </w:rPr>
        <w:t>Финанси за растеж и дългосрочно финансиране на европейската икономика - заключения на Съвета</w:t>
      </w:r>
      <w:r>
        <w:rPr>
          <w:noProof/>
        </w:rPr>
        <w:tab/>
      </w:r>
      <w:r>
        <w:rPr>
          <w:noProof/>
        </w:rPr>
        <w:fldChar w:fldCharType="begin"/>
      </w:r>
      <w:r>
        <w:rPr>
          <w:noProof/>
        </w:rPr>
        <w:instrText xml:space="preserve"> PAGEREF \h _Toc410898069 \* MERGEFORMAT </w:instrText>
      </w:r>
      <w:r>
        <w:rPr>
          <w:noProof/>
        </w:rPr>
      </w:r>
      <w:r>
        <w:rPr>
          <w:noProof/>
        </w:rPr>
        <w:fldChar w:fldCharType="separate"/>
      </w:r>
      <w:r>
        <w:rPr>
          <w:noProof/>
        </w:rPr>
        <w:t>22</w:t>
      </w:r>
      <w:r>
        <w:rPr>
          <w:noProof/>
        </w:rPr>
        <w:fldChar w:fldCharType="end"/>
      </w:r>
    </w:p>
    <w:p w:rsidR="005A6527" w:rsidRDefault="005A6527" w:rsidP="005A6527">
      <w:pPr>
        <w:pStyle w:val="TOC8"/>
        <w:rPr>
          <w:rFonts w:asciiTheme="minorHAnsi" w:eastAsiaTheme="minorEastAsia" w:hAnsiTheme="minorHAnsi" w:cstheme="minorBidi"/>
          <w:i w:val="0"/>
          <w:noProof/>
          <w:sz w:val="22"/>
          <w:szCs w:val="22"/>
          <w:lang w:val="en-GB" w:eastAsia="en-GB" w:bidi="ar-SA"/>
        </w:rPr>
      </w:pPr>
      <w:r>
        <w:rPr>
          <w:noProof/>
        </w:rPr>
        <w:lastRenderedPageBreak/>
        <w:t>ВЪТРЕШЕН ПАЗАР</w:t>
      </w:r>
    </w:p>
    <w:p w:rsidR="005A6527" w:rsidRDefault="005A6527" w:rsidP="005A6527">
      <w:pPr>
        <w:pStyle w:val="TOC9"/>
        <w:rPr>
          <w:rFonts w:asciiTheme="minorHAnsi" w:eastAsiaTheme="minorEastAsia" w:hAnsiTheme="minorHAnsi" w:cstheme="minorBidi"/>
          <w:noProof/>
          <w:sz w:val="22"/>
          <w:szCs w:val="22"/>
          <w:lang w:val="en-GB" w:eastAsia="en-GB" w:bidi="ar-SA"/>
        </w:rPr>
      </w:pPr>
      <w:r>
        <w:rPr>
          <w:noProof/>
        </w:rPr>
        <w:t>Водомери — средства за измерване</w:t>
      </w:r>
      <w:r>
        <w:rPr>
          <w:noProof/>
        </w:rPr>
        <w:tab/>
      </w:r>
      <w:r>
        <w:rPr>
          <w:noProof/>
        </w:rPr>
        <w:fldChar w:fldCharType="begin"/>
      </w:r>
      <w:r>
        <w:rPr>
          <w:noProof/>
        </w:rPr>
        <w:instrText xml:space="preserve"> PAGEREF \h _Toc410898071 \* MERGEFORMAT </w:instrText>
      </w:r>
      <w:r>
        <w:rPr>
          <w:noProof/>
        </w:rPr>
      </w:r>
      <w:r>
        <w:rPr>
          <w:noProof/>
        </w:rPr>
        <w:fldChar w:fldCharType="separate"/>
      </w:r>
      <w:r>
        <w:rPr>
          <w:noProof/>
        </w:rPr>
        <w:t>29</w:t>
      </w:r>
      <w:r>
        <w:rPr>
          <w:noProof/>
        </w:rPr>
        <w:fldChar w:fldCharType="end"/>
      </w:r>
    </w:p>
    <w:p w:rsidR="005A6527" w:rsidRDefault="005A6527" w:rsidP="005A6527">
      <w:pPr>
        <w:pStyle w:val="TOC8"/>
        <w:rPr>
          <w:rFonts w:asciiTheme="minorHAnsi" w:eastAsiaTheme="minorEastAsia" w:hAnsiTheme="minorHAnsi" w:cstheme="minorBidi"/>
          <w:i w:val="0"/>
          <w:noProof/>
          <w:sz w:val="22"/>
          <w:szCs w:val="22"/>
          <w:lang w:val="en-GB" w:eastAsia="en-GB" w:bidi="ar-SA"/>
        </w:rPr>
      </w:pPr>
      <w:r>
        <w:rPr>
          <w:noProof/>
        </w:rPr>
        <w:t>СЕЛСКО СТОПАНСТВО</w:t>
      </w:r>
    </w:p>
    <w:p w:rsidR="005A6527" w:rsidRDefault="005A6527" w:rsidP="005A6527">
      <w:pPr>
        <w:pStyle w:val="TOC9"/>
      </w:pPr>
      <w:r>
        <w:rPr>
          <w:noProof/>
        </w:rPr>
        <w:t>Максимално допустимите граници на остатъчни вещества от пестициди — млечна киселина</w:t>
      </w:r>
      <w:r>
        <w:rPr>
          <w:noProof/>
        </w:rPr>
        <w:tab/>
      </w:r>
      <w:r>
        <w:rPr>
          <w:noProof/>
        </w:rPr>
        <w:fldChar w:fldCharType="begin"/>
      </w:r>
      <w:r>
        <w:rPr>
          <w:noProof/>
        </w:rPr>
        <w:instrText xml:space="preserve"> PAGEREF \h _Toc410898073 \* MERGEFORMAT </w:instrText>
      </w:r>
      <w:r>
        <w:rPr>
          <w:noProof/>
        </w:rPr>
      </w:r>
      <w:r>
        <w:rPr>
          <w:noProof/>
        </w:rPr>
        <w:fldChar w:fldCharType="separate"/>
      </w:r>
      <w:r>
        <w:rPr>
          <w:noProof/>
        </w:rPr>
        <w:t>29</w:t>
      </w:r>
      <w:r>
        <w:rPr>
          <w:noProof/>
        </w:rPr>
        <w:fldChar w:fldCharType="end"/>
      </w:r>
    </w:p>
    <w:p w:rsidR="005A6527" w:rsidRPr="008E42F7" w:rsidRDefault="005A6527" w:rsidP="00B53E9F">
      <w:pPr>
        <w:sectPr w:rsidR="005A6527" w:rsidRPr="008E42F7" w:rsidSect="00A01E31">
          <w:headerReference w:type="even" r:id="rId21"/>
          <w:footerReference w:type="even" r:id="rId22"/>
          <w:headerReference w:type="first" r:id="rId23"/>
          <w:footerReference w:type="first" r:id="rId24"/>
          <w:footnotePr>
            <w:numRestart w:val="eachPage"/>
          </w:footnotePr>
          <w:pgSz w:w="11907" w:h="16840" w:code="9"/>
          <w:pgMar w:top="1134" w:right="1134" w:bottom="1134" w:left="1134" w:header="567" w:footer="567" w:gutter="0"/>
          <w:cols w:space="708"/>
          <w:docGrid w:linePitch="360"/>
        </w:sectPr>
      </w:pPr>
    </w:p>
    <w:p w:rsidR="00B53E9F" w:rsidRPr="008E42F7" w:rsidRDefault="00B53E9F" w:rsidP="005A6527">
      <w:pPr>
        <w:pStyle w:val="ParticipantsHeading"/>
        <w:spacing w:before="60" w:after="240" w:line="200" w:lineRule="exact"/>
      </w:pPr>
      <w:r w:rsidRPr="008E42F7">
        <w:lastRenderedPageBreak/>
        <w:t>УЧАСТНИЦИ</w:t>
      </w:r>
    </w:p>
    <w:p w:rsidR="005B031E" w:rsidRPr="008E42F7" w:rsidRDefault="005B031E" w:rsidP="003E2E96">
      <w:pPr>
        <w:pStyle w:val="ParticipantGroup"/>
        <w:spacing w:line="200" w:lineRule="exact"/>
        <w:outlineLvl w:val="0"/>
      </w:pPr>
      <w:r w:rsidRPr="008E42F7">
        <w:t>Белгия</w:t>
      </w:r>
    </w:p>
    <w:p w:rsidR="005B031E" w:rsidRPr="008E42F7" w:rsidRDefault="005B031E" w:rsidP="003E2E96">
      <w:pPr>
        <w:pStyle w:val="Participant"/>
        <w:spacing w:line="200" w:lineRule="exact"/>
      </w:pPr>
      <w:r w:rsidRPr="008E42F7">
        <w:t>г-н Johan VAN OVERTVELDT</w:t>
      </w:r>
      <w:r w:rsidRPr="008E42F7">
        <w:tab/>
        <w:t>Министър на финансите</w:t>
      </w:r>
    </w:p>
    <w:p w:rsidR="005B031E" w:rsidRPr="008E42F7" w:rsidRDefault="005B031E" w:rsidP="003E2E96">
      <w:pPr>
        <w:pStyle w:val="ParticipantGroup"/>
        <w:spacing w:line="200" w:lineRule="exact"/>
        <w:outlineLvl w:val="0"/>
        <w:rPr>
          <w:b w:val="0"/>
        </w:rPr>
      </w:pPr>
      <w:r w:rsidRPr="008E42F7">
        <w:t>България</w:t>
      </w:r>
      <w:r w:rsidRPr="008E42F7">
        <w:rPr>
          <w:b w:val="0"/>
        </w:rPr>
        <w:t>:</w:t>
      </w:r>
    </w:p>
    <w:p w:rsidR="005B031E" w:rsidRPr="008E42F7" w:rsidRDefault="005B031E" w:rsidP="003E2E96">
      <w:pPr>
        <w:pStyle w:val="Participant"/>
        <w:spacing w:line="200" w:lineRule="exact"/>
      </w:pPr>
      <w:r w:rsidRPr="008E42F7">
        <w:t>г-н Владислав ГОРАНОВ</w:t>
      </w:r>
      <w:r w:rsidRPr="008E42F7">
        <w:tab/>
        <w:t>Министър на финансите</w:t>
      </w:r>
    </w:p>
    <w:p w:rsidR="005B031E" w:rsidRPr="008E42F7" w:rsidRDefault="005B031E" w:rsidP="003E2E96">
      <w:pPr>
        <w:pStyle w:val="ParticipantGroup"/>
        <w:spacing w:line="200" w:lineRule="exact"/>
        <w:outlineLvl w:val="0"/>
      </w:pPr>
      <w:r w:rsidRPr="008E42F7">
        <w:t>Чешка република:</w:t>
      </w:r>
    </w:p>
    <w:p w:rsidR="005B031E" w:rsidRPr="008E42F7" w:rsidRDefault="005B031E" w:rsidP="003E2E96">
      <w:pPr>
        <w:pStyle w:val="Participant"/>
        <w:spacing w:line="200" w:lineRule="exact"/>
      </w:pPr>
      <w:r w:rsidRPr="008E42F7">
        <w:t>г-н Jan GREGOR</w:t>
      </w:r>
      <w:r w:rsidRPr="008E42F7">
        <w:tab/>
        <w:t>Заместник-министър на финансите</w:t>
      </w:r>
    </w:p>
    <w:p w:rsidR="005B031E" w:rsidRPr="008E42F7" w:rsidRDefault="005B031E" w:rsidP="003E2E96">
      <w:pPr>
        <w:pStyle w:val="ParticipantGroup"/>
        <w:spacing w:line="200" w:lineRule="exact"/>
        <w:outlineLvl w:val="0"/>
      </w:pPr>
      <w:r w:rsidRPr="008E42F7">
        <w:t>Дания:</w:t>
      </w:r>
    </w:p>
    <w:p w:rsidR="005B031E" w:rsidRPr="008E42F7" w:rsidRDefault="005B031E" w:rsidP="003E2E96">
      <w:pPr>
        <w:pStyle w:val="Participant"/>
        <w:spacing w:line="200" w:lineRule="exact"/>
      </w:pPr>
      <w:r w:rsidRPr="008E42F7">
        <w:t>г-н Morten ØSTERGAARD</w:t>
      </w:r>
      <w:r w:rsidRPr="008E42F7">
        <w:tab/>
        <w:t>Министър на икономиката и вътрешните работи</w:t>
      </w:r>
    </w:p>
    <w:p w:rsidR="005B031E" w:rsidRPr="008E42F7" w:rsidRDefault="005B031E" w:rsidP="003E2E96">
      <w:pPr>
        <w:pStyle w:val="ParticipantGroup"/>
        <w:spacing w:line="200" w:lineRule="exact"/>
        <w:outlineLvl w:val="0"/>
        <w:rPr>
          <w:b w:val="0"/>
          <w:bCs/>
        </w:rPr>
      </w:pPr>
      <w:r w:rsidRPr="008E42F7">
        <w:t>Германия:</w:t>
      </w:r>
    </w:p>
    <w:p w:rsidR="005B031E" w:rsidRPr="008E42F7" w:rsidRDefault="005B031E" w:rsidP="003E2E96">
      <w:pPr>
        <w:pStyle w:val="Participant"/>
        <w:spacing w:line="200" w:lineRule="exact"/>
      </w:pPr>
      <w:r w:rsidRPr="008E42F7">
        <w:t>г-н Wolfgang SCHÄUBLE</w:t>
      </w:r>
      <w:r w:rsidRPr="008E42F7">
        <w:tab/>
        <w:t>Федерален министър на финансите</w:t>
      </w:r>
    </w:p>
    <w:p w:rsidR="005B031E" w:rsidRPr="008E42F7" w:rsidRDefault="005B031E" w:rsidP="003E2E96">
      <w:pPr>
        <w:pStyle w:val="ParticipantGroup"/>
        <w:spacing w:line="200" w:lineRule="exact"/>
        <w:outlineLvl w:val="0"/>
      </w:pPr>
      <w:r w:rsidRPr="008E42F7">
        <w:t>Естония:</w:t>
      </w:r>
    </w:p>
    <w:p w:rsidR="005B031E" w:rsidRPr="008E42F7" w:rsidRDefault="005B031E" w:rsidP="003E2E96">
      <w:pPr>
        <w:pStyle w:val="Participant"/>
        <w:spacing w:line="200" w:lineRule="exact"/>
      </w:pPr>
      <w:r w:rsidRPr="008E42F7">
        <w:t>г-жа Maris LAURI</w:t>
      </w:r>
      <w:r w:rsidRPr="008E42F7">
        <w:tab/>
        <w:t>Министър на финансите</w:t>
      </w:r>
    </w:p>
    <w:p w:rsidR="005B031E" w:rsidRPr="008E42F7" w:rsidRDefault="005B031E" w:rsidP="003E2E96">
      <w:pPr>
        <w:pStyle w:val="ParticipantGroup"/>
        <w:spacing w:line="200" w:lineRule="exact"/>
        <w:outlineLvl w:val="0"/>
      </w:pPr>
      <w:r w:rsidRPr="008E42F7">
        <w:t>Ирландия:</w:t>
      </w:r>
    </w:p>
    <w:p w:rsidR="005B031E" w:rsidRPr="008E42F7" w:rsidRDefault="005B031E" w:rsidP="003E2E96">
      <w:pPr>
        <w:pStyle w:val="Participant"/>
        <w:spacing w:line="200" w:lineRule="exact"/>
      </w:pPr>
      <w:r w:rsidRPr="008E42F7">
        <w:t>г-н Simon HARRIS</w:t>
      </w:r>
      <w:r w:rsidRPr="008E42F7">
        <w:tab/>
        <w:t>Заместник-министър със специална отговорност за Службата за благоустройство, обществените поръчки и международната банкова дейност (Министерство на финансите, Министерство по въпросите на публичните разходи и реформата на публичния сектор и кабинет на министър-председателя)</w:t>
      </w:r>
    </w:p>
    <w:p w:rsidR="005B031E" w:rsidRPr="008E42F7" w:rsidRDefault="005B031E" w:rsidP="003E2E96">
      <w:pPr>
        <w:pStyle w:val="ParticipantGroup"/>
        <w:spacing w:line="200" w:lineRule="exact"/>
        <w:outlineLvl w:val="0"/>
      </w:pPr>
      <w:r w:rsidRPr="008E42F7">
        <w:t>Гърция:</w:t>
      </w:r>
    </w:p>
    <w:p w:rsidR="005B031E" w:rsidRPr="008E42F7" w:rsidRDefault="005B031E" w:rsidP="003E2E96">
      <w:pPr>
        <w:pStyle w:val="Participant"/>
        <w:spacing w:line="200" w:lineRule="exact"/>
      </w:pPr>
      <w:r w:rsidRPr="008E42F7">
        <w:t>г-н Gikas HARDOUVELIS</w:t>
      </w:r>
      <w:r w:rsidRPr="008E42F7">
        <w:tab/>
        <w:t>Министър на финансите</w:t>
      </w:r>
    </w:p>
    <w:p w:rsidR="005B031E" w:rsidRPr="008E42F7" w:rsidRDefault="005B031E" w:rsidP="003E2E96">
      <w:pPr>
        <w:pStyle w:val="ParticipantGroup"/>
        <w:spacing w:line="200" w:lineRule="exact"/>
        <w:outlineLvl w:val="0"/>
      </w:pPr>
      <w:r w:rsidRPr="008E42F7">
        <w:t>Испания:</w:t>
      </w:r>
    </w:p>
    <w:p w:rsidR="005B031E" w:rsidRPr="008E42F7" w:rsidRDefault="005B031E" w:rsidP="003E2E96">
      <w:pPr>
        <w:pStyle w:val="Participant"/>
        <w:spacing w:line="200" w:lineRule="exact"/>
      </w:pPr>
      <w:r w:rsidRPr="008E42F7">
        <w:t>г-н Luis DE GUINDOS JURADO</w:t>
      </w:r>
      <w:r w:rsidRPr="008E42F7">
        <w:tab/>
        <w:t>Министър на икономиката и конкурентоспособността</w:t>
      </w:r>
    </w:p>
    <w:p w:rsidR="005B031E" w:rsidRPr="008E42F7" w:rsidRDefault="005B031E" w:rsidP="003E2E96">
      <w:pPr>
        <w:pStyle w:val="ParticipantGroup"/>
        <w:spacing w:line="200" w:lineRule="exact"/>
        <w:outlineLvl w:val="0"/>
      </w:pPr>
      <w:r w:rsidRPr="008E42F7">
        <w:t>Франция:</w:t>
      </w:r>
    </w:p>
    <w:p w:rsidR="005B031E" w:rsidRPr="008E42F7" w:rsidRDefault="005B031E" w:rsidP="003E2E96">
      <w:pPr>
        <w:pStyle w:val="Participant"/>
        <w:spacing w:line="200" w:lineRule="exact"/>
      </w:pPr>
      <w:r w:rsidRPr="008E42F7">
        <w:t>г-н Michel SAPIN</w:t>
      </w:r>
      <w:r w:rsidRPr="008E42F7">
        <w:tab/>
        <w:t>Министър на финансите и публичните сметки</w:t>
      </w:r>
    </w:p>
    <w:p w:rsidR="005B031E" w:rsidRPr="008E42F7" w:rsidRDefault="005B031E" w:rsidP="003E2E96">
      <w:pPr>
        <w:pStyle w:val="ParticipantGroup"/>
        <w:spacing w:line="200" w:lineRule="exact"/>
        <w:outlineLvl w:val="0"/>
        <w:rPr>
          <w:b w:val="0"/>
          <w:bCs/>
        </w:rPr>
      </w:pPr>
      <w:r w:rsidRPr="008E42F7">
        <w:t>Хърватия:</w:t>
      </w:r>
    </w:p>
    <w:p w:rsidR="005B031E" w:rsidRPr="008E42F7" w:rsidRDefault="005B031E" w:rsidP="003E2E96">
      <w:pPr>
        <w:pStyle w:val="Participant"/>
        <w:spacing w:line="200" w:lineRule="exact"/>
      </w:pPr>
      <w:r w:rsidRPr="008E42F7">
        <w:t>г-н Mato ŠKRABALO</w:t>
      </w:r>
      <w:r w:rsidRPr="008E42F7">
        <w:tab/>
        <w:t>Постоянен представител</w:t>
      </w:r>
    </w:p>
    <w:p w:rsidR="005B031E" w:rsidRPr="008E42F7" w:rsidRDefault="005B031E" w:rsidP="003E2E96">
      <w:pPr>
        <w:pStyle w:val="ParticipantGroup"/>
        <w:spacing w:line="200" w:lineRule="exact"/>
        <w:outlineLvl w:val="0"/>
        <w:rPr>
          <w:b w:val="0"/>
          <w:bCs/>
        </w:rPr>
      </w:pPr>
      <w:r w:rsidRPr="008E42F7">
        <w:t>Италия:</w:t>
      </w:r>
    </w:p>
    <w:p w:rsidR="005B031E" w:rsidRPr="008E42F7" w:rsidRDefault="005B031E" w:rsidP="003E2E96">
      <w:pPr>
        <w:pStyle w:val="Participant"/>
        <w:spacing w:line="200" w:lineRule="exact"/>
      </w:pPr>
      <w:r w:rsidRPr="008E42F7">
        <w:t>г-н Pietro Carlo PADOAN</w:t>
      </w:r>
      <w:r w:rsidRPr="008E42F7">
        <w:tab/>
        <w:t>Министър на икономиката и финансите</w:t>
      </w:r>
    </w:p>
    <w:p w:rsidR="005B031E" w:rsidRPr="008E42F7" w:rsidRDefault="005B031E" w:rsidP="003E2E96">
      <w:pPr>
        <w:pStyle w:val="ParticipantGroup"/>
        <w:spacing w:line="200" w:lineRule="exact"/>
        <w:outlineLvl w:val="0"/>
      </w:pPr>
      <w:r w:rsidRPr="008E42F7">
        <w:t>Кипър:</w:t>
      </w:r>
    </w:p>
    <w:p w:rsidR="005B031E" w:rsidRPr="008E42F7" w:rsidRDefault="005B031E" w:rsidP="003E2E96">
      <w:pPr>
        <w:pStyle w:val="Participant"/>
        <w:spacing w:line="200" w:lineRule="exact"/>
      </w:pPr>
      <w:r w:rsidRPr="008E42F7">
        <w:t>г-н Harris GEORGIADES</w:t>
      </w:r>
      <w:r w:rsidRPr="008E42F7">
        <w:tab/>
        <w:t>Министър на финансите</w:t>
      </w:r>
    </w:p>
    <w:p w:rsidR="005B031E" w:rsidRPr="008E42F7" w:rsidRDefault="005B031E" w:rsidP="003E2E96">
      <w:pPr>
        <w:pStyle w:val="ParticipantGroup"/>
        <w:spacing w:line="200" w:lineRule="exact"/>
        <w:outlineLvl w:val="0"/>
      </w:pPr>
      <w:r w:rsidRPr="008E42F7">
        <w:t>Латвия:</w:t>
      </w:r>
    </w:p>
    <w:p w:rsidR="005B031E" w:rsidRPr="008E42F7" w:rsidRDefault="005B031E" w:rsidP="003E2E96">
      <w:pPr>
        <w:pStyle w:val="Participant"/>
        <w:spacing w:line="200" w:lineRule="exact"/>
      </w:pPr>
      <w:r w:rsidRPr="008E42F7">
        <w:t>г-н Jānis REIRS</w:t>
      </w:r>
      <w:r w:rsidRPr="008E42F7">
        <w:tab/>
        <w:t>Министър на финансите</w:t>
      </w:r>
    </w:p>
    <w:p w:rsidR="005B031E" w:rsidRPr="008E42F7" w:rsidRDefault="005B031E" w:rsidP="003E2E96">
      <w:pPr>
        <w:pStyle w:val="ParticipantGroup"/>
        <w:spacing w:line="200" w:lineRule="exact"/>
        <w:outlineLvl w:val="0"/>
      </w:pPr>
      <w:r w:rsidRPr="008E42F7">
        <w:t>Литва:</w:t>
      </w:r>
    </w:p>
    <w:p w:rsidR="005B031E" w:rsidRPr="008E42F7" w:rsidRDefault="005B031E" w:rsidP="003E2E96">
      <w:pPr>
        <w:pStyle w:val="Participant"/>
        <w:spacing w:line="200" w:lineRule="exact"/>
      </w:pPr>
      <w:r w:rsidRPr="008E42F7">
        <w:t>г-н Rimantas ŠADŽIUS</w:t>
      </w:r>
      <w:r w:rsidRPr="008E42F7">
        <w:tab/>
        <w:t>Министър на финансите</w:t>
      </w:r>
    </w:p>
    <w:p w:rsidR="005B031E" w:rsidRPr="008E42F7" w:rsidRDefault="005B031E" w:rsidP="003E2E96">
      <w:pPr>
        <w:pStyle w:val="ParticipantGroup"/>
        <w:spacing w:line="200" w:lineRule="exact"/>
        <w:outlineLvl w:val="0"/>
        <w:rPr>
          <w:b w:val="0"/>
          <w:bCs/>
        </w:rPr>
      </w:pPr>
      <w:r w:rsidRPr="008E42F7">
        <w:t>Люксембург:</w:t>
      </w:r>
    </w:p>
    <w:p w:rsidR="005B031E" w:rsidRPr="008E42F7" w:rsidRDefault="005B031E" w:rsidP="003E2E96">
      <w:pPr>
        <w:pStyle w:val="Participant"/>
        <w:spacing w:line="200" w:lineRule="exact"/>
      </w:pPr>
      <w:r w:rsidRPr="008E42F7">
        <w:t>г-н Pierre GRAMEGNA</w:t>
      </w:r>
      <w:r w:rsidRPr="008E42F7">
        <w:tab/>
        <w:t>Министър на финансите</w:t>
      </w:r>
    </w:p>
    <w:p w:rsidR="005B031E" w:rsidRPr="008E42F7" w:rsidRDefault="005B031E" w:rsidP="003E2E96">
      <w:pPr>
        <w:pStyle w:val="ParticipantGroup"/>
        <w:spacing w:line="200" w:lineRule="exact"/>
        <w:outlineLvl w:val="0"/>
      </w:pPr>
      <w:r w:rsidRPr="008E42F7">
        <w:t>Унгария:</w:t>
      </w:r>
    </w:p>
    <w:p w:rsidR="005B031E" w:rsidRPr="008E42F7" w:rsidRDefault="005B031E" w:rsidP="003E2E96">
      <w:pPr>
        <w:pStyle w:val="Participant"/>
        <w:spacing w:line="200" w:lineRule="exact"/>
      </w:pPr>
      <w:r w:rsidRPr="008E42F7">
        <w:t>г-н Mihály VARGA</w:t>
      </w:r>
      <w:r w:rsidRPr="008E42F7">
        <w:tab/>
        <w:t>Министър на националната икономика</w:t>
      </w:r>
    </w:p>
    <w:p w:rsidR="005B031E" w:rsidRPr="008E42F7" w:rsidRDefault="005B031E" w:rsidP="003E2E96">
      <w:pPr>
        <w:pStyle w:val="ParticipantGroup"/>
        <w:spacing w:line="200" w:lineRule="exact"/>
        <w:outlineLvl w:val="0"/>
      </w:pPr>
      <w:r w:rsidRPr="008E42F7">
        <w:t>Малта:</w:t>
      </w:r>
    </w:p>
    <w:p w:rsidR="005B031E" w:rsidRPr="008E42F7" w:rsidRDefault="005B031E" w:rsidP="003E2E96">
      <w:pPr>
        <w:pStyle w:val="Participant"/>
        <w:spacing w:line="200" w:lineRule="exact"/>
      </w:pPr>
      <w:r w:rsidRPr="008E42F7">
        <w:t>г-н Edward SCICLUNA</w:t>
      </w:r>
      <w:r w:rsidRPr="008E42F7">
        <w:tab/>
        <w:t>Министър на финансите</w:t>
      </w:r>
    </w:p>
    <w:p w:rsidR="005B031E" w:rsidRPr="008E42F7" w:rsidRDefault="005B031E" w:rsidP="003E2E96">
      <w:pPr>
        <w:pStyle w:val="ParticipantGroup"/>
        <w:spacing w:line="200" w:lineRule="exact"/>
      </w:pPr>
      <w:r w:rsidRPr="008E42F7">
        <w:t>Нидерландия:</w:t>
      </w:r>
    </w:p>
    <w:p w:rsidR="005B031E" w:rsidRPr="008E42F7" w:rsidRDefault="005B031E" w:rsidP="003E2E96">
      <w:pPr>
        <w:pStyle w:val="Participant"/>
        <w:spacing w:line="200" w:lineRule="exact"/>
      </w:pPr>
      <w:r w:rsidRPr="008E42F7">
        <w:t>г-н Jeroen DIJSSELBLOEM</w:t>
      </w:r>
      <w:r w:rsidRPr="008E42F7">
        <w:tab/>
        <w:t>Министър на финансите</w:t>
      </w:r>
    </w:p>
    <w:p w:rsidR="005B031E" w:rsidRPr="008E42F7" w:rsidRDefault="005B031E" w:rsidP="003E2E96">
      <w:pPr>
        <w:pStyle w:val="ParticipantGroup"/>
        <w:spacing w:line="200" w:lineRule="exact"/>
        <w:outlineLvl w:val="0"/>
      </w:pPr>
      <w:r w:rsidRPr="008E42F7">
        <w:t>Австрия:</w:t>
      </w:r>
    </w:p>
    <w:p w:rsidR="005B031E" w:rsidRPr="008E42F7" w:rsidRDefault="005B031E" w:rsidP="003E2E96">
      <w:pPr>
        <w:pStyle w:val="Participant"/>
        <w:spacing w:line="200" w:lineRule="exact"/>
      </w:pPr>
      <w:r w:rsidRPr="008E42F7">
        <w:t>г-н Hans Jörg SCHELLING</w:t>
      </w:r>
      <w:r w:rsidRPr="008E42F7">
        <w:tab/>
        <w:t>Федерален министър на финансите</w:t>
      </w:r>
    </w:p>
    <w:p w:rsidR="005B031E" w:rsidRPr="008E42F7" w:rsidRDefault="005B031E" w:rsidP="003E2E96">
      <w:pPr>
        <w:pStyle w:val="ParticipantGroup"/>
        <w:spacing w:line="200" w:lineRule="exact"/>
        <w:outlineLvl w:val="0"/>
        <w:rPr>
          <w:b w:val="0"/>
          <w:bCs/>
        </w:rPr>
      </w:pPr>
      <w:r w:rsidRPr="008E42F7">
        <w:t>Полша:</w:t>
      </w:r>
    </w:p>
    <w:p w:rsidR="005B031E" w:rsidRPr="008E42F7" w:rsidRDefault="005B031E" w:rsidP="003E2E96">
      <w:pPr>
        <w:pStyle w:val="Participant"/>
        <w:spacing w:line="200" w:lineRule="exact"/>
      </w:pPr>
      <w:r w:rsidRPr="008E42F7">
        <w:t>г-н Mateusz SZCZUREK</w:t>
      </w:r>
      <w:r w:rsidRPr="008E42F7">
        <w:tab/>
        <w:t>Министър на финансите</w:t>
      </w:r>
    </w:p>
    <w:p w:rsidR="005B031E" w:rsidRPr="008E42F7" w:rsidRDefault="005B031E" w:rsidP="003E2E96">
      <w:pPr>
        <w:pStyle w:val="ParticipantGroup"/>
        <w:spacing w:line="200" w:lineRule="exact"/>
        <w:outlineLvl w:val="0"/>
        <w:rPr>
          <w:bCs/>
        </w:rPr>
      </w:pPr>
      <w:r w:rsidRPr="008E42F7">
        <w:t>Португалия:</w:t>
      </w:r>
    </w:p>
    <w:p w:rsidR="005B031E" w:rsidRPr="008E42F7" w:rsidRDefault="005B031E" w:rsidP="003E2E96">
      <w:pPr>
        <w:pStyle w:val="Participant"/>
        <w:spacing w:line="200" w:lineRule="exact"/>
      </w:pPr>
      <w:r w:rsidRPr="008E42F7">
        <w:t>г-жа Maria Luís ALBUQUERQUE</w:t>
      </w:r>
      <w:r w:rsidRPr="008E42F7">
        <w:tab/>
        <w:t>Министър на финансите</w:t>
      </w:r>
    </w:p>
    <w:p w:rsidR="005B031E" w:rsidRPr="008E42F7" w:rsidRDefault="005B031E" w:rsidP="003E2E96">
      <w:pPr>
        <w:pStyle w:val="ParticipantGroup"/>
        <w:spacing w:line="200" w:lineRule="exact"/>
        <w:outlineLvl w:val="0"/>
      </w:pPr>
      <w:r w:rsidRPr="008E42F7">
        <w:t>Румъния:</w:t>
      </w:r>
    </w:p>
    <w:p w:rsidR="005B031E" w:rsidRPr="008E42F7" w:rsidRDefault="005B031E" w:rsidP="003E2E96">
      <w:pPr>
        <w:pStyle w:val="Participant"/>
        <w:spacing w:line="200" w:lineRule="exact"/>
      </w:pPr>
      <w:r w:rsidRPr="008E42F7">
        <w:t>г-н Mihnea MOTOC</w:t>
      </w:r>
      <w:r w:rsidRPr="008E42F7">
        <w:tab/>
        <w:t>Постоянен представител</w:t>
      </w:r>
    </w:p>
    <w:p w:rsidR="005B031E" w:rsidRPr="008E42F7" w:rsidRDefault="005B031E" w:rsidP="003E2E96">
      <w:pPr>
        <w:pStyle w:val="ParticipantGroup"/>
        <w:spacing w:line="200" w:lineRule="exact"/>
        <w:outlineLvl w:val="0"/>
      </w:pPr>
      <w:r w:rsidRPr="008E42F7">
        <w:t>Словения:</w:t>
      </w:r>
    </w:p>
    <w:p w:rsidR="005B031E" w:rsidRPr="008E42F7" w:rsidRDefault="005B031E" w:rsidP="003E2E96">
      <w:pPr>
        <w:pStyle w:val="Participant"/>
        <w:spacing w:line="200" w:lineRule="exact"/>
      </w:pPr>
      <w:r w:rsidRPr="008E42F7">
        <w:t>г-жа Irena SODIN</w:t>
      </w:r>
      <w:r w:rsidRPr="008E42F7">
        <w:tab/>
        <w:t>Държавен секретар, Министерство на финансите</w:t>
      </w:r>
    </w:p>
    <w:p w:rsidR="005B031E" w:rsidRPr="008E42F7" w:rsidRDefault="005B031E" w:rsidP="00225887">
      <w:pPr>
        <w:pStyle w:val="ParticipantGroup"/>
        <w:pageBreakBefore/>
        <w:outlineLvl w:val="0"/>
      </w:pPr>
      <w:r w:rsidRPr="008E42F7">
        <w:lastRenderedPageBreak/>
        <w:t>Словакия:</w:t>
      </w:r>
    </w:p>
    <w:p w:rsidR="005B031E" w:rsidRPr="008E42F7" w:rsidRDefault="005B031E" w:rsidP="005B031E">
      <w:pPr>
        <w:pStyle w:val="Participant"/>
      </w:pPr>
      <w:r w:rsidRPr="008E42F7">
        <w:t>г-н Peter KAŽIMÍR</w:t>
      </w:r>
      <w:r w:rsidRPr="008E42F7">
        <w:tab/>
        <w:t>Заместник министър-председател и министър на финансите</w:t>
      </w:r>
    </w:p>
    <w:p w:rsidR="005B031E" w:rsidRPr="008E42F7" w:rsidRDefault="005B031E" w:rsidP="005B031E">
      <w:pPr>
        <w:pStyle w:val="ParticipantGroup"/>
        <w:outlineLvl w:val="0"/>
        <w:rPr>
          <w:b w:val="0"/>
          <w:bCs/>
        </w:rPr>
      </w:pPr>
      <w:r w:rsidRPr="008E42F7">
        <w:t>Финландия:</w:t>
      </w:r>
    </w:p>
    <w:p w:rsidR="005B031E" w:rsidRPr="008E42F7" w:rsidRDefault="005B031E" w:rsidP="005B031E">
      <w:pPr>
        <w:pStyle w:val="Participant"/>
      </w:pPr>
      <w:r w:rsidRPr="008E42F7">
        <w:t>г-н Antti RINNE</w:t>
      </w:r>
      <w:r w:rsidRPr="008E42F7">
        <w:tab/>
        <w:t>Заместник министър-председател, министър на финансите</w:t>
      </w:r>
    </w:p>
    <w:p w:rsidR="005B031E" w:rsidRPr="008E42F7" w:rsidRDefault="005B031E" w:rsidP="005B031E">
      <w:pPr>
        <w:pStyle w:val="ParticipantGroup"/>
        <w:outlineLvl w:val="0"/>
      </w:pPr>
      <w:r w:rsidRPr="008E42F7">
        <w:t>Швеция:</w:t>
      </w:r>
    </w:p>
    <w:p w:rsidR="005B031E" w:rsidRPr="008E42F7" w:rsidRDefault="005B031E" w:rsidP="005B031E">
      <w:pPr>
        <w:pStyle w:val="Participant"/>
      </w:pPr>
      <w:r w:rsidRPr="008E42F7">
        <w:t>г-жа Magdalena ANDERSSON</w:t>
      </w:r>
      <w:r w:rsidRPr="008E42F7">
        <w:tab/>
        <w:t>Министър на финансите</w:t>
      </w:r>
    </w:p>
    <w:p w:rsidR="005B031E" w:rsidRPr="008E42F7" w:rsidRDefault="005B031E" w:rsidP="005B031E">
      <w:pPr>
        <w:pStyle w:val="ParticipantGroup"/>
        <w:outlineLvl w:val="0"/>
      </w:pPr>
      <w:r w:rsidRPr="008E42F7">
        <w:t>Обединеното кралство:</w:t>
      </w:r>
    </w:p>
    <w:p w:rsidR="005B031E" w:rsidRPr="008E42F7" w:rsidRDefault="005B031E" w:rsidP="005B031E">
      <w:pPr>
        <w:pStyle w:val="Participant"/>
      </w:pPr>
      <w:r w:rsidRPr="008E42F7">
        <w:t>г-н George OSBORNE</w:t>
      </w:r>
      <w:r w:rsidRPr="008E42F7">
        <w:tab/>
        <w:t>Министър на финансите</w:t>
      </w:r>
    </w:p>
    <w:p w:rsidR="005B031E" w:rsidRPr="008E42F7" w:rsidRDefault="005B031E" w:rsidP="005B031E">
      <w:pPr>
        <w:pStyle w:val="ParticipantGroup"/>
        <w:outlineLvl w:val="0"/>
        <w:rPr>
          <w:b w:val="0"/>
          <w:bCs/>
        </w:rPr>
      </w:pPr>
      <w:r w:rsidRPr="008E42F7">
        <w:t>Комисия:</w:t>
      </w:r>
    </w:p>
    <w:p w:rsidR="005B031E" w:rsidRPr="008E42F7" w:rsidRDefault="005B031E" w:rsidP="005B031E">
      <w:pPr>
        <w:pStyle w:val="Participant"/>
      </w:pPr>
      <w:r w:rsidRPr="008E42F7">
        <w:t>г-жа Кристалина ГЕОРГИЕВА</w:t>
      </w:r>
      <w:r w:rsidRPr="008E42F7">
        <w:tab/>
        <w:t>Заместник-председател</w:t>
      </w:r>
    </w:p>
    <w:p w:rsidR="005B031E" w:rsidRPr="008E42F7" w:rsidRDefault="005B031E" w:rsidP="005B031E">
      <w:pPr>
        <w:pStyle w:val="Participant"/>
      </w:pPr>
      <w:r w:rsidRPr="008E42F7">
        <w:t>г-н Валдис ДОМБРОВСКИС</w:t>
      </w:r>
      <w:r w:rsidRPr="008E42F7">
        <w:tab/>
        <w:t>Заместник-председател</w:t>
      </w:r>
    </w:p>
    <w:p w:rsidR="005B031E" w:rsidRPr="008E42F7" w:rsidRDefault="005B031E" w:rsidP="005B031E">
      <w:pPr>
        <w:pStyle w:val="Participant"/>
      </w:pPr>
      <w:r w:rsidRPr="008E42F7">
        <w:t>г-н Юрки КАТАЙНЕН</w:t>
      </w:r>
      <w:r w:rsidRPr="008E42F7">
        <w:tab/>
        <w:t>Заместник-председател</w:t>
      </w:r>
    </w:p>
    <w:p w:rsidR="005B031E" w:rsidRPr="008E42F7" w:rsidRDefault="005B031E" w:rsidP="005B031E">
      <w:pPr>
        <w:pStyle w:val="Participant"/>
      </w:pPr>
      <w:r w:rsidRPr="008E42F7">
        <w:t>г-н Пиер МОСКОВИСИ</w:t>
      </w:r>
      <w:r w:rsidRPr="008E42F7">
        <w:tab/>
        <w:t>Член</w:t>
      </w:r>
    </w:p>
    <w:p w:rsidR="005B031E" w:rsidRPr="008E42F7" w:rsidRDefault="005B031E" w:rsidP="005B031E">
      <w:pPr>
        <w:pStyle w:val="Participant"/>
      </w:pPr>
      <w:r w:rsidRPr="008E42F7">
        <w:t>г-н Джонатан ХИЛ</w:t>
      </w:r>
      <w:r w:rsidRPr="008E42F7">
        <w:tab/>
        <w:t>Член</w:t>
      </w:r>
    </w:p>
    <w:p w:rsidR="005B031E" w:rsidRPr="008E42F7" w:rsidRDefault="005B031E" w:rsidP="005B031E">
      <w:pPr>
        <w:pStyle w:val="ParticipantsSeparator"/>
      </w:pPr>
    </w:p>
    <w:p w:rsidR="005B031E" w:rsidRPr="008E42F7" w:rsidRDefault="005B031E" w:rsidP="005B031E">
      <w:pPr>
        <w:pStyle w:val="ParticipantGroup"/>
      </w:pPr>
      <w:r w:rsidRPr="008E42F7">
        <w:t>Други участници:</w:t>
      </w:r>
    </w:p>
    <w:p w:rsidR="00BB307D" w:rsidRPr="008E42F7" w:rsidRDefault="00BB307D" w:rsidP="00BB307D">
      <w:pPr>
        <w:pStyle w:val="Participant"/>
      </w:pPr>
      <w:r w:rsidRPr="008E42F7">
        <w:t>г-н Vítor CONSTÂNCIO</w:t>
      </w:r>
      <w:r w:rsidRPr="008E42F7">
        <w:tab/>
        <w:t>Заместник-председател на Европейската централна банка</w:t>
      </w:r>
    </w:p>
    <w:p w:rsidR="005B031E" w:rsidRPr="008E42F7" w:rsidRDefault="005B031E" w:rsidP="005B031E">
      <w:pPr>
        <w:pStyle w:val="Participant"/>
      </w:pPr>
      <w:r w:rsidRPr="008E42F7">
        <w:t>г-н Werner HOYER</w:t>
      </w:r>
      <w:r w:rsidRPr="008E42F7">
        <w:tab/>
        <w:t>Председател на Европейската инвестиционна банка</w:t>
      </w:r>
    </w:p>
    <w:p w:rsidR="005B031E" w:rsidRPr="008E42F7" w:rsidRDefault="005B031E" w:rsidP="005B031E">
      <w:pPr>
        <w:pStyle w:val="Participant"/>
      </w:pPr>
      <w:r w:rsidRPr="008E42F7">
        <w:t>г-н Thomas WIESER</w:t>
      </w:r>
      <w:r w:rsidRPr="008E42F7">
        <w:tab/>
        <w:t>Председател на Икономическия и финансов комитет</w:t>
      </w:r>
    </w:p>
    <w:p w:rsidR="005B031E" w:rsidRPr="008E42F7" w:rsidRDefault="005B031E" w:rsidP="005B031E">
      <w:pPr>
        <w:pStyle w:val="Participant"/>
      </w:pPr>
      <w:r w:rsidRPr="008E42F7">
        <w:t>г-н Jens GRANLUND</w:t>
      </w:r>
      <w:r w:rsidRPr="008E42F7">
        <w:tab/>
        <w:t>Председател на Комитета за икономическа политика</w:t>
      </w:r>
    </w:p>
    <w:p w:rsidR="00B53E9F" w:rsidRPr="008E42F7" w:rsidRDefault="00B53E9F" w:rsidP="00B53E9F">
      <w:pPr>
        <w:sectPr w:rsidR="00B53E9F" w:rsidRPr="008E42F7" w:rsidSect="00A01E31">
          <w:headerReference w:type="even" r:id="rId25"/>
          <w:footerReference w:type="even" r:id="rId26"/>
          <w:headerReference w:type="first" r:id="rId27"/>
          <w:footerReference w:type="first" r:id="rId28"/>
          <w:footnotePr>
            <w:numRestart w:val="eachPage"/>
          </w:footnotePr>
          <w:pgSz w:w="11907" w:h="16840" w:code="9"/>
          <w:pgMar w:top="1134" w:right="1134" w:bottom="1134" w:left="1134" w:header="567" w:footer="567" w:gutter="0"/>
          <w:cols w:space="708"/>
          <w:docGrid w:linePitch="360"/>
        </w:sectPr>
      </w:pPr>
    </w:p>
    <w:p w:rsidR="003E2E96" w:rsidRPr="00705D14" w:rsidRDefault="003E2E96" w:rsidP="003E2E96">
      <w:pPr>
        <w:pStyle w:val="ItemsDebatedHeading"/>
        <w:spacing w:after="120"/>
      </w:pPr>
      <w:bookmarkStart w:id="6" w:name="TBDW_f846877078f14eb2a6ab3a3a5925ef00"/>
      <w:r>
        <w:lastRenderedPageBreak/>
        <w:t>ОБСЪДЕНИ ТОЧКИ ОТ ДНЕВНИЯ РЕД</w:t>
      </w:r>
      <w:bookmarkEnd w:id="6"/>
    </w:p>
    <w:p w:rsidR="003E2E96" w:rsidRPr="00705D14" w:rsidRDefault="003E2E96" w:rsidP="003E2E96">
      <w:pPr>
        <w:pStyle w:val="ItemDebated"/>
        <w:spacing w:after="120"/>
      </w:pPr>
      <w:bookmarkStart w:id="7" w:name="_Toc410898050"/>
      <w:r>
        <w:t>ДАНЪК ВЪРХУ ФИНАНСОВИТЕ СДЕЛКИ</w:t>
      </w:r>
      <w:bookmarkEnd w:id="7"/>
    </w:p>
    <w:p w:rsidR="003E2E96" w:rsidRPr="00705D14" w:rsidRDefault="003E2E96" w:rsidP="003E2E96">
      <w:pPr>
        <w:suppressAutoHyphens/>
        <w:spacing w:after="120"/>
      </w:pPr>
      <w:r>
        <w:rPr>
          <w:color w:val="000000"/>
          <w:kern w:val="2"/>
        </w:rPr>
        <w:t>Съветът обсъди предложение, което има за цел</w:t>
      </w:r>
      <w:r>
        <w:t xml:space="preserve"> въвеждането на данък върху финансовите сделки (ДФС) в 11 държави членки посредством „засилено сътрудничество“. </w:t>
      </w:r>
      <w:r>
        <w:rPr>
          <w:color w:val="000000"/>
          <w:kern w:val="2"/>
        </w:rPr>
        <w:t>Председателството докладва за напредъка, постигнат през неговия мандат, като изложи възгледите си за евентуалното разглеждане на досието от следващото председателство (</w:t>
      </w:r>
      <w:hyperlink r:id="rId29" w:tooltip="http://register.consilium.europa.eu/pdf/bg/14/st16/st16498.bg14.pdf">
        <w:r w:rsidRPr="00DE65CF">
          <w:rPr>
            <w:rStyle w:val="Hyperlink"/>
            <w:i/>
            <w:kern w:val="2"/>
          </w:rPr>
          <w:t>16498/14</w:t>
        </w:r>
      </w:hyperlink>
      <w:r>
        <w:rPr>
          <w:color w:val="000000"/>
          <w:kern w:val="2"/>
        </w:rPr>
        <w:t>).</w:t>
      </w:r>
    </w:p>
    <w:p w:rsidR="003E2E96" w:rsidRPr="00705D14" w:rsidRDefault="003E2E96" w:rsidP="003E2E96">
      <w:pPr>
        <w:spacing w:after="120"/>
      </w:pPr>
      <w:r>
        <w:t>Председателството отбеляза, че:</w:t>
      </w:r>
    </w:p>
    <w:p w:rsidR="003E2E96" w:rsidRPr="00705D14" w:rsidRDefault="003E2E96" w:rsidP="003E2E96">
      <w:pPr>
        <w:pStyle w:val="Tiret0"/>
        <w:numPr>
          <w:ilvl w:val="0"/>
          <w:numId w:val="1"/>
        </w:numPr>
        <w:spacing w:after="120"/>
      </w:pPr>
      <w:r>
        <w:t>беше постигнат напредък по отношение на обхвата на ДФС за сделки с акции, докато данъчното облагане на сделки с деривати остава основен нерешен въпрос. в резултат на работата по установяване на категориите деривати, които да бъдат обложени с ДФС по време на първоначалния етап, беше постигнато по-добро разбиране по някои ключови въпроси.</w:t>
      </w:r>
    </w:p>
    <w:p w:rsidR="003E2E96" w:rsidRPr="00705D14" w:rsidRDefault="003E2E96" w:rsidP="003E2E96">
      <w:pPr>
        <w:pStyle w:val="Tiret0"/>
        <w:numPr>
          <w:ilvl w:val="0"/>
          <w:numId w:val="2"/>
        </w:numPr>
        <w:spacing w:after="120"/>
      </w:pPr>
      <w:r>
        <w:t>е необходимо по-нататъшно разглеждане на принципите, по които ще се прилага данъчното облагане (принцип на мястото на установяване, принцип на издаване).</w:t>
      </w:r>
    </w:p>
    <w:p w:rsidR="003E2E96" w:rsidRPr="00705D14" w:rsidRDefault="003E2E96" w:rsidP="003E2E96">
      <w:pPr>
        <w:pStyle w:val="Tiret0"/>
        <w:numPr>
          <w:ilvl w:val="0"/>
          <w:numId w:val="2"/>
        </w:numPr>
        <w:spacing w:after="120"/>
      </w:pPr>
      <w:r>
        <w:t>е необходима по-нататъшна работа относно механизма, който ще се използва за събирането на ДФС.</w:t>
      </w:r>
    </w:p>
    <w:p w:rsidR="003E2E96" w:rsidRPr="00705D14" w:rsidRDefault="003E2E96" w:rsidP="003E2E96">
      <w:pPr>
        <w:spacing w:after="120"/>
      </w:pPr>
      <w:r>
        <w:t>С ДФС се цели да се гарантира, че финансовият сектор дава своя справедлив и значителен принос към приходите от данъчното облагане, след като правителствата трябваше да се намесят по време на финансовата криза. ДФС е предназначен също така и да възпрепятства извършването на сделки, които не повишават ефективността на финансовите пазари.</w:t>
      </w:r>
    </w:p>
    <w:p w:rsidR="003E2E96" w:rsidRPr="00705D14" w:rsidRDefault="003E2E96" w:rsidP="003E2E96">
      <w:pPr>
        <w:spacing w:after="120"/>
      </w:pPr>
      <w:r>
        <w:t>Засиленото сътрудничество в областта на ДФС беше разрешено през януари 2013 г. с Решение 2013/52/ЕС</w:t>
      </w:r>
      <w:r>
        <w:rPr>
          <w:rStyle w:val="FootnoteReference"/>
        </w:rPr>
        <w:footnoteReference w:id="1"/>
      </w:r>
      <w:r>
        <w:t xml:space="preserve"> (</w:t>
      </w:r>
      <w:r>
        <w:rPr>
          <w:i/>
        </w:rPr>
        <w:t xml:space="preserve">съобщение за печата </w:t>
      </w:r>
      <w:hyperlink r:id="rId30" w:tooltip="http://register.consilium.europa.eu/pdf/en/13/st05/st05555.en13.pdf">
        <w:r w:rsidRPr="00DE65CF">
          <w:rPr>
            <w:rStyle w:val="Hyperlink"/>
            <w:i/>
          </w:rPr>
          <w:t>5555/13</w:t>
        </w:r>
      </w:hyperlink>
      <w:r>
        <w:t>). Това се случи след като предложението от месец септември 2011 г. за въвеждане на ДФС в целия ЕС не успя да получи единодушна подкрепа. Участващите държави са: Австрия, Белгия, Естония, Франция, Германия, Гърция, Италия, Португалия, Словакия, Словения и Испания.</w:t>
      </w:r>
    </w:p>
    <w:p w:rsidR="003E2E96" w:rsidRPr="00705D14" w:rsidRDefault="003E2E96" w:rsidP="003E2E96">
      <w:pPr>
        <w:spacing w:after="120"/>
      </w:pPr>
      <w:r>
        <w:t>Предложената директива определя начините за въвеждане на ДФС в 11-те държави членки. Обхватът и целите на внесеното за разглеждане през февруари 2013 г. предложение (</w:t>
      </w:r>
      <w:hyperlink r:id="rId31" w:tooltip="http://register.consilium.europa.eu/pdf/bg/13/st06/st06442.bg13.pdf">
        <w:r w:rsidRPr="00DE65CF">
          <w:rPr>
            <w:rStyle w:val="Hyperlink"/>
            <w:i/>
          </w:rPr>
          <w:t>6442/13</w:t>
        </w:r>
      </w:hyperlink>
      <w:r>
        <w:t>) са същите като в първоначалното предложение на Комисията за въвеждане на ДФС в целия ЕС. То включва минимална данъчна ставка от 0,1 % за сделки с всички видове финансови инструменти с изключение на деривати, към които следва да се прилага минимална данъчна ставка от 0,01 %.</w:t>
      </w:r>
    </w:p>
    <w:p w:rsidR="003E2E96" w:rsidRPr="00705D14" w:rsidRDefault="003E2E96" w:rsidP="003E2E96">
      <w:pPr>
        <w:spacing w:after="120"/>
        <w:rPr>
          <w:sz w:val="23"/>
          <w:szCs w:val="23"/>
        </w:rPr>
      </w:pPr>
      <w:r>
        <w:t xml:space="preserve">Директивата </w:t>
      </w:r>
      <w:r>
        <w:rPr>
          <w:sz w:val="23"/>
        </w:rPr>
        <w:t>изисква</w:t>
      </w:r>
      <w:r>
        <w:t xml:space="preserve"> единодушното съгласие на участниците </w:t>
      </w:r>
      <w:r>
        <w:rPr>
          <w:sz w:val="23"/>
        </w:rPr>
        <w:t>(в рамките на Съвета) след консултации с Европейския парламент. В обсъжданията на предложението могат да участват всички държави членки, но да гласуват могат единствено участващите държави членки. (Правно основание:</w:t>
      </w:r>
      <w:r>
        <w:t xml:space="preserve"> член 113 от Договора за функционирането на ЕС, както и членове от 326 до 334 от ДФЕС относно засиленото сътрудничество</w:t>
      </w:r>
      <w:r>
        <w:rPr>
          <w:sz w:val="23"/>
        </w:rPr>
        <w:t>)</w:t>
      </w:r>
    </w:p>
    <w:p w:rsidR="003E2E96" w:rsidRPr="00705D14" w:rsidRDefault="003E2E96" w:rsidP="003E2E96">
      <w:pPr>
        <w:pStyle w:val="ItemDebated"/>
      </w:pPr>
      <w:r>
        <w:br w:type="page"/>
      </w:r>
      <w:bookmarkStart w:id="8" w:name="_Toc410898051"/>
      <w:r w:rsidR="005A6527">
        <w:lastRenderedPageBreak/>
        <w:t>ЕДИНЕН ФОНД ЗА ПРЕСТРУКТУРИРАНЕ — ВНОСКИ НА БАНКИТЕ</w:t>
      </w:r>
      <w:bookmarkEnd w:id="8"/>
    </w:p>
    <w:p w:rsidR="003E2E96" w:rsidRPr="00705D14" w:rsidRDefault="003E2E96" w:rsidP="003E2E96">
      <w:r>
        <w:t>Съветът постигна съгласие по проект на регламент за изпълнение относно изчисляването на вноските, платими от банките, в единния фонд за преструктуриране на ЕС.</w:t>
      </w:r>
    </w:p>
    <w:p w:rsidR="003E2E96" w:rsidRPr="00705D14" w:rsidRDefault="003E2E96" w:rsidP="003E2E96">
      <w:r>
        <w:t>Фондът се създава съгласно единния механизъм за преструктуриране, който беше създаден неотдавна, за да се гарантира организираното преструктуриране на неплатежоспособни банки</w:t>
      </w:r>
      <w:r>
        <w:rPr>
          <w:rStyle w:val="FootnoteReference"/>
        </w:rPr>
        <w:footnoteReference w:id="2"/>
      </w:r>
      <w:r>
        <w:t>.</w:t>
      </w:r>
    </w:p>
    <w:p w:rsidR="003E2E96" w:rsidRPr="00705D14" w:rsidRDefault="003E2E96" w:rsidP="003E2E96">
      <w:r>
        <w:t>Единният фонд за преструктуриране ще се изгражда в продължение на период от осем години, за да се достигне целево равнище от поне 1% от размера на гарантираните депозити на всички кредитни институции, лицензирани в участващите държави членки.</w:t>
      </w:r>
    </w:p>
    <w:p w:rsidR="003E2E96" w:rsidRPr="00705D14" w:rsidRDefault="003E2E96" w:rsidP="003E2E96">
      <w:r>
        <w:t>Регламентът ще бъде приет без допълнителни обсъждания след финализирането му на всички езици.</w:t>
      </w:r>
    </w:p>
    <w:p w:rsidR="003E2E96" w:rsidRPr="00705D14" w:rsidRDefault="003E2E96" w:rsidP="003E2E96">
      <w:r>
        <w:t xml:space="preserve">За повече подробности вж. съобщение за печата </w:t>
      </w:r>
      <w:hyperlink r:id="rId32" w:tooltip="http://register.consilium.europa.eu/pdf/en/14/st16/st16645.en14.pdf">
        <w:r w:rsidRPr="00DE65CF">
          <w:rPr>
            <w:rStyle w:val="Hyperlink"/>
            <w:i/>
          </w:rPr>
          <w:t>16645/14</w:t>
        </w:r>
      </w:hyperlink>
      <w:r>
        <w:t>.</w:t>
      </w:r>
    </w:p>
    <w:p w:rsidR="003E2E96" w:rsidRPr="00705D14" w:rsidRDefault="003E2E96" w:rsidP="003E2E96">
      <w:pPr>
        <w:pStyle w:val="ItemDebated"/>
      </w:pPr>
      <w:r>
        <w:br w:type="page"/>
      </w:r>
      <w:bookmarkStart w:id="9" w:name="_Toc410898052"/>
      <w:r>
        <w:lastRenderedPageBreak/>
        <w:t>МЕРКИ В ПОДКРЕПА НА ИНВЕСТИЦИИТЕ</w:t>
      </w:r>
      <w:bookmarkEnd w:id="9"/>
    </w:p>
    <w:p w:rsidR="003E2E96" w:rsidRPr="00705D14" w:rsidRDefault="003E2E96" w:rsidP="003E2E96">
      <w:r>
        <w:t>Съветът направи преглед на мерките, предприети за подпомагане на инвестициите, преди заседанието на Европейския съвет на 18 и 19 декември 2014 г.</w:t>
      </w:r>
    </w:p>
    <w:p w:rsidR="003E2E96" w:rsidRPr="00705D14" w:rsidRDefault="003E2E96" w:rsidP="003E2E96">
      <w:r>
        <w:t>Комисията и Европейската инвестиционна банка (ЕИБ) докладваха относно дейността на работната група за инвестиции, създадена през октомври 2014 г. с цел идентифициране на потенциално жизнеспособни проекти в сферата на инвестициите, които да бъдат реализирани в краткосрочен и средносрочен план.</w:t>
      </w:r>
    </w:p>
    <w:p w:rsidR="003E2E96" w:rsidRPr="00705D14" w:rsidRDefault="003E2E96" w:rsidP="003E2E96">
      <w:r>
        <w:t>Комисията представи план за действие в областта на инвестициите, обявен на 26 ноември 2014 г. (</w:t>
      </w:r>
      <w:hyperlink r:id="rId33" w:tooltip="http://register.consilium.europa.eu/pdf/bg/14/st16/st16115.bg14.pdf">
        <w:r w:rsidRPr="00DE65CF">
          <w:rPr>
            <w:rStyle w:val="Hyperlink"/>
            <w:i/>
          </w:rPr>
          <w:t>16115/14</w:t>
        </w:r>
      </w:hyperlink>
      <w:r>
        <w:t>).</w:t>
      </w:r>
    </w:p>
    <w:p w:rsidR="003E2E96" w:rsidRPr="00705D14" w:rsidRDefault="003E2E96" w:rsidP="003E2E96">
      <w:r>
        <w:t>Съветът проведе първоначален обмен на мнения. Предложеният от Комисията план за инвестиции получи широка подкрепа. Председателството ще изпрати писмо до председателя на Европейския съвет, в което ще направи обобщение на резултатите от обсъждането. Съветът очаква законодателно предложение за конкретизиране на плана, чието разглеждане да започне в началото на 2015 г.</w:t>
      </w:r>
    </w:p>
    <w:p w:rsidR="003E2E96" w:rsidRPr="00705D14" w:rsidRDefault="003E2E96" w:rsidP="003E2E96">
      <w:r>
        <w:t>Сред въпросите, повдигнати по време на обсъжданията, са:</w:t>
      </w:r>
    </w:p>
    <w:p w:rsidR="003E2E96" w:rsidRPr="00705D14" w:rsidRDefault="003E2E96" w:rsidP="003E2E96">
      <w:pPr>
        <w:ind w:left="709" w:hanging="709"/>
      </w:pPr>
      <w:r>
        <w:t>—</w:t>
      </w:r>
      <w:r>
        <w:tab/>
        <w:t>Всичките три стълба на плана (инвестиционната среда, предоставянето на инвестиционно финансиране за икономиката, както и Европейският фонд за стратегически инвестиции, ЕФСИ)) са от основно значение за увеличаване на инвестициите в Европа. По тях следва да се напредва едновременно, като се разглеждат в рамките на една по-широка стратегия, съчетаваща инвестиции, структурни реформи, интеграция на единния пазар и фискалната отговорност;</w:t>
      </w:r>
    </w:p>
    <w:p w:rsidR="003E2E96" w:rsidRPr="00705D14" w:rsidRDefault="003E2E96" w:rsidP="003E2E96">
      <w:pPr>
        <w:ind w:left="709" w:hanging="709"/>
      </w:pPr>
      <w:r>
        <w:t>—</w:t>
      </w:r>
      <w:r>
        <w:tab/>
        <w:t>от Комисията бе поискано да изясни третирането на евентуални капиталови вноски от участващите в ЕФСИ държави членки съгласно съществуващите правила в рамките на Пакта за стабилност и растеж;</w:t>
      </w:r>
    </w:p>
    <w:p w:rsidR="003E2E96" w:rsidRPr="00705D14" w:rsidRDefault="003E2E96" w:rsidP="003E2E96">
      <w:pPr>
        <w:ind w:left="709" w:hanging="709"/>
      </w:pPr>
      <w:r>
        <w:t>—</w:t>
      </w:r>
      <w:r>
        <w:tab/>
        <w:t>проектите, които ще бъдат финансирани от ЕФСИ, следва да се избират след строг подбор, за да се гарантира, че те ще привлекат частни инвеститори, както и че планът ще осигури допълнителни инвестиции, а няма да разчита на използването на инвестиции, които вече са предвидени;</w:t>
      </w:r>
    </w:p>
    <w:p w:rsidR="003E2E96" w:rsidRPr="00705D14" w:rsidRDefault="003E2E96" w:rsidP="003E2E96">
      <w:pPr>
        <w:ind w:left="709" w:hanging="709"/>
      </w:pPr>
      <w:r>
        <w:t>—</w:t>
      </w:r>
      <w:r>
        <w:tab/>
        <w:t>Ролята на ЕИБ ще бъде от основно значение за успеха на плана. Беше приветствана интеграцията на новия фонд в рамките на управленската структура на банката;</w:t>
      </w:r>
    </w:p>
    <w:p w:rsidR="003E2E96" w:rsidRPr="00705D14" w:rsidRDefault="003E2E96" w:rsidP="003E2E96">
      <w:pPr>
        <w:ind w:left="709" w:hanging="709"/>
      </w:pPr>
      <w:r>
        <w:t>—</w:t>
      </w:r>
      <w:r>
        <w:tab/>
        <w:t>Беше подчертана и ролята на националните насърчителни банки;</w:t>
      </w:r>
    </w:p>
    <w:p w:rsidR="003E2E96" w:rsidRPr="00705D14" w:rsidRDefault="003E2E96" w:rsidP="003E2E96">
      <w:pPr>
        <w:ind w:left="709" w:hanging="709"/>
      </w:pPr>
      <w:r>
        <w:t>—</w:t>
      </w:r>
      <w:r>
        <w:tab/>
        <w:t>Беше подчертано колко е важно бързо да бъдат постигнати резултати по различните елементи на плана, както и по съответните последващи действия.</w:t>
      </w:r>
    </w:p>
    <w:p w:rsidR="003E2E96" w:rsidRPr="00705D14" w:rsidRDefault="003E2E96" w:rsidP="003E2E96">
      <w:pPr>
        <w:rPr>
          <w:u w:val="single"/>
        </w:rPr>
      </w:pPr>
      <w:r>
        <w:br w:type="page"/>
      </w:r>
      <w:r>
        <w:rPr>
          <w:u w:val="single"/>
        </w:rPr>
        <w:lastRenderedPageBreak/>
        <w:t>Контекст</w:t>
      </w:r>
    </w:p>
    <w:p w:rsidR="003E2E96" w:rsidRPr="00705D14" w:rsidRDefault="003E2E96" w:rsidP="003E2E96">
      <w:r>
        <w:t>В плана за инвестиции на Комисията в размер на 315 милиарда евро се предвижда създаването на нов Европейски фонд за стратегически инвестиции в рамките на групата на ЕИБ през пролетта на 2015 г. Фондът ще бъде изграден въз основата на 16 милиарда евро гаранции от бюджета на ЕС и 5 млрд. евро от ЕИБ.</w:t>
      </w:r>
    </w:p>
    <w:p w:rsidR="003E2E96" w:rsidRPr="00705D14" w:rsidRDefault="003E2E96" w:rsidP="003E2E96">
      <w:r>
        <w:t>Ролята на Фонда е да се осигури по-голям капацитет за поемане на риск, който да допринесе за отключването на инвестиции в сферата на енергетиката, широколентовия интернет и транспортната инфраструктура, образованието, научните изследвания и иновациите, енергията от възобновяеми източници и енергийната ефективност, както и да подкрепи рисковото финансиране за МСП. Поемайки част от свързания с нови проекти риск чрез гарантиране на транш за първа загуба, Фондът ще привлече частни инвеститори и се очаква да достигне общ мултиплициращ ефект от 1:15, изразяващ се в реални инвестиции.</w:t>
      </w:r>
    </w:p>
    <w:p w:rsidR="003E2E96" w:rsidRPr="00705D14" w:rsidRDefault="003E2E96" w:rsidP="003E2E96">
      <w:r>
        <w:t>През декември Европейският съвет ще бъде приканен да одобри плана за инвестиции на Комисията. Очаква се Комисията да представи законодателно предложение през януари 2015 г. с оглед на приемането му до юни 2015 г.</w:t>
      </w:r>
    </w:p>
    <w:p w:rsidR="003E2E96" w:rsidRPr="00705D14" w:rsidRDefault="003E2E96" w:rsidP="003E2E96">
      <w:r>
        <w:t>От работната група, председателствана съвместно от ЕИБ и Комисията, беше поискано да набележи основните пречки и трудности пред инвестициите и разработването на проекти. Нейната задача беше да изготви първоначален списък на евентуални проекти, които:</w:t>
      </w:r>
    </w:p>
    <w:p w:rsidR="003E2E96" w:rsidRPr="00705D14" w:rsidRDefault="003E2E96" w:rsidP="003E2E96">
      <w:pPr>
        <w:pStyle w:val="Tiret0"/>
        <w:numPr>
          <w:ilvl w:val="0"/>
          <w:numId w:val="2"/>
        </w:numPr>
      </w:pPr>
      <w:r>
        <w:t>подкрепят целите на ЕС;</w:t>
      </w:r>
    </w:p>
    <w:p w:rsidR="003E2E96" w:rsidRPr="00705D14" w:rsidRDefault="003E2E96" w:rsidP="003E2E96">
      <w:pPr>
        <w:pStyle w:val="Tiret0"/>
        <w:numPr>
          <w:ilvl w:val="0"/>
          <w:numId w:val="2"/>
        </w:numPr>
      </w:pPr>
      <w:r>
        <w:t>имат значителна социално-икономичска възвръщаемост;</w:t>
      </w:r>
    </w:p>
    <w:p w:rsidR="003E2E96" w:rsidRPr="00705D14" w:rsidRDefault="003E2E96" w:rsidP="003E2E96">
      <w:pPr>
        <w:pStyle w:val="Tiret0"/>
        <w:numPr>
          <w:ilvl w:val="0"/>
          <w:numId w:val="2"/>
        </w:numPr>
      </w:pPr>
      <w:r>
        <w:t>могат да започнат през следващите три години, т.е. разумно очакване за капиталови разходи в периода 2015—2017 г.</w:t>
      </w:r>
    </w:p>
    <w:p w:rsidR="003E2E96" w:rsidRPr="00705D14" w:rsidRDefault="003E2E96" w:rsidP="003E2E96">
      <w:r>
        <w:t>В доклада на работната група е включен списък на проекти, избрани като примери за перспективни инвестиции от европейско значение, които са възпрепятствани от някои от основните пречки и трудности пред инвестициите. Държавите членки представиха около 2000 проекта на стойност 1,3 трилиона евро. Няма обаче поет ангажимент, че проектите от списъка ще бъдат финансирани от новия фонд, нито, че проекти, които не са в списъка, няма да бъдат финансирани.</w:t>
      </w:r>
    </w:p>
    <w:p w:rsidR="003E2E96" w:rsidRPr="00705D14" w:rsidRDefault="003E2E96" w:rsidP="003E2E96">
      <w:r>
        <w:t>Като част от своя план за инвестиции Комисията съобщи, че съвместно с ЕИБ ще постави началото на мащабна програма за техническа помощ с цел набелязване на проекти и ще спомогне за това те да станат по-привлекателни за частните инвеститори.</w:t>
      </w:r>
    </w:p>
    <w:p w:rsidR="003E2E96" w:rsidRPr="00705D14" w:rsidRDefault="003E2E96" w:rsidP="003E2E96">
      <w:pPr>
        <w:pStyle w:val="ItemDebated"/>
      </w:pPr>
      <w:r>
        <w:br w:type="page"/>
      </w:r>
      <w:bookmarkStart w:id="10" w:name="_Toc410898053"/>
      <w:r>
        <w:lastRenderedPageBreak/>
        <w:t>СТРАТЕГИЯ „ЕВРОПА 2020“ ЗА РАСТЕЖ И РАБОТНИ МЕСТА</w:t>
      </w:r>
      <w:bookmarkEnd w:id="10"/>
    </w:p>
    <w:p w:rsidR="003E2E96" w:rsidRPr="00705D14" w:rsidRDefault="003E2E96" w:rsidP="003E2E96">
      <w:pPr>
        <w:rPr>
          <w:bCs/>
        </w:rPr>
      </w:pPr>
      <w:r>
        <w:t>Съветът обсъди накратко предстоящия преглед на стратегията на ЕС за растеж и работни места „Европа 2020“ и нейното изпълнение посредством процеса за наблюдение на европейския семестър (вж. също стр. 12—14).</w:t>
      </w:r>
    </w:p>
    <w:p w:rsidR="003E2E96" w:rsidRPr="00705D14" w:rsidRDefault="003E2E96" w:rsidP="003E2E96">
      <w:r>
        <w:t>Съветът взе под внимание съвместното становище на Икономическия и финансов комитет и Комитета за икономическа политика, в което се съдържат предложения за подобряване на изпълнението на стратегията и осъществяване на съответните реформи  (</w:t>
      </w:r>
      <w:hyperlink r:id="rId34" w:tooltip="http://register.consilium.europa.eu/pdf/en/14/st16/st16228.en14.pdf">
        <w:r w:rsidRPr="00DE65CF">
          <w:rPr>
            <w:rStyle w:val="Hyperlink"/>
            <w:i/>
          </w:rPr>
          <w:t>16228/14</w:t>
        </w:r>
      </w:hyperlink>
      <w:r>
        <w:t>).</w:t>
      </w:r>
    </w:p>
    <w:p w:rsidR="003E2E96" w:rsidRPr="00705D14" w:rsidRDefault="003E2E96" w:rsidP="003E2E96">
      <w:r>
        <w:t>Председателството ще представи доклад на заседанието на Съвета по общи въпроси на 16 декември.</w:t>
      </w:r>
    </w:p>
    <w:p w:rsidR="003E2E96" w:rsidRPr="00705D14" w:rsidRDefault="003E2E96" w:rsidP="003E2E96">
      <w:r>
        <w:t>Началото на стратегията „Европа 2020“ беше поставено през юни 2010 г. от Европейския съвет като част от действията на ЕС в отговор на световната икономическа криза. Тя също така има за цел да отговори на предизвикателствата, свързани със застаряването на населението, нарасналото неравенство и изменението на климата. Стратегията включва координиране на политиките на държавите членки в областта на икономиката и заетостта. Специално внимание в нея е обърнато на областите, в които действията могат да дадат тласък на потенциала на Европа за устойчив и приобщаващ растеж и конкурентоспособност.</w:t>
      </w:r>
    </w:p>
    <w:p w:rsidR="003E2E96" w:rsidRPr="00705D14" w:rsidRDefault="003E2E96" w:rsidP="003E2E96">
      <w:r>
        <w:t>Набелязани бяха пет „водещи цели“, които да насочват действията на ЕС и държавите членки. Те включват:</w:t>
      </w:r>
    </w:p>
    <w:p w:rsidR="003E2E96" w:rsidRPr="00705D14" w:rsidRDefault="003E2E96" w:rsidP="003E2E96">
      <w:pPr>
        <w:pStyle w:val="Tiret0"/>
        <w:numPr>
          <w:ilvl w:val="0"/>
          <w:numId w:val="2"/>
        </w:numPr>
      </w:pPr>
      <w:r>
        <w:t>насърчаване на заетостта;</w:t>
      </w:r>
    </w:p>
    <w:p w:rsidR="003E2E96" w:rsidRPr="00705D14" w:rsidRDefault="003E2E96" w:rsidP="003E2E96">
      <w:pPr>
        <w:pStyle w:val="Tiret0"/>
        <w:numPr>
          <w:ilvl w:val="0"/>
          <w:numId w:val="2"/>
        </w:numPr>
      </w:pPr>
      <w:r>
        <w:t>подобряване на условията за иновации, научноизследователска и развойна дейност;</w:t>
      </w:r>
    </w:p>
    <w:p w:rsidR="003E2E96" w:rsidRPr="00705D14" w:rsidRDefault="003E2E96" w:rsidP="003E2E96">
      <w:pPr>
        <w:pStyle w:val="Tiret0"/>
        <w:numPr>
          <w:ilvl w:val="0"/>
          <w:numId w:val="2"/>
        </w:numPr>
      </w:pPr>
      <w:r>
        <w:t>постигане на целите на политиките, свързани с изменението на климата и енергетиката;</w:t>
      </w:r>
    </w:p>
    <w:p w:rsidR="003E2E96" w:rsidRPr="00705D14" w:rsidRDefault="003E2E96" w:rsidP="003E2E96">
      <w:pPr>
        <w:pStyle w:val="Tiret0"/>
        <w:numPr>
          <w:ilvl w:val="0"/>
          <w:numId w:val="2"/>
        </w:numPr>
      </w:pPr>
      <w:r>
        <w:t>подобряване на образователните равнища;</w:t>
      </w:r>
    </w:p>
    <w:p w:rsidR="003E2E96" w:rsidRPr="00705D14" w:rsidRDefault="003E2E96" w:rsidP="003E2E96">
      <w:pPr>
        <w:pStyle w:val="Tiret0"/>
        <w:numPr>
          <w:ilvl w:val="0"/>
          <w:numId w:val="2"/>
        </w:numPr>
      </w:pPr>
      <w:r>
        <w:t>насърчаване на социалното приобщаване, по-специално чрез намаляване на бедността.</w:t>
      </w:r>
    </w:p>
    <w:p w:rsidR="003E2E96" w:rsidRPr="00705D14" w:rsidRDefault="003E2E96" w:rsidP="003E2E96">
      <w:r>
        <w:t>Комисията организира обществено допитване и следва да представи преглед на стратегията през 2015 г. Съветът по икономически и финансови въпроси е един от няколкото състава на Съвета, които вземат участие. В доклада на председателството до Съвета по общи въпроси ще се предоставят насоки към Комисията във връзка с предложенията за подобряване на изпълнението.</w:t>
      </w:r>
    </w:p>
    <w:p w:rsidR="003E2E96" w:rsidRPr="00705D14" w:rsidRDefault="003E2E96" w:rsidP="003E2E96">
      <w:pPr>
        <w:pStyle w:val="ItemDebated"/>
        <w:spacing w:before="0"/>
      </w:pPr>
      <w:r>
        <w:br w:type="page"/>
      </w:r>
      <w:bookmarkStart w:id="11" w:name="_Toc410898054"/>
      <w:r>
        <w:lastRenderedPageBreak/>
        <w:t>ИКОНОМИЧЕСКО УПРАВЛЕНИЕ</w:t>
      </w:r>
      <w:bookmarkEnd w:id="11"/>
    </w:p>
    <w:p w:rsidR="003E2E96" w:rsidRPr="00705D14" w:rsidRDefault="003E2E96" w:rsidP="003E2E96">
      <w:pPr>
        <w:pStyle w:val="Tiret0"/>
        <w:numPr>
          <w:ilvl w:val="0"/>
          <w:numId w:val="2"/>
        </w:numPr>
        <w:spacing w:after="120"/>
        <w:ind w:left="851" w:hanging="851"/>
        <w:rPr>
          <w:b/>
          <w:bCs/>
        </w:rPr>
      </w:pPr>
      <w:r>
        <w:rPr>
          <w:b/>
        </w:rPr>
        <w:t>Годишен обзор на растежа</w:t>
      </w:r>
    </w:p>
    <w:p w:rsidR="003E2E96" w:rsidRPr="00705D14" w:rsidRDefault="003E2E96" w:rsidP="003E2E96">
      <w:pPr>
        <w:pStyle w:val="Tiret0"/>
        <w:numPr>
          <w:ilvl w:val="0"/>
          <w:numId w:val="2"/>
        </w:numPr>
        <w:spacing w:after="120"/>
        <w:ind w:left="851" w:hanging="851"/>
        <w:rPr>
          <w:b/>
          <w:bCs/>
        </w:rPr>
      </w:pPr>
      <w:r>
        <w:rPr>
          <w:b/>
        </w:rPr>
        <w:t>Макроикономически неравновесия</w:t>
      </w:r>
    </w:p>
    <w:p w:rsidR="003E2E96" w:rsidRPr="00705D14" w:rsidRDefault="003E2E96" w:rsidP="003E2E96">
      <w:pPr>
        <w:pStyle w:val="Tiret0"/>
        <w:numPr>
          <w:ilvl w:val="0"/>
          <w:numId w:val="2"/>
        </w:numPr>
        <w:spacing w:after="120"/>
        <w:ind w:left="851" w:hanging="851"/>
        <w:rPr>
          <w:b/>
          <w:bCs/>
        </w:rPr>
      </w:pPr>
      <w:r>
        <w:rPr>
          <w:b/>
        </w:rPr>
        <w:t>Преглед на реформите в областта на икономическото управление</w:t>
      </w:r>
    </w:p>
    <w:p w:rsidR="003E2E96" w:rsidRPr="00705D14" w:rsidRDefault="003E2E96" w:rsidP="003E2E96">
      <w:r>
        <w:t>Съветът постави началото на годишния си процес на наблюдение на политиките, при който специално внимание се поставя върху начините за стимулиране на икономическия растеж и върху макроикономическите дисбаланси в държавите членки.</w:t>
      </w:r>
    </w:p>
    <w:p w:rsidR="003E2E96" w:rsidRPr="00705D14" w:rsidRDefault="003E2E96" w:rsidP="003E2E96">
      <w:r>
        <w:t>Съветът проведе обмен на мнения.</w:t>
      </w:r>
    </w:p>
    <w:p w:rsidR="003E2E96" w:rsidRPr="00705D14" w:rsidRDefault="003E2E96" w:rsidP="003E2E96">
      <w:r>
        <w:t>Процесът на европейския семестър за 2015 г. ще приключи през юли 2015 г. с приемането на специфични за всяка държава препоръки за политиките в областта на икономиката и заетостта и във фискалната област.</w:t>
      </w:r>
    </w:p>
    <w:p w:rsidR="003E2E96" w:rsidRPr="00705D14" w:rsidRDefault="003E2E96" w:rsidP="003E2E96">
      <w:pPr>
        <w:rPr>
          <w:u w:val="single"/>
        </w:rPr>
      </w:pPr>
      <w:r>
        <w:rPr>
          <w:u w:val="single"/>
        </w:rPr>
        <w:t>Годишен обзор на растежа</w:t>
      </w:r>
    </w:p>
    <w:p w:rsidR="003E2E96" w:rsidRPr="00705D14" w:rsidRDefault="003E2E96" w:rsidP="003E2E96">
      <w:r>
        <w:t>Комисията представи годишния си обзор на растежа, като подчерта основните си заключения за 2015 г. (</w:t>
      </w:r>
      <w:hyperlink r:id="rId35" w:tooltip="http://register.consilium.europa.eu/pdf/bg/14/st15/st15985.bg14.pdf">
        <w:r w:rsidRPr="00DE65CF">
          <w:rPr>
            <w:rStyle w:val="Hyperlink"/>
            <w:i/>
          </w:rPr>
          <w:t>15985/14</w:t>
        </w:r>
      </w:hyperlink>
      <w:r>
        <w:t>).</w:t>
      </w:r>
    </w:p>
    <w:p w:rsidR="003E2E96" w:rsidRPr="00705D14" w:rsidRDefault="003E2E96" w:rsidP="003E2E96">
      <w:pPr>
        <w:outlineLvl w:val="0"/>
      </w:pPr>
      <w:r>
        <w:t>Обзорът бележи началото на европейския семестър за 2015 г. В него се предлага държавите членки да предприемат приоритетни действия за осигуряване на по-голяма координация и по-висока ефективност на политиките с оглед насърчаване на устойчив икономически растеж.</w:t>
      </w:r>
    </w:p>
    <w:p w:rsidR="003E2E96" w:rsidRPr="00705D14" w:rsidRDefault="003E2E96" w:rsidP="003E2E96">
      <w:pPr>
        <w:outlineLvl w:val="0"/>
      </w:pPr>
      <w:r>
        <w:t>Основни поводи за опасение са рисковете от постоянно нисък растеж, почти нулевата инфлация и високата безработица. Последиците от кризата са циклични, както се вижда от слабото съвкупно търсене. В обзора обаче се констатира и значителен структурен компонент, който доведе до намаляване на потенциалния растеж на икономиките в ЕС.</w:t>
      </w:r>
    </w:p>
    <w:p w:rsidR="003E2E96" w:rsidRPr="00705D14" w:rsidRDefault="003E2E96" w:rsidP="003E2E96">
      <w:pPr>
        <w:outlineLvl w:val="0"/>
      </w:pPr>
      <w:r>
        <w:t>В обзора са набелязани три основни стълба за икономическата и социалната политика на ЕС през 2015 г.:</w:t>
      </w:r>
    </w:p>
    <w:p w:rsidR="003E2E96" w:rsidRPr="00705D14" w:rsidRDefault="003E2E96" w:rsidP="003E2E96">
      <w:pPr>
        <w:pStyle w:val="Tiret0"/>
        <w:numPr>
          <w:ilvl w:val="0"/>
          <w:numId w:val="2"/>
        </w:numPr>
      </w:pPr>
      <w:r>
        <w:t>координиран стимул на инвестициите с помощта на плана за инвестиции на Комисията в размер на 315 милиарда евро за периода 2015—2017 г. (вж. стр. 9—10);</w:t>
      </w:r>
    </w:p>
    <w:p w:rsidR="003E2E96" w:rsidRPr="00705D14" w:rsidRDefault="003E2E96" w:rsidP="003E2E96">
      <w:pPr>
        <w:pStyle w:val="Tiret0"/>
        <w:numPr>
          <w:ilvl w:val="0"/>
          <w:numId w:val="2"/>
        </w:numPr>
      </w:pPr>
      <w:r>
        <w:t>подновен ангажимент за структурни реформи, за да могат държавите да намалят дълга си и да се стимулира създаването на повече и по-добри работни места;</w:t>
      </w:r>
    </w:p>
    <w:p w:rsidR="003E2E96" w:rsidRPr="00705D14" w:rsidRDefault="003E2E96" w:rsidP="003E2E96">
      <w:pPr>
        <w:pStyle w:val="Tiret0"/>
        <w:numPr>
          <w:ilvl w:val="0"/>
          <w:numId w:val="2"/>
        </w:numPr>
      </w:pPr>
      <w:r>
        <w:t>прилагане на фискална отговорност с цел осигуряване на дългосрочен контрол на размера на дефицита и на дълга.</w:t>
      </w:r>
    </w:p>
    <w:p w:rsidR="003E2E96" w:rsidRPr="00705D14" w:rsidRDefault="003E2E96" w:rsidP="003E2E96">
      <w:pPr>
        <w:tabs>
          <w:tab w:val="left" w:pos="709"/>
        </w:tabs>
        <w:outlineLvl w:val="0"/>
      </w:pPr>
      <w:r>
        <w:t>В обзора се съдържат и предложения за рационализиране и подсилване на европейския семестър от 2015 г. нататък.</w:t>
      </w:r>
    </w:p>
    <w:p w:rsidR="003E2E96" w:rsidRPr="00705D14" w:rsidRDefault="003E2E96" w:rsidP="003E2E96">
      <w:pPr>
        <w:tabs>
          <w:tab w:val="left" w:pos="709"/>
        </w:tabs>
        <w:outlineLvl w:val="0"/>
      </w:pPr>
      <w:r>
        <w:br w:type="page"/>
      </w:r>
      <w:r>
        <w:lastRenderedPageBreak/>
        <w:t>Европейският семестър представлява едновременно наблюдение на политиките на държавите членки в областта на икономиката и заетостта и във фискалната област, което се провежда ежегодно в продължение на шест месеца. Той приключва с приемането на специфични за всяка държава препоръки.</w:t>
      </w:r>
    </w:p>
    <w:p w:rsidR="003E2E96" w:rsidRPr="00705D14" w:rsidRDefault="003E2E96" w:rsidP="003E2E96">
      <w:pPr>
        <w:outlineLvl w:val="0"/>
      </w:pPr>
      <w:r>
        <w:t>През март 2015 г. Европейският съвет ще направи оценка на изпълнението на специфичните за всяка държава препоръки за 2014 г. и ще предостави насоки за 2015 г.</w:t>
      </w:r>
    </w:p>
    <w:p w:rsidR="003E2E96" w:rsidRPr="00705D14" w:rsidRDefault="003E2E96" w:rsidP="003E2E96">
      <w:pPr>
        <w:rPr>
          <w:u w:val="single"/>
        </w:rPr>
      </w:pPr>
      <w:r>
        <w:rPr>
          <w:u w:val="single"/>
        </w:rPr>
        <w:t>Макроикономически неравновесия: Доклад за механизма за предупреждение</w:t>
      </w:r>
    </w:p>
    <w:p w:rsidR="003E2E96" w:rsidRPr="00705D14" w:rsidRDefault="003E2E96" w:rsidP="003E2E96">
      <w:pPr>
        <w:pStyle w:val="Tiret0"/>
        <w:numPr>
          <w:ilvl w:val="0"/>
          <w:numId w:val="0"/>
        </w:numPr>
      </w:pPr>
      <w:r>
        <w:t>Комисията представи доклад за механизма за предупреждение, с който се отбелязва началото на годишната процедура при макроикономически дисбаланси (</w:t>
      </w:r>
      <w:hyperlink r:id="rId36" w:tooltip="http://register.consilium.europa.eu/pdf/bg/14/st15/st15988.bg14.pdf">
        <w:r w:rsidRPr="00DE65CF">
          <w:rPr>
            <w:rStyle w:val="Hyperlink"/>
            <w:i/>
          </w:rPr>
          <w:t>15988/14</w:t>
        </w:r>
      </w:hyperlink>
      <w:r>
        <w:t>).</w:t>
      </w:r>
    </w:p>
    <w:p w:rsidR="003E2E96" w:rsidRPr="00705D14" w:rsidRDefault="003E2E96" w:rsidP="003E2E96">
      <w:r>
        <w:t>Макроикономическите дисбаланси представляват пречка за европейската икономика и функционирането на паричния съюз на ЕС. Те бяха сред факторите, допринесли за кризата на държавния дълг в еврозоната.</w:t>
      </w:r>
    </w:p>
    <w:p w:rsidR="003E2E96" w:rsidRPr="00705D14" w:rsidRDefault="003E2E96" w:rsidP="003E2E96">
      <w:pPr>
        <w:rPr>
          <w:bCs/>
        </w:rPr>
      </w:pPr>
      <w:r>
        <w:t>Следователно с установената в регламенти № 1174/11 и № 1176/11 процедура при макроикономически дисбаланси, се цели предотвратяването и коригирането на тези дисбаланси</w:t>
      </w:r>
      <w:r>
        <w:rPr>
          <w:sz w:val="21"/>
        </w:rPr>
        <w:t>.</w:t>
      </w:r>
      <w:r>
        <w:t xml:space="preserve"> Съгласно процедурата на държавите от еврозоната може да бъде наложена глоба, ако те нееднократно не са се съобразявали с препоръките на Съвета.</w:t>
      </w:r>
    </w:p>
    <w:p w:rsidR="003E2E96" w:rsidRPr="00705D14" w:rsidRDefault="003E2E96" w:rsidP="003E2E96">
      <w:r>
        <w:t>В доклада на Комисията, публикуван на 28 ноември, са посочени държавите членки, които вероятно имат дисбаланс. За тези държави ще бъдат предприети задълбочени прегледи.</w:t>
      </w:r>
    </w:p>
    <w:p w:rsidR="003E2E96" w:rsidRPr="00705D14" w:rsidRDefault="003E2E96" w:rsidP="003E2E96">
      <w:r>
        <w:t>При определянето на дисбалансите Комисията използва таблица с икономически показатели. Тези показатели са: салдо по текуща сметка; нетна инвестиционна международна позиция; експортни пазарни дялове; номинални разходи за труд за единица продукция; реални ефективни обменни курсове; развитие на безработицата; дълг на частния сектор; кредитни потоци в частния сектор; цени на жилищата; дълг на сектор „Държавно управление“; темп на нарастване на пасивите във финансовия сектор.</w:t>
      </w:r>
    </w:p>
    <w:p w:rsidR="003E2E96" w:rsidRPr="00705D14" w:rsidRDefault="003E2E96" w:rsidP="003E2E96">
      <w:r>
        <w:t>В доклада се призовава към провеждане на задълбочени прегледи на положението в следните 16 държави членки: Белгия, България, Хърватия, Финландия, Франция, Германия, Унгария, Ирландия, Италия, Нидерландия, Португалия, Румъния, Словения, Испания, Швеция и Обединеното кралство.</w:t>
      </w:r>
    </w:p>
    <w:p w:rsidR="003E2E96" w:rsidRPr="00705D14" w:rsidRDefault="003E2E96" w:rsidP="003E2E96">
      <w:r>
        <w:t>Кипър и Гърция не фигурират в списъка, в които се изпълняват програми за макроикономически корекции и следователно вече са под засилен надзор.</w:t>
      </w:r>
    </w:p>
    <w:p w:rsidR="003E2E96" w:rsidRPr="00705D14" w:rsidRDefault="003E2E96" w:rsidP="003E2E96">
      <w:r>
        <w:t>За Хърватия, Италия и Словения в задълбочения преглед ще се направи оценка на това дали предварително установените прекомерни дисбаланси се коригират, са трайни или се задълбочават.</w:t>
      </w:r>
    </w:p>
    <w:p w:rsidR="003E2E96" w:rsidRPr="00705D14" w:rsidRDefault="003E2E96" w:rsidP="003E2E96">
      <w:r>
        <w:t>Ирландия, Испания, Франция и Унгария са класифицирани като държави членки с дисбаланси, които се нуждаят от решителни действия на политиката. В задълбочените прегледи ще се оценяват рисковете, свързани с устойчивостта на дисбалансите.</w:t>
      </w:r>
    </w:p>
    <w:p w:rsidR="003E2E96" w:rsidRPr="00705D14" w:rsidRDefault="003E2E96" w:rsidP="003E2E96">
      <w:r>
        <w:br w:type="page"/>
      </w:r>
      <w:r>
        <w:lastRenderedPageBreak/>
        <w:t>Белгия, България, Германия, Нидерландия, Финландия, Швеция и Обединеното кралство са държави членки, в които на предходния етап бяха установени дисбаланси. С помощта на задълбочените прегледи ще се прецени дали тези дисбаланси все още съществуват или са били преодолени.</w:t>
      </w:r>
    </w:p>
    <w:p w:rsidR="003E2E96" w:rsidRPr="00705D14" w:rsidRDefault="003E2E96" w:rsidP="003E2E96">
      <w:r>
        <w:t>За първи път ще бъдат изготвени задълбочени прегледи за Португалия и Румъния. По отношение на тези две държави се прилагаше засилен надзор в рамките на програми за макроикономически корекции.</w:t>
      </w:r>
    </w:p>
    <w:p w:rsidR="003E2E96" w:rsidRPr="00705D14" w:rsidRDefault="003E2E96" w:rsidP="003E2E96">
      <w:pPr>
        <w:jc w:val="center"/>
      </w:pPr>
      <w:r>
        <w:t>*</w:t>
      </w:r>
    </w:p>
    <w:p w:rsidR="003E2E96" w:rsidRPr="00705D14" w:rsidRDefault="003E2E96" w:rsidP="003E2E96">
      <w:pPr>
        <w:jc w:val="center"/>
      </w:pPr>
      <w:r>
        <w:t>*</w:t>
      </w:r>
      <w:r>
        <w:tab/>
        <w:t>*</w:t>
      </w:r>
    </w:p>
    <w:p w:rsidR="003E2E96" w:rsidRPr="00705D14" w:rsidRDefault="003E2E96" w:rsidP="003E2E96">
      <w:r>
        <w:t>Съветът обсъди и преглед на реформите, извършени през 2011 г. и 2013 г. по отношение на рамката на ЕС за икономическо управление, в това число и фискалните правила и процеси в рамките на Пакта за стабилност и растеж на ЕС (</w:t>
      </w:r>
      <w:hyperlink r:id="rId37" w:tooltip="http://register.consilium.europa.eu/pdf/bg/14/st16/st16236.bg14.pdf">
        <w:r w:rsidRPr="00DE65CF">
          <w:rPr>
            <w:rStyle w:val="Hyperlink"/>
            <w:i/>
          </w:rPr>
          <w:t>16236/14</w:t>
        </w:r>
      </w:hyperlink>
      <w:r>
        <w:t>).</w:t>
      </w:r>
    </w:p>
    <w:p w:rsidR="003E2E96" w:rsidRPr="00705D14" w:rsidRDefault="003E2E96" w:rsidP="003E2E96">
      <w:r>
        <w:t>Комисията представи съобщение, в което се прави оценка до каква степен новите правила</w:t>
      </w:r>
      <w:r>
        <w:rPr>
          <w:rStyle w:val="FootnoteReference"/>
        </w:rPr>
        <w:footnoteReference w:id="3"/>
      </w:r>
      <w:r>
        <w:t xml:space="preserve"> (известни още като пакет от шест законодателни акта и пакет от два законодателни акта) са били ефективни за постигането на целите им. Целта беше постигането на по-тясна координация на икономическите политики и на устойчива конвергенция на икономическите показатели на държавите членки, като същевременно се осигурява висока степен на прозрачност, надеждност и демократична отчетност.</w:t>
      </w:r>
    </w:p>
    <w:p w:rsidR="003E2E96" w:rsidRPr="00705D14" w:rsidRDefault="003E2E96" w:rsidP="003E2E96">
      <w:r>
        <w:t>Прегледът потвърждава, че правилата значително за укрепили рамката на ЕС за икономическо управление. Прегледът разкри и някои възможни области за подобрение по отношение на прозрачността и комплексността на законотворчеството и неговото въздействие върху растежа, дисбалансите и конвергенцията.</w:t>
      </w:r>
    </w:p>
    <w:p w:rsidR="003E2E96" w:rsidRPr="00705D14" w:rsidRDefault="003E2E96" w:rsidP="003E2E96">
      <w:pPr>
        <w:pStyle w:val="ItemDebated"/>
      </w:pPr>
      <w:r>
        <w:br w:type="page"/>
      </w:r>
      <w:bookmarkStart w:id="12" w:name="_Toc410898055"/>
      <w:r>
        <w:lastRenderedPageBreak/>
        <w:t>БЮДЖЕТ НА ЕС — ГОДИШЕН ДОКЛАД НА СМЕТНАТА ПАЛАТА</w:t>
      </w:r>
      <w:bookmarkEnd w:id="12"/>
    </w:p>
    <w:p w:rsidR="003E2E96" w:rsidRPr="00705D14" w:rsidRDefault="003E2E96" w:rsidP="003E2E96">
      <w:r>
        <w:t>Съветът взе под внимание представения от председателя на Сметната палата г-н Витор Калдейра годишен доклад на Сметната палата за управлението на общия бюджет на ЕС</w:t>
      </w:r>
      <w:r>
        <w:rPr>
          <w:rStyle w:val="FootnoteReference"/>
        </w:rPr>
        <w:footnoteReference w:id="4"/>
      </w:r>
      <w:r>
        <w:t>.</w:t>
      </w:r>
    </w:p>
    <w:p w:rsidR="003E2E96" w:rsidRPr="00705D14" w:rsidRDefault="003E2E96" w:rsidP="003E2E96">
      <w:r>
        <w:t>В доклада, който се отнася за бюджета на ЕС за 2013 г., се дава категорична декларация за достоверност по отношение на надеждността на отчетите. Въпреки това, както и в предишни години в доклада се изразяват известни резерви относно голяма част от свързаните с отчетите операции в редица области на политиката. Повечето грешки са в области на споделено управление между държавите членки и Комисията, като регионалната политика и развитието на селските райони.</w:t>
      </w:r>
    </w:p>
    <w:p w:rsidR="003E2E96" w:rsidRPr="00705D14" w:rsidRDefault="003E2E96" w:rsidP="003E2E96">
      <w:r>
        <w:t>В доклада се предупреждава, че в бюджетната система на ЕС се обръща прекалено много внимание единствено на това да се гарантира, че средствата са изразходвани и че правилата са спазени. Необходимо е да се постави по-силен акцент върху постигането на резултати.</w:t>
      </w:r>
    </w:p>
    <w:p w:rsidR="003E2E96" w:rsidRPr="00705D14" w:rsidRDefault="003E2E96" w:rsidP="003E2E96">
      <w:r>
        <w:t>Съветът изрази съжалението си, че по отношение на декларацията за достоверност продължават да се изразяват резерви за такива важни области на политиката. Съветът апелира към всички участващи страни да проявят постоянство в усилията си за подобряване на контрола и да вземат мерки за справяне с установените слабости.</w:t>
      </w:r>
    </w:p>
    <w:p w:rsidR="003E2E96" w:rsidRPr="00705D14" w:rsidRDefault="003E2E96" w:rsidP="003E2E96">
      <w:r>
        <w:t>Въз основа на доклада на Сметната палата ще бъде изготвена препоръка към Европейския парламент за освобождаване от отговорност на Комисията за изпълнението на бюджета на ЕС за 2013 г.</w:t>
      </w:r>
    </w:p>
    <w:p w:rsidR="003E2E96" w:rsidRPr="00705D14" w:rsidRDefault="003E2E96" w:rsidP="003E2E96">
      <w:r>
        <w:t>Очаква се Съветът да приеме препоръката на заседанието си на 17 февруари 2015 г.</w:t>
      </w:r>
    </w:p>
    <w:p w:rsidR="003E2E96" w:rsidRPr="00705D14" w:rsidRDefault="003E2E96" w:rsidP="003E2E96">
      <w:pPr>
        <w:pStyle w:val="ItemDebated"/>
        <w:rPr>
          <w:color w:val="000000"/>
        </w:rPr>
      </w:pPr>
      <w:r>
        <w:br w:type="page"/>
      </w:r>
      <w:bookmarkStart w:id="13" w:name="_Toc410898056"/>
      <w:r>
        <w:lastRenderedPageBreak/>
        <w:t>ВРЕДНА ДАНЪЧНА КОНКУРЕНЦИЯ — ДАНЪЧНО ОБЛАГАНЕ НА ПРЕДПРИЯТИЯ</w:t>
      </w:r>
      <w:bookmarkEnd w:id="13"/>
    </w:p>
    <w:p w:rsidR="003E2E96" w:rsidRPr="00705D14" w:rsidRDefault="003E2E96" w:rsidP="003E2E96">
      <w:r>
        <w:t>Съветът отчете напредъка в прилагането на Кодекса на поведение в областта на данъчното облагане на предприятията, целящ премахването на ситуации на вредна данъчна конкуренция.</w:t>
      </w:r>
    </w:p>
    <w:p w:rsidR="003E2E96" w:rsidRPr="00705D14" w:rsidRDefault="003E2E96" w:rsidP="003E2E96">
      <w:r>
        <w:t>Съветът обсъди метод за оценка на евентуалната вреда от специални данъчни режими за корпоративни доходи от интелектуална собственост.</w:t>
      </w:r>
    </w:p>
    <w:p w:rsidR="003E2E96" w:rsidRPr="00705D14" w:rsidRDefault="003E2E96" w:rsidP="003E2E96">
      <w:r>
        <w:t>Съветът одобри следните заключения относно шестмесечния доклад на работната група, която наблюдава изпълнението на Кодекса:</w:t>
      </w:r>
    </w:p>
    <w:p w:rsidR="003E2E96" w:rsidRPr="00705D14" w:rsidRDefault="003E2E96" w:rsidP="003E2E96">
      <w:pPr>
        <w:tabs>
          <w:tab w:val="left" w:pos="550"/>
        </w:tabs>
      </w:pPr>
      <w:r>
        <w:t>„Във връзка с Кодекса за поведение (Данъчно облагане на предприятия) Съветът:</w:t>
      </w:r>
    </w:p>
    <w:p w:rsidR="003E2E96" w:rsidRPr="00705D14" w:rsidRDefault="003E2E96" w:rsidP="003E2E96">
      <w:pPr>
        <w:tabs>
          <w:tab w:val="left" w:pos="900"/>
        </w:tabs>
        <w:ind w:left="900" w:hanging="360"/>
      </w:pPr>
      <w:r>
        <w:t>—</w:t>
      </w:r>
      <w:r>
        <w:tab/>
        <w:t>приветства постигнатия по време на италианското председателство напредък от страна на групата „Кодекс за поведение“, изложен в нейния доклад (док. 16100/14 FISC 216 ECOFIN 1105);</w:t>
      </w:r>
    </w:p>
    <w:p w:rsidR="003E2E96" w:rsidRPr="00705D14" w:rsidRDefault="003E2E96" w:rsidP="003E2E96">
      <w:pPr>
        <w:tabs>
          <w:tab w:val="left" w:pos="900"/>
        </w:tabs>
        <w:ind w:left="900" w:hanging="360"/>
      </w:pPr>
      <w:r>
        <w:t>—</w:t>
      </w:r>
      <w:r>
        <w:tab/>
        <w:t>отправя искане към групата да продължи да наблюдава запазването на съществуващото положение и изпълнението на мерките за премахване, както и работата си по работния пакет 2011;</w:t>
      </w:r>
    </w:p>
    <w:p w:rsidR="003E2E96" w:rsidRPr="00705D14" w:rsidRDefault="003E2E96" w:rsidP="003E2E96">
      <w:pPr>
        <w:tabs>
          <w:tab w:val="left" w:pos="900"/>
        </w:tabs>
        <w:ind w:left="900" w:hanging="360"/>
      </w:pPr>
      <w:r>
        <w:t>—</w:t>
      </w:r>
      <w:r>
        <w:tab/>
        <w:t>приканва Комисията да поднови диалога с Лихтенщайн относно вредните данъчни режими, както е посочено в доклада;</w:t>
      </w:r>
    </w:p>
    <w:p w:rsidR="003E2E96" w:rsidRPr="00705D14" w:rsidRDefault="003E2E96" w:rsidP="003E2E96">
      <w:pPr>
        <w:tabs>
          <w:tab w:val="left" w:pos="900"/>
        </w:tabs>
        <w:ind w:left="900" w:hanging="360"/>
      </w:pPr>
      <w:r>
        <w:t>—</w:t>
      </w:r>
      <w:r>
        <w:tab/>
        <w:t>приканва групата да продължи да разглежда проекта за насоки относно хибридните постоянни обекти;</w:t>
      </w:r>
    </w:p>
    <w:p w:rsidR="003E2E96" w:rsidRPr="00705D14" w:rsidRDefault="003E2E96" w:rsidP="003E2E96">
      <w:pPr>
        <w:tabs>
          <w:tab w:val="left" w:pos="900"/>
        </w:tabs>
        <w:ind w:left="900" w:hanging="360"/>
      </w:pPr>
      <w:r>
        <w:t>—</w:t>
      </w:r>
      <w:r>
        <w:tab/>
        <w:t>взема под внимание съгласието, постигнато относно тълкуването на третия критерий от Кодекса за поведение по отношение на „патентните кутии“, съгласно посоченото в настоящия мандат;</w:t>
      </w:r>
    </w:p>
    <w:p w:rsidR="003E2E96" w:rsidRPr="00705D14" w:rsidRDefault="003E2E96" w:rsidP="003E2E96">
      <w:pPr>
        <w:pStyle w:val="FormatvorlageTimesRoman12pt"/>
        <w:spacing w:line="240" w:lineRule="auto"/>
      </w:pPr>
      <w:r>
        <w:t>—</w:t>
      </w:r>
      <w:r>
        <w:tab/>
        <w:t>изтъква необходимостта законодателният процес с цел промяна на режимите от типа „патентна кутия“ да започне още през 2015 г. и отправя искане към групата да наблюдава този процес;</w:t>
      </w:r>
    </w:p>
    <w:p w:rsidR="003E2E96" w:rsidRPr="00705D14" w:rsidRDefault="003E2E96" w:rsidP="003E2E96">
      <w:pPr>
        <w:tabs>
          <w:tab w:val="left" w:pos="900"/>
        </w:tabs>
        <w:ind w:left="900" w:hanging="360"/>
      </w:pPr>
      <w:r>
        <w:t>—</w:t>
      </w:r>
      <w:r>
        <w:tab/>
        <w:t>приканва групата да докладва на Съвета за работата си преди края на латвийското председателство.“</w:t>
      </w:r>
    </w:p>
    <w:p w:rsidR="003E2E96" w:rsidRPr="00705D14" w:rsidRDefault="003E2E96" w:rsidP="003E2E96">
      <w:r>
        <w:br w:type="page"/>
      </w:r>
      <w:r>
        <w:lastRenderedPageBreak/>
        <w:t>В Кодекса за поведение, приет от Съвета през декември 1997 г., се определят критериите за доброволен процес на партньорска проверка от страна на държавите членки. През март 1998 г. Съветът сформирана работна група (групата „Кодекс за поведение“), за да направи оценка на:</w:t>
      </w:r>
    </w:p>
    <w:p w:rsidR="003E2E96" w:rsidRPr="00705D14" w:rsidRDefault="003E2E96" w:rsidP="003E2E96">
      <w:pPr>
        <w:pStyle w:val="Tiret0"/>
        <w:numPr>
          <w:ilvl w:val="0"/>
          <w:numId w:val="2"/>
        </w:numPr>
      </w:pPr>
      <w:r>
        <w:t>спазването от страна на държавите членки на ангажимента „запазване на съществуващото положение“ и невъвеждане на нови мерки, които са вредни;</w:t>
      </w:r>
    </w:p>
    <w:p w:rsidR="003E2E96" w:rsidRPr="00705D14" w:rsidRDefault="003E2E96" w:rsidP="003E2E96">
      <w:pPr>
        <w:pStyle w:val="Tiret0"/>
        <w:numPr>
          <w:ilvl w:val="0"/>
          <w:numId w:val="2"/>
        </w:numPr>
      </w:pPr>
      <w:r>
        <w:t>оттеглянето на данъчни мерки, които съгласно принципите на Кодекса се считат за вредни.</w:t>
      </w:r>
    </w:p>
    <w:p w:rsidR="003E2E96" w:rsidRPr="00705D14" w:rsidRDefault="003E2E96" w:rsidP="003E2E96">
      <w:r>
        <w:t>В доклада групата обобщава работата си за периода от юли 2014 г. насам.</w:t>
      </w:r>
    </w:p>
    <w:p w:rsidR="003E2E96" w:rsidRPr="00705D14" w:rsidRDefault="003E2E96" w:rsidP="003E2E96">
      <w:pPr>
        <w:pStyle w:val="ItemDebated"/>
      </w:pPr>
      <w:r>
        <w:br w:type="page"/>
      </w:r>
      <w:bookmarkStart w:id="14" w:name="_Toc410898057"/>
      <w:r>
        <w:lastRenderedPageBreak/>
        <w:t>ДРУГИ ВЪПРОСИ</w:t>
      </w:r>
      <w:bookmarkEnd w:id="14"/>
    </w:p>
    <w:p w:rsidR="003E2E96" w:rsidRPr="00705D14" w:rsidRDefault="003E2E96" w:rsidP="003E2E96">
      <w:pPr>
        <w:pStyle w:val="Sub-sub-itemDebated"/>
      </w:pPr>
      <w:bookmarkStart w:id="15" w:name="_Toc410898058"/>
      <w:r>
        <w:t>Текуща работа по законодателните досиета</w:t>
      </w:r>
      <w:bookmarkEnd w:id="15"/>
    </w:p>
    <w:p w:rsidR="003E2E96" w:rsidRPr="00705D14" w:rsidRDefault="003E2E96" w:rsidP="003E2E96">
      <w:pPr>
        <w:tabs>
          <w:tab w:val="left" w:pos="0"/>
          <w:tab w:val="left" w:pos="567"/>
        </w:tabs>
      </w:pPr>
      <w:r>
        <w:t>Съветът взе под внимание текущата работа по досиетата относно финансовите услуги;</w:t>
      </w:r>
    </w:p>
    <w:p w:rsidR="003E2E96" w:rsidRPr="00705D14" w:rsidRDefault="003E2E96" w:rsidP="003E2E96">
      <w:pPr>
        <w:pStyle w:val="Sub-sub-itemDebated"/>
      </w:pPr>
      <w:bookmarkStart w:id="16" w:name="_Toc410898059"/>
      <w:r>
        <w:t>Намаляване на основата за облагане с корпоративен данък и прехвърляне на печалби</w:t>
      </w:r>
      <w:bookmarkEnd w:id="16"/>
    </w:p>
    <w:p w:rsidR="003E2E96" w:rsidRPr="00705D14" w:rsidRDefault="003E2E96" w:rsidP="003E2E96">
      <w:pPr>
        <w:tabs>
          <w:tab w:val="left" w:pos="0"/>
          <w:tab w:val="left" w:pos="567"/>
        </w:tabs>
      </w:pPr>
      <w:r>
        <w:t>Съветът взе под внимание искането до Комисията от стана на Франция, Германия и Италия за цялостно законодателно предложение срещу намаляване на основата за облагане с корпоративен данък и премахването на печалби.</w:t>
      </w:r>
    </w:p>
    <w:p w:rsidR="003E2E96" w:rsidRPr="00705D14" w:rsidRDefault="003E2E96" w:rsidP="003E2E96">
      <w:pPr>
        <w:pStyle w:val="ItemDebated"/>
      </w:pPr>
      <w:r>
        <w:br w:type="page"/>
      </w:r>
      <w:bookmarkStart w:id="17" w:name="_Toc410898060"/>
      <w:r>
        <w:lastRenderedPageBreak/>
        <w:t>ЗАСЕДАНИЯ, ПРОВЕДЕНИ УСПОРЕДНО СЪС ЗАСЕДАНИЕТО НА СЪВЕТА</w:t>
      </w:r>
      <w:bookmarkEnd w:id="17"/>
    </w:p>
    <w:p w:rsidR="003E2E96" w:rsidRPr="00705D14" w:rsidRDefault="003E2E96" w:rsidP="003E2E96">
      <w:r>
        <w:t>Министрите на държавите — членки на еврозоната, участваха в две заседания на Еврогрупата на 8 декември.</w:t>
      </w:r>
    </w:p>
    <w:p w:rsidR="003E2E96" w:rsidRPr="00705D14" w:rsidRDefault="003E2E96" w:rsidP="003E2E96">
      <w:r>
        <w:t>Първото заседание беше посветено по-конкретно на оценката на проектобюджетите за 2015 г. на държавите — членки на еврозоната, както и на перспективите за еврозоната като цяло.</w:t>
      </w:r>
    </w:p>
    <w:p w:rsidR="003E2E96" w:rsidRPr="00705D14" w:rsidRDefault="003E2E96" w:rsidP="003E2E96">
      <w:r>
        <w:t>На второто заседание министрите обсъдиха програмата на Гърция за икономически корекции (пети преглед и последващи действия), надзора след приключването на програмата в Португалия (първи доклад) и Ирландия (втора мисия), както и начините за стимулиране на инвестициите и структурните реформи.</w:t>
      </w:r>
    </w:p>
    <w:p w:rsidR="003E2E96" w:rsidRPr="00705D14" w:rsidRDefault="003E2E96" w:rsidP="003E2E96">
      <w:pPr>
        <w:sectPr w:rsidR="003E2E96" w:rsidRPr="00705D14" w:rsidSect="00A01E31">
          <w:headerReference w:type="even" r:id="rId38"/>
          <w:footerReference w:type="even" r:id="rId39"/>
          <w:headerReference w:type="first" r:id="rId40"/>
          <w:footerReference w:type="first" r:id="rId41"/>
          <w:footnotePr>
            <w:numRestart w:val="eachPage"/>
          </w:footnotePr>
          <w:pgSz w:w="11907" w:h="16840" w:code="9"/>
          <w:pgMar w:top="1134" w:right="1134" w:bottom="1134" w:left="1134" w:header="567" w:footer="567" w:gutter="0"/>
          <w:cols w:space="708"/>
          <w:docGrid w:linePitch="360"/>
        </w:sectPr>
      </w:pPr>
    </w:p>
    <w:p w:rsidR="003E2E96" w:rsidRPr="00705D14" w:rsidRDefault="003E2E96" w:rsidP="003E2E96">
      <w:pPr>
        <w:pStyle w:val="ItemsApprovedHeading"/>
      </w:pPr>
      <w:bookmarkStart w:id="18" w:name="TBDW_2db40d92078a48ad885064743aecd96c"/>
      <w:r>
        <w:lastRenderedPageBreak/>
        <w:t>ДРУГИ ОДОБРЕНИ ТОЧКИ</w:t>
      </w:r>
      <w:bookmarkEnd w:id="18"/>
    </w:p>
    <w:p w:rsidR="003E2E96" w:rsidRPr="00705D14" w:rsidRDefault="003E2E96" w:rsidP="003E2E96">
      <w:pPr>
        <w:pStyle w:val="ItemApproved"/>
      </w:pPr>
      <w:r>
        <w:t>ИКОНОМИЧЕСКИ И ФИНАНСОВИ ВЪПРОСИ</w:t>
      </w:r>
    </w:p>
    <w:p w:rsidR="003E2E96" w:rsidRPr="00705D14" w:rsidRDefault="003E2E96" w:rsidP="003E2E96">
      <w:pPr>
        <w:pStyle w:val="Sub-itemApproved"/>
      </w:pPr>
      <w:bookmarkStart w:id="19" w:name="_Toc410898062"/>
      <w:r>
        <w:t>Борба с укриването на данъци — автоматичен обмен на информация</w:t>
      </w:r>
      <w:bookmarkEnd w:id="19"/>
    </w:p>
    <w:p w:rsidR="003E2E96" w:rsidRPr="00705D14" w:rsidRDefault="003E2E96" w:rsidP="003E2E96">
      <w:pPr>
        <w:outlineLvl w:val="0"/>
      </w:pPr>
      <w:r>
        <w:t>Съветът прие директива, която ще помага на държавите членки в ограничаването на данъчните измами и укриването на данъци чрез разширяване на обхвата на автоматичния обмен на информация (</w:t>
      </w:r>
      <w:hyperlink r:id="rId42" w:tooltip="http://register.consilium.europa.eu/pdf/bg/14/st14/st14425.bg14.pdf">
        <w:r w:rsidRPr="00DE65CF">
          <w:rPr>
            <w:rStyle w:val="Hyperlink"/>
            <w:i/>
          </w:rPr>
          <w:t>14425/14</w:t>
        </w:r>
      </w:hyperlink>
      <w:r>
        <w:t xml:space="preserve">, </w:t>
      </w:r>
      <w:hyperlink r:id="rId43" w:tooltip="http://register.consilium.europa.eu/pdf/bg/14/st15/st15985.bg14.pdf">
        <w:r w:rsidRPr="00DE65CF">
          <w:rPr>
            <w:rStyle w:val="Hyperlink"/>
            <w:i/>
          </w:rPr>
          <w:t>15995/14</w:t>
        </w:r>
      </w:hyperlink>
      <w:r>
        <w:rPr>
          <w:i/>
        </w:rPr>
        <w:t xml:space="preserve"> + </w:t>
      </w:r>
      <w:hyperlink r:id="rId44" w:tooltip="http://register.consilium.europa.eu/pdf/bg/14/st15/st15995-ad01.bg14.pdf">
        <w:r w:rsidRPr="00DE65CF">
          <w:rPr>
            <w:rStyle w:val="Hyperlink"/>
            <w:i/>
          </w:rPr>
          <w:t>15995/14 ADD 1</w:t>
        </w:r>
      </w:hyperlink>
      <w:r>
        <w:t>).</w:t>
      </w:r>
    </w:p>
    <w:p w:rsidR="003E2E96" w:rsidRPr="00705D14" w:rsidRDefault="003E2E96" w:rsidP="003E2E96">
      <w:pPr>
        <w:outlineLvl w:val="0"/>
      </w:pPr>
      <w:r>
        <w:t>Според настоящата директива в обхвата на автоматичния обмен на информация са включени лихвите, дивидентите, брутните постъпления от продажба на финансови активи и други приходи, както и платежните баланси. С настоящата директива се преразглежда Директива 2011/16/ЕС относно административното сътрудничество в областта на данъчното облагане.</w:t>
      </w:r>
    </w:p>
    <w:p w:rsidR="003E2E96" w:rsidRPr="00705D14" w:rsidRDefault="003E2E96" w:rsidP="003E2E96">
      <w:pPr>
        <w:outlineLvl w:val="0"/>
      </w:pPr>
      <w:r>
        <w:t>С директивата се преследва двояка цел: да се предотврати възможността данъкоплатците да укриват капитал в чужбина или активи, за които се дължи данък, като същевременно се подобрява и ефективността на събирането на данъци.</w:t>
      </w:r>
    </w:p>
    <w:p w:rsidR="003E2E96" w:rsidRPr="00705D14" w:rsidRDefault="003E2E96" w:rsidP="003E2E96">
      <w:pPr>
        <w:outlineLvl w:val="0"/>
      </w:pPr>
      <w:r>
        <w:t xml:space="preserve">За повече подробности вж. съобщение за печата </w:t>
      </w:r>
      <w:hyperlink r:id="rId45">
        <w:r w:rsidRPr="00DE65CF">
          <w:rPr>
            <w:rStyle w:val="Hyperlink"/>
            <w:i/>
          </w:rPr>
          <w:t>16644/14</w:t>
        </w:r>
      </w:hyperlink>
      <w:r>
        <w:t>.</w:t>
      </w:r>
    </w:p>
    <w:p w:rsidR="003E2E96" w:rsidRPr="00705D14" w:rsidRDefault="003E2E96" w:rsidP="003E2E96">
      <w:pPr>
        <w:pStyle w:val="Sub-itemApproved"/>
      </w:pPr>
      <w:bookmarkStart w:id="20" w:name="_Toc410898063"/>
      <w:r>
        <w:t>Данъчно облагане: Директива за дружествата майки и дъщерните дружества — клауза за борба със злоупотребите</w:t>
      </w:r>
      <w:bookmarkEnd w:id="20"/>
    </w:p>
    <w:p w:rsidR="003E2E96" w:rsidRPr="00705D14" w:rsidRDefault="003E2E96" w:rsidP="003E2E96">
      <w:r>
        <w:t>Съветът прие изменение на директива на ЕС с оглед предотвратяване на избягването на данъци и агресивното данъчно планиране от страна на корпоративни групи. За тази цел Съветът одобри в директивата за дружествата майки и дъщерните дружества да бъде въведена — под формата на минимално правило</w:t>
      </w:r>
      <w:r>
        <w:rPr>
          <w:rStyle w:val="FootnoteReference"/>
          <w:sz w:val="22"/>
        </w:rPr>
        <w:footnoteReference w:id="5"/>
      </w:r>
      <w:r>
        <w:t xml:space="preserve"> — обвързваща клауза за борба със злоупотребите (</w:t>
      </w:r>
      <w:hyperlink r:id="rId46" w:tooltip="http://register.consilium.europa.eu/pdf/bg/14/st16/st16435.bg14.pdf">
        <w:r w:rsidRPr="00DE65CF">
          <w:rPr>
            <w:rStyle w:val="Hyperlink"/>
            <w:i/>
          </w:rPr>
          <w:t>16435/14</w:t>
        </w:r>
      </w:hyperlink>
      <w:r>
        <w:t>).</w:t>
      </w:r>
    </w:p>
    <w:p w:rsidR="003E2E96" w:rsidRPr="00705D14" w:rsidRDefault="003E2E96" w:rsidP="003E2E96">
      <w:r>
        <w:t>Посредством клаузата за борба със злоупотребите се цели да се предотвратят злоупотреби с директивата и да се гарантира по-голяма съгласуваност в прилагането ѝ в различни държави членки. Според клаузата от правителствата се изисква да се въздържат от предоставяне на предимствата на директивата за дружествата майки и дъщерните дружества на договореност или поредица от договорености, които не са „действителни“ и имат за цел получаването на данъчно предимство, а не отразяват икономическата реалност.</w:t>
      </w:r>
    </w:p>
    <w:p w:rsidR="003E2E96" w:rsidRPr="00705D14" w:rsidRDefault="003E2E96" w:rsidP="003E2E96">
      <w:r>
        <w:t>Изменящата директива ще бъде приета на някое от предстоящите заседание на Съвета без допълнителни обсъждания.</w:t>
      </w:r>
    </w:p>
    <w:p w:rsidR="003E2E96" w:rsidRPr="00705D14" w:rsidRDefault="003E2E96" w:rsidP="003E2E96">
      <w:r>
        <w:t xml:space="preserve">За повече подробности вж. съобщение за печата </w:t>
      </w:r>
      <w:hyperlink r:id="rId47" w:tooltip="http://register.consilium.europa.eu/pdf/en/14/st15/st15103.en14.pdf">
        <w:r w:rsidRPr="00DE65CF">
          <w:rPr>
            <w:rStyle w:val="Hyperlink"/>
            <w:i/>
          </w:rPr>
          <w:t>15103/14</w:t>
        </w:r>
      </w:hyperlink>
      <w:r>
        <w:t>.</w:t>
      </w:r>
    </w:p>
    <w:p w:rsidR="003E2E96" w:rsidRPr="00705D14" w:rsidRDefault="003E2E96" w:rsidP="003E2E96">
      <w:pPr>
        <w:pStyle w:val="Sub-itemApproved"/>
      </w:pPr>
      <w:r>
        <w:br w:type="page"/>
      </w:r>
      <w:bookmarkStart w:id="21" w:name="_Toc410898064"/>
      <w:r>
        <w:lastRenderedPageBreak/>
        <w:t>Платежни услуги</w:t>
      </w:r>
      <w:bookmarkEnd w:id="21"/>
    </w:p>
    <w:p w:rsidR="003E2E96" w:rsidRPr="00705D14" w:rsidRDefault="003E2E96" w:rsidP="003E2E96">
      <w:r>
        <w:t>Съветът потвърди общия подход, договорен от Комитета на постоянните представители по проекта за директива, насочена към по-нататъшното развитие на пазара за електронни плащания в целия ЕС (</w:t>
      </w:r>
      <w:hyperlink r:id="rId48" w:tooltip="http://register.consilium.europa.eu/pdf/en/14/st16/st16154.en14.pdf">
        <w:r w:rsidRPr="00DE65CF">
          <w:rPr>
            <w:rStyle w:val="Hyperlink"/>
            <w:i/>
          </w:rPr>
          <w:t>16154/14</w:t>
        </w:r>
      </w:hyperlink>
      <w:r>
        <w:t>).</w:t>
      </w:r>
    </w:p>
    <w:p w:rsidR="003E2E96" w:rsidRPr="00705D14" w:rsidRDefault="003E2E96" w:rsidP="003E2E96">
      <w:r>
        <w:t xml:space="preserve">За повече подробности виж съобщение за печата </w:t>
      </w:r>
      <w:hyperlink r:id="rId49">
        <w:r w:rsidRPr="00DE65CF">
          <w:rPr>
            <w:rStyle w:val="Hyperlink"/>
            <w:i/>
          </w:rPr>
          <w:t>16353/14</w:t>
        </w:r>
      </w:hyperlink>
      <w:r>
        <w:t>.</w:t>
      </w:r>
    </w:p>
    <w:p w:rsidR="003E2E96" w:rsidRPr="00705D14" w:rsidRDefault="003E2E96" w:rsidP="003E2E96">
      <w:pPr>
        <w:pStyle w:val="Sub-itemApproved"/>
      </w:pPr>
      <w:bookmarkStart w:id="22" w:name="_Toc410898065"/>
      <w:r>
        <w:t>Финансовата помощ за Кипър — преглед</w:t>
      </w:r>
      <w:bookmarkEnd w:id="22"/>
    </w:p>
    <w:p w:rsidR="003E2E96" w:rsidRPr="00705D14" w:rsidRDefault="003E2E96" w:rsidP="003E2E96">
      <w:r>
        <w:t xml:space="preserve">С оглед на петия преглед </w:t>
      </w:r>
      <w:r>
        <w:rPr>
          <w:color w:val="000000"/>
        </w:rPr>
        <w:t>Съветът прие решение за актуализиране</w:t>
      </w:r>
      <w:r>
        <w:t xml:space="preserve"> на </w:t>
      </w:r>
      <w:r>
        <w:rPr>
          <w:color w:val="000000"/>
        </w:rPr>
        <w:t>Р</w:t>
      </w:r>
      <w:r>
        <w:t>ешение № 2013/463/ЕС относно програма за макроикономически мерки за Кипър.</w:t>
      </w:r>
    </w:p>
    <w:p w:rsidR="003E2E96" w:rsidRPr="00705D14" w:rsidRDefault="003E2E96" w:rsidP="003E2E96">
      <w:pPr>
        <w:rPr>
          <w:noProof/>
        </w:rPr>
      </w:pPr>
      <w:r>
        <w:t>В резултат на това следва да бъдат извършени промени в областта на реформата на финансовия сектор, фискалната политика и структурните реформи.</w:t>
      </w:r>
    </w:p>
    <w:p w:rsidR="003E2E96" w:rsidRPr="00705D14" w:rsidRDefault="003E2E96" w:rsidP="003E2E96">
      <w:pPr>
        <w:pStyle w:val="Sub-itemApproved"/>
      </w:pPr>
      <w:bookmarkStart w:id="23" w:name="_Toc410898066"/>
      <w:r>
        <w:t>Данъчно облагане — доклади до Европейския съвет</w:t>
      </w:r>
      <w:bookmarkEnd w:id="23"/>
    </w:p>
    <w:p w:rsidR="003E2E96" w:rsidRPr="00705D14" w:rsidRDefault="003E2E96" w:rsidP="003E2E96">
      <w:pPr>
        <w:rPr>
          <w:snapToGrid w:val="0"/>
        </w:rPr>
      </w:pPr>
      <w:r>
        <w:t>Съветът одобри два шестмесечни доклада до Европейския съвет:</w:t>
      </w:r>
    </w:p>
    <w:p w:rsidR="003E2E96" w:rsidRPr="00705D14" w:rsidRDefault="003E2E96" w:rsidP="003E2E96">
      <w:pPr>
        <w:pStyle w:val="Tiret0"/>
        <w:numPr>
          <w:ilvl w:val="0"/>
          <w:numId w:val="2"/>
        </w:numPr>
      </w:pPr>
      <w:r>
        <w:t>доклад относно данъчните въпроси; и</w:t>
      </w:r>
    </w:p>
    <w:p w:rsidR="003E2E96" w:rsidRPr="00705D14" w:rsidRDefault="003E2E96" w:rsidP="003E2E96">
      <w:pPr>
        <w:pStyle w:val="Tiret0"/>
        <w:numPr>
          <w:ilvl w:val="0"/>
          <w:numId w:val="2"/>
        </w:numPr>
      </w:pPr>
      <w:r>
        <w:t xml:space="preserve">доклад относно данъчните въпроси, изготвен от министрите на финансите от държавите, участващи в </w:t>
      </w:r>
      <w:r>
        <w:rPr>
          <w:i/>
          <w:snapToGrid w:val="0"/>
        </w:rPr>
        <w:t>пакта „Евро плюс“</w:t>
      </w:r>
      <w:r>
        <w:rPr>
          <w:rStyle w:val="FootnoteReference"/>
          <w:snapToGrid w:val="0"/>
        </w:rPr>
        <w:footnoteReference w:id="6"/>
      </w:r>
      <w:r>
        <w:t>.</w:t>
      </w:r>
    </w:p>
    <w:p w:rsidR="003E2E96" w:rsidRPr="00705D14" w:rsidRDefault="003E2E96" w:rsidP="003E2E96">
      <w:pPr>
        <w:pStyle w:val="Sub-itemApproved"/>
      </w:pPr>
      <w:bookmarkStart w:id="24" w:name="_Toc410898067"/>
      <w:r>
        <w:t>Административно сътрудничество: Норвегия</w:t>
      </w:r>
      <w:bookmarkEnd w:id="24"/>
    </w:p>
    <w:p w:rsidR="003E2E96" w:rsidRPr="00705D14" w:rsidRDefault="003E2E96" w:rsidP="003E2E96">
      <w:r>
        <w:t>Съветът прие решение за упълномощаване на Комисията да започне преговори за споразумение между ЕС и Норвегия за административно сътрудничество, борба с данъчната измама и събирането на вземания в областта на ДДС.</w:t>
      </w:r>
    </w:p>
    <w:p w:rsidR="003E2E96" w:rsidRPr="00705D14" w:rsidRDefault="003E2E96" w:rsidP="003E2E96">
      <w:pPr>
        <w:pStyle w:val="Sub-itemApproved"/>
      </w:pPr>
      <w:bookmarkStart w:id="25" w:name="_Toc410898068"/>
      <w:r>
        <w:t>Арбитражна конвенция: Присъединяване на Хърватия</w:t>
      </w:r>
      <w:bookmarkEnd w:id="25"/>
    </w:p>
    <w:p w:rsidR="003E2E96" w:rsidRPr="00705D14" w:rsidRDefault="003E2E96" w:rsidP="003E2E96">
      <w:r>
        <w:t>Съветът прие решение относно присъединяването на Хърватия към Арбитражната конвенция от 23 юли 1990 г. за премахване на двойното данъчно облагане във връзка с корекцията на печалби на свързани предприятия.</w:t>
      </w:r>
    </w:p>
    <w:p w:rsidR="003E2E96" w:rsidRPr="00705D14" w:rsidRDefault="003E2E96" w:rsidP="003E2E96">
      <w:pPr>
        <w:pStyle w:val="Sub-itemApproved"/>
        <w:spacing w:after="120"/>
      </w:pPr>
      <w:r>
        <w:br w:type="page"/>
      </w:r>
      <w:bookmarkStart w:id="26" w:name="_Toc410898069"/>
      <w:r>
        <w:lastRenderedPageBreak/>
        <w:t>Финанси за растеж и дългосрочно финансиране на европейската икономика - заключения на Съвета</w:t>
      </w:r>
      <w:bookmarkEnd w:id="26"/>
    </w:p>
    <w:p w:rsidR="003E2E96" w:rsidRPr="00705D14" w:rsidRDefault="003E2E96" w:rsidP="003E2E96">
      <w:pPr>
        <w:spacing w:after="120"/>
      </w:pPr>
      <w:r>
        <w:t>Съветът прие следните заключения:</w:t>
      </w:r>
    </w:p>
    <w:p w:rsidR="003E2E96" w:rsidRPr="00705D14" w:rsidRDefault="003E2E96" w:rsidP="003E2E96">
      <w:pPr>
        <w:spacing w:after="120"/>
      </w:pPr>
      <w:r>
        <w:t>„Съветът:</w:t>
      </w:r>
    </w:p>
    <w:p w:rsidR="003E2E96" w:rsidRPr="00705D14" w:rsidRDefault="003E2E96" w:rsidP="003E2E96">
      <w:pPr>
        <w:pStyle w:val="Point0"/>
        <w:spacing w:after="120"/>
      </w:pPr>
      <w:r>
        <w:t>1.</w:t>
      </w:r>
      <w:r>
        <w:tab/>
        <w:t>ПРИЕМА, че е трябва да се наблегне върху необходимостта от създаване на производителни работни места и устойчив растеж в икономиката на ЕС и СЕ СЪГЛАСЯВА, че спомагателната роля на финансирането за растеж в тази насока е определящ градивен елемент;</w:t>
      </w:r>
    </w:p>
    <w:p w:rsidR="003E2E96" w:rsidRPr="00705D14" w:rsidRDefault="003E2E96" w:rsidP="003E2E96">
      <w:pPr>
        <w:pStyle w:val="Point0"/>
        <w:spacing w:after="120"/>
      </w:pPr>
      <w:r>
        <w:t>2.</w:t>
      </w:r>
      <w:r>
        <w:tab/>
        <w:t>ПРИПОМНЯ извършената досега работа, която в крайна сметка допринесе за пакета на Комисията, приет на 27 март 2014 г., централно място в който заема Съобщението относно дългосрочното финансиране на европейската икономика;</w:t>
      </w:r>
    </w:p>
    <w:p w:rsidR="003E2E96" w:rsidRPr="00705D14" w:rsidRDefault="003E2E96" w:rsidP="003E2E96">
      <w:pPr>
        <w:pStyle w:val="Point0"/>
        <w:spacing w:after="120"/>
      </w:pPr>
      <w:r>
        <w:t>3.</w:t>
      </w:r>
      <w:r>
        <w:tab/>
        <w:t>ПОДЧЕРТАВА, че непосредствено след неотдавнашната икономическа и финансова криза и последвалите процеси на намаляване на ефекта на лоста финансирането на реалната икономика драстично намаля в няколко държави — членки на ЕС, и извади наяве ограниченията, свързани със зависимостта от банково посредничество при насочването на средства към европейската икономика, особено по отношение на дългосрочните инвестиции и финансирането на МСП;</w:t>
      </w:r>
    </w:p>
    <w:p w:rsidR="003E2E96" w:rsidRPr="00705D14" w:rsidRDefault="003E2E96" w:rsidP="003E2E96">
      <w:pPr>
        <w:pStyle w:val="Point0"/>
        <w:spacing w:after="120"/>
      </w:pPr>
      <w:r>
        <w:t>4.</w:t>
      </w:r>
      <w:r>
        <w:tab/>
        <w:t>ПРИЕМА необходимостта, изразена от Комисията в нейното съобщение, от стимулиране на нови и различни начини за разгръщане на дългосрочното финансиране и намаляване на съществуващите пречки за достъп до финансиране за предприятията, особено МСП;</w:t>
      </w:r>
    </w:p>
    <w:p w:rsidR="003E2E96" w:rsidRPr="00705D14" w:rsidRDefault="003E2E96" w:rsidP="003E2E96">
      <w:pPr>
        <w:pStyle w:val="Point0"/>
        <w:spacing w:after="120"/>
        <w:rPr>
          <w:bCs/>
        </w:rPr>
      </w:pPr>
      <w:r>
        <w:t>5.</w:t>
      </w:r>
      <w:r>
        <w:tab/>
        <w:t>ПРИЕМА, че макар и действията на равнище национални политики да остават решаващи за създаване на нови възможности за финансиране и стимули в подкрепа на дългосрочните инвестиции, една координирана инициатива на равнище ЕС би донесла значителни ползи;</w:t>
      </w:r>
    </w:p>
    <w:p w:rsidR="003E2E96" w:rsidRPr="00705D14" w:rsidRDefault="003E2E96" w:rsidP="003E2E96">
      <w:pPr>
        <w:pStyle w:val="Point0"/>
        <w:spacing w:after="120"/>
      </w:pPr>
      <w:r>
        <w:t>6.</w:t>
      </w:r>
      <w:r>
        <w:tab/>
        <w:t>ПРИПОМНЯ, че е важно да се следват по-специално изброените по-долу принципи:</w:t>
      </w:r>
    </w:p>
    <w:p w:rsidR="003E2E96" w:rsidRPr="00705D14" w:rsidRDefault="003E2E96" w:rsidP="003E2E96">
      <w:pPr>
        <w:pStyle w:val="Bullet1"/>
        <w:spacing w:after="120"/>
      </w:pPr>
      <w:r>
        <w:t>Една от всеобхватните цели следва да бъде намаляването на пречките за ефективното насочване на спестяванията към инвестиции, като същевременно се гарантира, че се поддържа финансова стабилност и се запазва устойчивостта на сътресения;</w:t>
      </w:r>
    </w:p>
    <w:p w:rsidR="003E2E96" w:rsidRPr="00705D14" w:rsidRDefault="003E2E96" w:rsidP="003E2E96">
      <w:pPr>
        <w:pStyle w:val="Bullet1"/>
        <w:spacing w:after="120"/>
      </w:pPr>
      <w:r>
        <w:t>В стремежа към по-голяма ефикасност и конкурентоспособност следва да се поддържат високи стандарти за интегритет на пазара и защита на потребителите и инвеститорите, особено на пазарите на дребно, където е важна и финансовата грамотност;</w:t>
      </w:r>
    </w:p>
    <w:p w:rsidR="003E2E96" w:rsidRPr="00705D14" w:rsidRDefault="003E2E96" w:rsidP="003E2E96">
      <w:pPr>
        <w:pStyle w:val="Bullet1"/>
        <w:spacing w:after="120"/>
      </w:pPr>
      <w:r>
        <w:t>Действията по политиките следва да се разработват в съответствие с принципите на по-доброто регулиране и след извършване на надеждни анализи. Пруденциалната политика следва да осигури поддържането на достатъчна устойчивост, тъй като образуванията с висока капитализация са в най-добра позиция да предоставят стабилно дългосрочно финансиране;</w:t>
      </w:r>
    </w:p>
    <w:p w:rsidR="003E2E96" w:rsidRPr="00705D14" w:rsidRDefault="003E2E96" w:rsidP="003E2E96">
      <w:pPr>
        <w:pStyle w:val="Bullet1"/>
        <w:spacing w:after="120" w:line="260" w:lineRule="exact"/>
      </w:pPr>
      <w:r>
        <w:br w:type="page"/>
      </w:r>
      <w:r>
        <w:lastRenderedPageBreak/>
        <w:t>Следва да се възприеме амбициозен и систематичен подход към политиките, с който по-специално да се осигури хоризонталната съгласуваност на мерките на политиките в различните държави членки, различните сектори и различните регулаторни режими на съответните финансови инструменти и канали за извършване на операции;</w:t>
      </w:r>
    </w:p>
    <w:p w:rsidR="003E2E96" w:rsidRPr="00705D14" w:rsidRDefault="003E2E96" w:rsidP="003E2E96">
      <w:pPr>
        <w:pStyle w:val="Bullet1"/>
        <w:spacing w:after="120" w:line="260" w:lineRule="exact"/>
      </w:pPr>
      <w:r>
        <w:t>Специален приоритет следва да се отдаде на улесняването на достъпа до финансиране за МСП;</w:t>
      </w:r>
    </w:p>
    <w:p w:rsidR="003E2E96" w:rsidRPr="00705D14" w:rsidRDefault="003E2E96" w:rsidP="003E2E96">
      <w:pPr>
        <w:pStyle w:val="Point0"/>
        <w:spacing w:after="120" w:line="260" w:lineRule="exact"/>
      </w:pPr>
      <w:r>
        <w:t>7.</w:t>
      </w:r>
      <w:r>
        <w:tab/>
        <w:t>В тази перспектива СПОДЕЛЯ ВИЖДАНЕТО, че укрепването на единния капиталов пазар и осигуряването на свободния поток от капитали в рамките на цялата европейска икономика би донесло значителни ползи, по-специално по отношение на:</w:t>
      </w:r>
    </w:p>
    <w:p w:rsidR="003E2E96" w:rsidRPr="00705D14" w:rsidRDefault="003E2E96" w:rsidP="003E2E96">
      <w:pPr>
        <w:pStyle w:val="Bullet1"/>
        <w:spacing w:after="120" w:line="260" w:lineRule="exact"/>
      </w:pPr>
      <w:r>
        <w:t>Разширяването и диверсифицирането на финансовите пазари на ЕС, следователно донасяйки ползи и по отношение на икономии от мащаба и подкрепа за устойчивостта, ефикасността и конкурентоспособността на финансовите пазари;</w:t>
      </w:r>
    </w:p>
    <w:p w:rsidR="003E2E96" w:rsidRPr="00705D14" w:rsidRDefault="003E2E96" w:rsidP="003E2E96">
      <w:pPr>
        <w:pStyle w:val="Bullet1"/>
        <w:spacing w:after="120" w:line="260" w:lineRule="exact"/>
      </w:pPr>
      <w:r>
        <w:t>Принос за предоставянето на по-голямо дългосрочно финансиране;</w:t>
      </w:r>
    </w:p>
    <w:p w:rsidR="003E2E96" w:rsidRPr="00705D14" w:rsidRDefault="003E2E96" w:rsidP="003E2E96">
      <w:pPr>
        <w:pStyle w:val="Bullet1"/>
        <w:spacing w:after="120" w:line="260" w:lineRule="exact"/>
      </w:pPr>
      <w:r>
        <w:t>Засилване на предоставянето на капитал в допълнение към дълговото финансиране;</w:t>
      </w:r>
    </w:p>
    <w:p w:rsidR="003E2E96" w:rsidRPr="00705D14" w:rsidRDefault="003E2E96" w:rsidP="003E2E96">
      <w:pPr>
        <w:pStyle w:val="Point0"/>
        <w:spacing w:after="120" w:line="260" w:lineRule="exact"/>
      </w:pPr>
      <w:r>
        <w:t>8.</w:t>
      </w:r>
      <w:r>
        <w:tab/>
        <w:t>Без да се засягат допълнителни области на дейност, включително създаването на европейски фондове за дългосрочни инвестиции (ЕФДИ) като ключов краткосрочен приоритет, ИЗТЪКВА някои области, в които работата трябва да започне скоро, по-специално:</w:t>
      </w:r>
    </w:p>
    <w:p w:rsidR="003E2E96" w:rsidRPr="00705D14" w:rsidRDefault="003E2E96" w:rsidP="003E2E96">
      <w:pPr>
        <w:pStyle w:val="Tiret1"/>
        <w:spacing w:after="120" w:line="260" w:lineRule="exact"/>
      </w:pPr>
      <w:r>
        <w:t>Съживяване на пазара за прости и прозрачни секюритизации, включително продуктите, подходящи за МСП, въз основа на създадена за целта европейска рамка за секюритизация, в която се отчитат присъщите на секюритизациите рискове;</w:t>
      </w:r>
    </w:p>
    <w:p w:rsidR="003E2E96" w:rsidRPr="00705D14" w:rsidRDefault="003E2E96" w:rsidP="003E2E96">
      <w:pPr>
        <w:pStyle w:val="Tiret1"/>
        <w:spacing w:after="120" w:line="260" w:lineRule="exact"/>
      </w:pPr>
      <w:r>
        <w:t>Укрепване на пазарите за частни емисии в европейски мащаб;</w:t>
      </w:r>
    </w:p>
    <w:p w:rsidR="003E2E96" w:rsidRPr="00705D14" w:rsidRDefault="003E2E96" w:rsidP="003E2E96">
      <w:pPr>
        <w:pStyle w:val="Tiret1"/>
        <w:spacing w:after="120" w:line="260" w:lineRule="exact"/>
      </w:pPr>
      <w:r>
        <w:t>Напредък в посока съгласуване на регулаторните подходи по отношение на обезпечените облигации, по-конкретно чрез по-строги изисквания за прозрачност и разкриване на данните, като същевременно се запазва ефикасността и качеството, постигнати на съответните национални пазари;</w:t>
      </w:r>
    </w:p>
    <w:p w:rsidR="003E2E96" w:rsidRPr="00705D14" w:rsidRDefault="003E2E96" w:rsidP="003E2E96">
      <w:pPr>
        <w:pStyle w:val="Tiret1"/>
        <w:spacing w:after="120" w:line="260" w:lineRule="exact"/>
      </w:pPr>
      <w:r>
        <w:t>По-нататъшно преценяване на отличителните характеристики и възможните пречки за устойчивото развитие на пазарите за колективно финансиране, като по този начин се подготви почвата за евентуална бъдеща намеса чрез политиките, където е необходимо и целесъобразно;</w:t>
      </w:r>
    </w:p>
    <w:p w:rsidR="003E2E96" w:rsidRPr="00705D14" w:rsidRDefault="003E2E96" w:rsidP="003E2E96">
      <w:pPr>
        <w:pStyle w:val="Point0"/>
        <w:spacing w:after="120" w:line="260" w:lineRule="exact"/>
      </w:pPr>
      <w:r>
        <w:t>9.</w:t>
      </w:r>
      <w:r>
        <w:tab/>
        <w:t>ОТЧИТА, че един комплексен и амбициозен подход към увеличаването на достъпа до финансиране за всички дружества може да наложи проучването на ключови хоризонтални въпроси, свързани със:</w:t>
      </w:r>
    </w:p>
    <w:p w:rsidR="003E2E96" w:rsidRPr="00705D14" w:rsidRDefault="003E2E96" w:rsidP="003E2E96">
      <w:pPr>
        <w:pStyle w:val="Bullet1"/>
        <w:spacing w:after="120" w:line="260" w:lineRule="exact"/>
      </w:pPr>
      <w:r>
        <w:t>В краткосрочен план, подобряване на обхвата, качеството и съпоставимостта на търговската, финансовата и кредитната информация, до която инвеститорите трябва да имат достъп в целия ЕС, за да могат да изпълняват съвестно задължението за надлежна проверка, по-специално когато оценяват финансирането на МСП;</w:t>
      </w:r>
    </w:p>
    <w:p w:rsidR="003E2E96" w:rsidRPr="00705D14" w:rsidRDefault="003E2E96" w:rsidP="003E2E96">
      <w:pPr>
        <w:pStyle w:val="Bullet1"/>
      </w:pPr>
      <w:r>
        <w:br w:type="page"/>
      </w:r>
      <w:r>
        <w:lastRenderedPageBreak/>
        <w:t>В по-дългосрочен план, възможните последици по отношение на начина, по който са защитени правата на собственост, например чрез дружественото право и правото в областта на несъстоятелността, и по отношение на начина, по който данъчното облагане влияе на финансовите пазари с цел да се стимулират трансграничните кредитни и инвестиционни потоци в ЕС.</w:t>
      </w:r>
      <w:r>
        <w:rPr>
          <w:rStyle w:val="FootnoteReference"/>
          <w:sz w:val="22"/>
        </w:rPr>
        <w:footnoteReference w:id="7"/>
      </w:r>
    </w:p>
    <w:p w:rsidR="003E2E96" w:rsidRPr="00705D14" w:rsidRDefault="003E2E96" w:rsidP="003E2E96">
      <w:r>
        <w:t>По отношение на съживяването на пазара за прости и прозрачни секюритизации Съветът:</w:t>
      </w:r>
    </w:p>
    <w:p w:rsidR="003E2E96" w:rsidRPr="00705D14" w:rsidRDefault="003E2E96" w:rsidP="003E2E96">
      <w:pPr>
        <w:pStyle w:val="Point0"/>
      </w:pPr>
      <w:r>
        <w:t>10.</w:t>
      </w:r>
      <w:r>
        <w:tab/>
        <w:t>ПРИЗНАВА необходимостта да се стимулира правилно структуриран и регулиран</w:t>
      </w:r>
      <w:r>
        <w:rPr>
          <w:i/>
        </w:rPr>
        <w:t xml:space="preserve"> </w:t>
      </w:r>
      <w:r>
        <w:t>европейски пазар на секюритизации: чрез подходящи гаранции и високи застрахователни стандарти секюритизационните инструменти могат да съчетаят ползите от надеждното емитиране с по-широко разпределяне на кредитния риск в рамките на финансовия сектор и поради това способстват за диверсифицирането на източниците за финансиране на икономиката на ЕС, като по този начин спомагат за по-висок растеж в дългосрочен план;</w:t>
      </w:r>
    </w:p>
    <w:p w:rsidR="003E2E96" w:rsidRPr="00705D14" w:rsidRDefault="003E2E96" w:rsidP="003E2E96">
      <w:pPr>
        <w:pStyle w:val="Point0"/>
      </w:pPr>
      <w:r>
        <w:t>11.</w:t>
      </w:r>
      <w:r>
        <w:tab/>
        <w:t>ИЗТЪКВА, че устойчивите пазари на секюритизации, които се опират на подходящо дефинирани и регулирани инструменти, могат да допринесат за облекчаване на финансовото положение, включително за МСП, чрез освобождаване на капитал в банките и укрепване на доверието на инвеститорите. Поради това Съветът НАСЪРЧАВА Комисията да разработи специално за целта рамка на ЕС за опростени и прозрачни секюритизации, предназначена да оптимизира съгласуваността, прозрачността и правната сигурност за всички участници на пазара; като се основава на многобройните текущи инициативи на европейско и международно равнище във връзка със секюритизацията;</w:t>
      </w:r>
    </w:p>
    <w:p w:rsidR="003E2E96" w:rsidRPr="00705D14" w:rsidRDefault="003E2E96" w:rsidP="003E2E96">
      <w:pPr>
        <w:pStyle w:val="Point0"/>
      </w:pPr>
      <w:r>
        <w:t>12.</w:t>
      </w:r>
      <w:r>
        <w:tab/>
        <w:t>ПОДЧЕРТАВА, че са необходими бързи действия, внимателно координиране и последователност на работата на равнище ЕС и на международно равнище, за да се изгради съгласувана рамка, да се избегне регулаторният арбитраж между секторите и финансовите инструменти, да се осигури адекватно ниво на прозрачност, като по този начин се защитят и европейските интереси в глобалните дискусии;</w:t>
      </w:r>
    </w:p>
    <w:p w:rsidR="003E2E96" w:rsidRPr="00705D14" w:rsidRDefault="003E2E96" w:rsidP="003E2E96">
      <w:pPr>
        <w:pStyle w:val="Point0"/>
      </w:pPr>
      <w:r>
        <w:t>13.</w:t>
      </w:r>
      <w:r>
        <w:tab/>
        <w:t>ПРИВЕТСТВА изработената от Комитета по финансови услуги и Икономическия и финансов комитет пътна карта, вече обсъждана неофициално в Милано, и ПРИКАНВА Комисията като приоритет да разработи предложение за специална рамка на ЕС за секюритизацията, в диалог с държавите членки и с подкрепата на Европейските надзорни органи, ЕЦБ и други заинтересувани участници, като например националните централни банки на държавите членки. Съветът ПРИЗОВАВА Комисията да разработи такова предложение до лятото на 2015 г.;</w:t>
      </w:r>
    </w:p>
    <w:p w:rsidR="003E2E96" w:rsidRPr="00705D14" w:rsidRDefault="003E2E96" w:rsidP="003E2E96">
      <w:r>
        <w:br w:type="page"/>
      </w:r>
      <w:r>
        <w:lastRenderedPageBreak/>
        <w:t>По отношение на европейската рамка за частни емисии Съветът:</w:t>
      </w:r>
    </w:p>
    <w:p w:rsidR="003E2E96" w:rsidRPr="00705D14" w:rsidRDefault="003E2E96" w:rsidP="003E2E96">
      <w:pPr>
        <w:pStyle w:val="Point0"/>
      </w:pPr>
      <w:r>
        <w:t>14.</w:t>
      </w:r>
      <w:r>
        <w:tab/>
        <w:t>ПРИЗНАВА, че разработването на специфична рамка за частните емисии с насоки за емитентите и професионалните инвеститори представлява една възможност за дългосрочно финансиране на икономиката, която може да допълни другите източници на финансиране;</w:t>
      </w:r>
    </w:p>
    <w:p w:rsidR="003E2E96" w:rsidRPr="00705D14" w:rsidRDefault="003E2E96" w:rsidP="003E2E96">
      <w:pPr>
        <w:pStyle w:val="Point0"/>
      </w:pPr>
      <w:r>
        <w:t>15.</w:t>
      </w:r>
      <w:r>
        <w:tab/>
        <w:t>ОТБЕЛЯЗВА, че подобна рамка за частните емисии би била от полза най-вече за средните предприятия, които понастоящем са с органичен достъп до и присъствие на капиталовите пазари;</w:t>
      </w:r>
    </w:p>
    <w:p w:rsidR="003E2E96" w:rsidRPr="00705D14" w:rsidRDefault="003E2E96" w:rsidP="003E2E96">
      <w:pPr>
        <w:pStyle w:val="Point0"/>
      </w:pPr>
      <w:r>
        <w:t>16.</w:t>
      </w:r>
      <w:r>
        <w:tab/>
        <w:t>СЧИТА, че липсата на хармонизация на процесите, кредитна информация и документация, както и необходимостта от надежден кредитен анализ, който отчита диспропорциите в информацията, са сред предизвикателствата, които стоят пред трансграничните частни емисии;</w:t>
      </w:r>
    </w:p>
    <w:p w:rsidR="003E2E96" w:rsidRPr="00705D14" w:rsidRDefault="003E2E96" w:rsidP="003E2E96">
      <w:pPr>
        <w:pStyle w:val="Point0"/>
      </w:pPr>
      <w:r>
        <w:t>17.</w:t>
      </w:r>
      <w:r>
        <w:tab/>
        <w:t>ОЦЕНЯВА ПОЛОЖИТЕЛНО потенциалните ползи от пазарно ориентираните инициативи, с оглед на установяването на референтни стандарти, които да залегнат в основата на обща рамка за частните емисии;</w:t>
      </w:r>
    </w:p>
    <w:p w:rsidR="003E2E96" w:rsidRPr="00705D14" w:rsidRDefault="003E2E96" w:rsidP="003E2E96">
      <w:pPr>
        <w:pStyle w:val="Point0"/>
      </w:pPr>
      <w:r>
        <w:t>18.</w:t>
      </w:r>
      <w:r>
        <w:tab/>
        <w:t>ВЗЕМА ПРЕДВИД намерението на Комисията да опише националните режими за частни емисии и работата на Комитета по финансови услуги за обмен на информация за най-добрите практики в различните държави членки;</w:t>
      </w:r>
    </w:p>
    <w:p w:rsidR="003E2E96" w:rsidRPr="00705D14" w:rsidRDefault="003E2E96" w:rsidP="003E2E96">
      <w:pPr>
        <w:pStyle w:val="Point0"/>
        <w:rPr>
          <w:bCs/>
        </w:rPr>
      </w:pPr>
      <w:r>
        <w:t>19.</w:t>
      </w:r>
      <w:r>
        <w:tab/>
        <w:t>Съответно ПРИКАНВА Комисията, с участието на Комитета по финансови услуги и Икономическия и финансов комитет, да направи преглед на резултатите от пазарно ориентираните инициативи през 2015 г. и едновременно с това да обмисли дали и как евентуални действия по политиките, в т.ч. разработването на всеобхватна, но гъвкава регулаторна рамка, биха могли да спомогнат за развитието на устойчив пазар на частни емисии в ЕС;</w:t>
      </w:r>
    </w:p>
    <w:p w:rsidR="003E2E96" w:rsidRPr="00705D14" w:rsidRDefault="003E2E96" w:rsidP="003E2E96">
      <w:r>
        <w:t>По отношение на обезпечените облигации Съветът:</w:t>
      </w:r>
    </w:p>
    <w:p w:rsidR="003E2E96" w:rsidRPr="00705D14" w:rsidRDefault="003E2E96" w:rsidP="003E2E96">
      <w:pPr>
        <w:pStyle w:val="Point0"/>
      </w:pPr>
      <w:r>
        <w:t>20.</w:t>
      </w:r>
      <w:r>
        <w:tab/>
        <w:t>ИЗТЪКВА, че редица държави членки са създали много успешно регулирани пазари на обезпечени облигации, и СЧИТА, че е възможно да се осъществи допълнителен напредък във връзка с пазарната интеграция в рамките на ЕС и трансграничното емитиране и притежаване на обезпечени облигации посредством съгласуването на съответните правила;</w:t>
      </w:r>
    </w:p>
    <w:p w:rsidR="003E2E96" w:rsidRPr="00705D14" w:rsidRDefault="003E2E96" w:rsidP="003E2E96">
      <w:pPr>
        <w:pStyle w:val="Point0"/>
      </w:pPr>
      <w:r>
        <w:t>21.</w:t>
      </w:r>
      <w:r>
        <w:tab/>
        <w:t>ПРИВЕТСТВА намерението на Комисията да проучи осъществимостта, разходите и ползите от хармонизирана рамка на ЕС за обезпечените облигации; същевременно ПОДЧЕРТАВА, че подобна рамка не бива да е в ущърб на вече развитите пазари на обезпечени облигации, а напротив следва да се гради върху този опит и да запази и утвърди високите стандарти и най-добрите практики;</w:t>
      </w:r>
    </w:p>
    <w:p w:rsidR="003E2E96" w:rsidRPr="00705D14" w:rsidRDefault="003E2E96" w:rsidP="003E2E96">
      <w:pPr>
        <w:pStyle w:val="Point0"/>
      </w:pPr>
      <w:r>
        <w:br w:type="page"/>
      </w:r>
      <w:r>
        <w:lastRenderedPageBreak/>
        <w:t>22.</w:t>
      </w:r>
      <w:r>
        <w:tab/>
        <w:t>СМЯТА, че преценяването на положителните и отрицателните страни на евентуална рамка за обезпечените облигации би могло да започне успоредно с текущата работа по пазарите на секюритизации, с цел да се осигури подходяща координация и съгласуваност с бъдещата регулаторна рамка, без да се засяга изключително приоритетното значение, което се отдава на рамката за секюритизацията; и ПОДЧЕРТАВА, че резултатът следва да гарантира, че така оформените регулаторни режими отразяват правилно профила на риска и възвръщаемостта на тези инструменти;</w:t>
      </w:r>
    </w:p>
    <w:p w:rsidR="003E2E96" w:rsidRPr="00705D14" w:rsidRDefault="003E2E96" w:rsidP="003E2E96">
      <w:r>
        <w:t>По отношение на колективното финансиране Съветът:</w:t>
      </w:r>
    </w:p>
    <w:p w:rsidR="003E2E96" w:rsidRPr="00705D14" w:rsidRDefault="003E2E96" w:rsidP="003E2E96">
      <w:pPr>
        <w:pStyle w:val="Point0"/>
      </w:pPr>
      <w:r>
        <w:t>23.</w:t>
      </w:r>
      <w:r>
        <w:tab/>
        <w:t>ВЗЕМА ПОД ВНИМАНИЕ съобщението на Комисията относно колективното финансиране от 27 март 2014 г., в което Комисията предлага:</w:t>
      </w:r>
    </w:p>
    <w:p w:rsidR="003E2E96" w:rsidRPr="00705D14" w:rsidRDefault="003E2E96" w:rsidP="003E2E96">
      <w:pPr>
        <w:pStyle w:val="Tiret1"/>
      </w:pPr>
      <w:r>
        <w:t>да се насърчават най-добрите практики в сектора, да се повиши осведомеността и да се улесни разработването на знак за прозрачност;</w:t>
      </w:r>
    </w:p>
    <w:p w:rsidR="003E2E96" w:rsidRPr="00705D14" w:rsidRDefault="003E2E96" w:rsidP="003E2E96">
      <w:pPr>
        <w:pStyle w:val="Tiret1"/>
      </w:pPr>
      <w:r>
        <w:t>да се следи отблизо развитието на пазарите за колективно финансиране и националните правни рамки; и</w:t>
      </w:r>
    </w:p>
    <w:p w:rsidR="003E2E96" w:rsidRPr="00705D14" w:rsidRDefault="003E2E96" w:rsidP="003E2E96">
      <w:pPr>
        <w:pStyle w:val="Tiret1"/>
      </w:pPr>
      <w:r>
        <w:t>редовно да се прави оценка дали са необходими допълнителни действия на равнище ЕС под каквато и да е форма — включително законодателни действия,</w:t>
      </w:r>
    </w:p>
    <w:p w:rsidR="003E2E96" w:rsidRPr="00705D14" w:rsidRDefault="003E2E96" w:rsidP="003E2E96">
      <w:pPr>
        <w:pStyle w:val="Text1"/>
      </w:pPr>
      <w:r>
        <w:t>с цел да се набележат проблемите, които може да се наложи да бъдат разрешени, за да се подпомогне безопасното развитие на колективното финансиране и да се поддържа високо равнище на защита на инвеститорите;</w:t>
      </w:r>
    </w:p>
    <w:p w:rsidR="003E2E96" w:rsidRPr="00705D14" w:rsidRDefault="003E2E96" w:rsidP="003E2E96">
      <w:pPr>
        <w:pStyle w:val="Point0"/>
      </w:pPr>
      <w:r>
        <w:t>24.</w:t>
      </w:r>
      <w:r>
        <w:tab/>
        <w:t>ОТЧИТА потенциала на колективното финансиране като алтернативен източник на финансиране, особено за МСП, и в това отношение ИЗТЪКВА гъвкавостта на колективното финансиране за насочване на капитал и дългов капитал към МСП, особено към стартиращи предприятия, и същевременно необходимостта да се гарантира адекватна защита на дребните инвеститори;</w:t>
      </w:r>
    </w:p>
    <w:p w:rsidR="003E2E96" w:rsidRPr="00705D14" w:rsidRDefault="003E2E96" w:rsidP="003E2E96">
      <w:pPr>
        <w:pStyle w:val="Point0"/>
      </w:pPr>
      <w:r>
        <w:t>25.</w:t>
      </w:r>
      <w:r>
        <w:tab/>
        <w:t>ПРИВЕТСТВА по-нататъшна работа на Комисията за развиване на общо разбиране за колективното финансиране на равнище ЕС и подготвяне на почвата за евентуални бъдещи действия, като се вземат предвид специалните характеристики на тази нова форма на финансиране и необходимостта от адекватна защита на инвеститорите. Комисията следва по-специално да направи анализ, с подкрепата на Европейския банков орган, Европейския орган за ценни книжа и пазари, държавите членки и други заинтересовани страни, на факторите, които лежат в основата на разпокъсаността на европейските пазари за колективно финансиране в момента, като по този начин се набележат съответните разлики между националните законодателства и надзорните подходи, и да прецени потенциалните ползи от евентуална бъдеща намеса чрез политиките на равнище ЕС по отношение на колективното финансиране, също и във връзка с конкурентните предимства спрямо доставчици на услуги и платформи за колективно финансиране от трети държави;</w:t>
      </w:r>
    </w:p>
    <w:p w:rsidR="003E2E96" w:rsidRPr="00705D14" w:rsidRDefault="003E2E96" w:rsidP="003E2E96">
      <w:pPr>
        <w:spacing w:after="120"/>
        <w:ind w:left="567"/>
      </w:pPr>
      <w:r>
        <w:br w:type="page"/>
      </w:r>
      <w:r>
        <w:lastRenderedPageBreak/>
        <w:t>По отношение на укрепването на дребномащабните пазари на корпоративни облигации чрез миниоблигации Съветът:</w:t>
      </w:r>
    </w:p>
    <w:p w:rsidR="003E2E96" w:rsidRPr="00705D14" w:rsidRDefault="003E2E96" w:rsidP="003E2E96">
      <w:pPr>
        <w:pStyle w:val="Point0"/>
        <w:spacing w:after="120"/>
      </w:pPr>
      <w:r>
        <w:t>26.</w:t>
      </w:r>
      <w:r>
        <w:tab/>
        <w:t>ОТЧИТА необходимостта да се проучат потенциалните възможности и рискове на миниоблигациите като средство за разширяване на финансирането за МСП извън банковите кредити и тяхната пазарна видимост, изразяваща се в кредитния им профил, за създаване на нови възможности за инвестиции за квалифицирани и професионални инвеститори;</w:t>
      </w:r>
    </w:p>
    <w:p w:rsidR="003E2E96" w:rsidRPr="00705D14" w:rsidRDefault="003E2E96" w:rsidP="003E2E96">
      <w:pPr>
        <w:pStyle w:val="Point0"/>
        <w:spacing w:after="120"/>
      </w:pPr>
      <w:r>
        <w:t>27.</w:t>
      </w:r>
      <w:r>
        <w:tab/>
        <w:t>ПРИКАНВА за допълнителен анализ от Комисията на съществуващите практики, потенциалните рискове и за оценка на евентуалните бъдещи действия в тази област.</w:t>
      </w:r>
    </w:p>
    <w:p w:rsidR="003E2E96" w:rsidRPr="00705D14" w:rsidRDefault="003E2E96" w:rsidP="003E2E96">
      <w:pPr>
        <w:spacing w:after="120"/>
      </w:pPr>
      <w:r>
        <w:t>По отношение на въпросите, свързани с разкриването и прозрачността на кредитна информация, по-специално във връзка с МСП, Съветът:</w:t>
      </w:r>
    </w:p>
    <w:p w:rsidR="003E2E96" w:rsidRPr="00705D14" w:rsidRDefault="003E2E96" w:rsidP="003E2E96">
      <w:pPr>
        <w:pStyle w:val="Point0"/>
        <w:spacing w:after="120"/>
      </w:pPr>
      <w:r>
        <w:t>28.</w:t>
      </w:r>
      <w:r>
        <w:tab/>
        <w:t>СМЯТА, че предоставянето на подходящ набор от висококачествена и съпоставима информация, която да позволява и поощрява съвестното спазване на задължението за надлежна проверка от страна на инвеститорите на финансовия пазар, като по този начин също се избягва и предоверяването на оценките на агенциите за кредитен рейтинг, е основна цел, която се отнася за различните сегменти на пазара и видове инструменти, които може да са необходими за укрепване на единния капиталов пазар. Поради това ПОДКРЕПЯ действията за стандартизиране и опростяване на наличността на търговска, финансова и кредитна информация, особено относно МСП, като отбелязва, че недостигът на подобна съпоставима информация е допълнителна пречка за трансграничното финансиране;</w:t>
      </w:r>
    </w:p>
    <w:p w:rsidR="003E2E96" w:rsidRPr="00705D14" w:rsidRDefault="003E2E96" w:rsidP="003E2E96">
      <w:pPr>
        <w:pStyle w:val="Point0"/>
        <w:spacing w:after="120"/>
      </w:pPr>
      <w:r>
        <w:t>29.</w:t>
      </w:r>
      <w:r>
        <w:tab/>
        <w:t>Като първоначална стъпка, НАСЪРЧАВА въвеждането на допълнителни мерки за осигуряване на достатъчно кредитна информация за кредиторите, също и в трансграничен контекст, и ПРИКАНВА Комисията:</w:t>
      </w:r>
    </w:p>
    <w:p w:rsidR="003E2E96" w:rsidRPr="00705D14" w:rsidRDefault="003E2E96" w:rsidP="003E2E96">
      <w:pPr>
        <w:pStyle w:val="Tiret1"/>
        <w:spacing w:after="120"/>
      </w:pPr>
      <w:r>
        <w:t>Да направи план на ситуацията по отношение на кредитната оценка в държавите членки и да набележи ключов набор от променливи, които са необходими за оценяване на кредитоспособността на дадено МСП, на първо място. Това очертаване на план следва да се основава на частна и обществена информация, събрана от различни източници, като например кредитни регистри (често в националните централни банки), кредитни агенции, и да се позовава на опита на ЕЦБ в тази област;</w:t>
      </w:r>
    </w:p>
    <w:p w:rsidR="003E2E96" w:rsidRPr="00705D14" w:rsidRDefault="003E2E96" w:rsidP="003E2E96">
      <w:pPr>
        <w:pStyle w:val="Tiret1"/>
        <w:spacing w:after="120"/>
      </w:pPr>
      <w:r>
        <w:t>Да проучи, в сътрудничество с Комитета по финансови услуги, ЕЦБ, Европейските надзорни органи, националните централни банки и регулатори, както и други заинтересовани страни, кои са най-добрите варианти за политиките, за да се улесни наличието и да се позволи достъпът до кредитни данни за всички кредитори, което да улесни трансграничното кредитиране и инвестиране;</w:t>
      </w:r>
    </w:p>
    <w:p w:rsidR="003E2E96" w:rsidRPr="00705D14" w:rsidRDefault="003E2E96" w:rsidP="003E2E96">
      <w:pPr>
        <w:pStyle w:val="Tiret1"/>
        <w:spacing w:after="120"/>
      </w:pPr>
      <w:r>
        <w:t>Да продължава да работи, включително като взема предвид съществуващите счетоводни стандарти за МСП, при условие че е направена оценка на баланса, който да се търси между засилването на прозрачността за инвеститорите и ограничаването на административната тежест за събиращите данни и за предприятията;</w:t>
      </w:r>
    </w:p>
    <w:p w:rsidR="003E2E96" w:rsidRPr="00705D14" w:rsidRDefault="003E2E96" w:rsidP="003E2E96">
      <w:bookmarkStart w:id="27" w:name="ControlPages"/>
      <w:bookmarkEnd w:id="27"/>
      <w:r>
        <w:br w:type="page"/>
      </w:r>
      <w:r>
        <w:lastRenderedPageBreak/>
        <w:t>По отношение на рамковото законодателство, което е свързано с правилното функциониране на дружественото право и правото в областта на несъстоятелността, Съветът:</w:t>
      </w:r>
    </w:p>
    <w:p w:rsidR="003E2E96" w:rsidRPr="00705D14" w:rsidRDefault="003E2E96" w:rsidP="003E2E96">
      <w:pPr>
        <w:pStyle w:val="Point0"/>
      </w:pPr>
      <w:r>
        <w:t>30.</w:t>
      </w:r>
      <w:r>
        <w:tab/>
        <w:t>ОТБЕЛЯЗВА, че трябва да се предприеме допълнителен анализ на въздействието, което различните правила в отделните национални юрисдикции оказват на трансграничните инвестиции и интегрирането на капиталовите пазари;</w:t>
      </w:r>
    </w:p>
    <w:p w:rsidR="003E2E96" w:rsidRPr="00705D14" w:rsidRDefault="003E2E96" w:rsidP="003E2E96">
      <w:pPr>
        <w:pStyle w:val="Point0"/>
      </w:pPr>
      <w:r>
        <w:t>31.</w:t>
      </w:r>
      <w:r>
        <w:tab/>
        <w:t>ПРИЕМА, че за да може единният капиталов пазар да функционира правилно и в пълна степен да осъществява ползите си в дългосрочен план, следва да се разгледат области като дружественото право и правото в областта на несъстоятелността, като същевременно се взема предвид съответното данъчно третиране на капитала и дълговото финансиране;</w:t>
      </w:r>
    </w:p>
    <w:p w:rsidR="003E2E96" w:rsidRPr="00705D14" w:rsidRDefault="003E2E96" w:rsidP="003E2E96">
      <w:pPr>
        <w:pStyle w:val="Point0"/>
      </w:pPr>
      <w:r>
        <w:t>32.</w:t>
      </w:r>
      <w:r>
        <w:tab/>
        <w:t>ИЗТЪКВА значението на националните компетенции в тези области, като се взема предвид принципът на субсидиарност;</w:t>
      </w:r>
    </w:p>
    <w:p w:rsidR="003E2E96" w:rsidRPr="00705D14" w:rsidRDefault="003E2E96" w:rsidP="003E2E96">
      <w:pPr>
        <w:rPr>
          <w:bCs/>
        </w:rPr>
      </w:pPr>
      <w:r>
        <w:t>По отношение на следващите стъпки Съветът:</w:t>
      </w:r>
    </w:p>
    <w:p w:rsidR="003E2E96" w:rsidRPr="00705D14" w:rsidRDefault="003E2E96" w:rsidP="003E2E96">
      <w:pPr>
        <w:pStyle w:val="Point0"/>
      </w:pPr>
      <w:r>
        <w:t>33.</w:t>
      </w:r>
      <w:r>
        <w:tab/>
        <w:t>ОТБЕЛЯЗВА намерението на Комисията да проведе консултации с оглед изготвянето на план за действие за съюз на капиталовите пазари до лятото на 2015 г.;</w:t>
      </w:r>
    </w:p>
    <w:p w:rsidR="003E2E96" w:rsidRPr="00705D14" w:rsidRDefault="003E2E96" w:rsidP="003E2E96">
      <w:pPr>
        <w:pStyle w:val="Point0"/>
      </w:pPr>
      <w:r>
        <w:t>34.</w:t>
      </w:r>
      <w:r>
        <w:tab/>
        <w:t>ПРИКАНВА Комисията активно да ангажира държавите членки и заинтересованите страни в консултациите, така че те да изложат специфичния си опит, да допринесат с най-добри практики, да изтъкнат съществуващите пречки за финансиране от капиталовите пазари и да направят предложения с оглед изграждането на напълно интегриран съюз на капиталовите пазари;</w:t>
      </w:r>
    </w:p>
    <w:p w:rsidR="003E2E96" w:rsidRPr="00705D14" w:rsidRDefault="003E2E96" w:rsidP="003E2E96">
      <w:pPr>
        <w:pStyle w:val="Point0"/>
      </w:pPr>
      <w:r>
        <w:t>35.</w:t>
      </w:r>
      <w:r>
        <w:tab/>
        <w:t>СЧИТА, че за определяне на посоката на политиката, която трябва да се следва, значително ще допринесе едно плодотворно сътрудничество между държавите членки, Комисията, Европейските надзорни органи, ЕЦБ и другите имащи отношение институционални участници, като в пълна степен се спазват техните прерогативи; и</w:t>
      </w:r>
    </w:p>
    <w:p w:rsidR="003E2E96" w:rsidRPr="00705D14" w:rsidRDefault="003E2E96" w:rsidP="003E2E96">
      <w:pPr>
        <w:pStyle w:val="Point0"/>
      </w:pPr>
      <w:r>
        <w:t>36.</w:t>
      </w:r>
      <w:r>
        <w:tab/>
        <w:t>ПРИКАНВА Комитета по финансови услуги и Икономическия и финансов комитет да продължат да работят, за да могат през идните месеци по целесъобразност да предоставят на Комисията допълнителен принос.“</w:t>
      </w:r>
    </w:p>
    <w:p w:rsidR="003E2E96" w:rsidRPr="00705D14" w:rsidRDefault="003E2E96" w:rsidP="003E2E96">
      <w:pPr>
        <w:pStyle w:val="ItemApproved"/>
        <w:spacing w:after="120"/>
      </w:pPr>
      <w:r>
        <w:br w:type="page"/>
      </w:r>
      <w:r>
        <w:lastRenderedPageBreak/>
        <w:t>ВЪТРЕШЕН ПАЗАР</w:t>
      </w:r>
    </w:p>
    <w:p w:rsidR="003E2E96" w:rsidRPr="00705D14" w:rsidRDefault="003E2E96" w:rsidP="003E2E96">
      <w:pPr>
        <w:pStyle w:val="Sub-itemApproved"/>
        <w:spacing w:after="120"/>
      </w:pPr>
      <w:bookmarkStart w:id="28" w:name="_Toc410898071"/>
      <w:r>
        <w:t>Водомери — средства за измерване</w:t>
      </w:r>
      <w:bookmarkEnd w:id="28"/>
    </w:p>
    <w:p w:rsidR="003E2E96" w:rsidRPr="00705D14" w:rsidRDefault="003E2E96" w:rsidP="003E2E96">
      <w:pPr>
        <w:spacing w:after="120"/>
      </w:pPr>
      <w:r>
        <w:t xml:space="preserve">Съветът реши да не се противопоставя на влизането в сила на директивата на Комисията за изменение на Директива 2014/32/ЕС по отношение на обхвата на разхода на водомерите </w:t>
      </w:r>
      <w:r>
        <w:rPr>
          <w:i/>
        </w:rPr>
        <w:t>(</w:t>
      </w:r>
      <w:hyperlink r:id="rId50" w:tooltip="http://register.consilium.europa.eu/pdf/bg/14/st15/st15041.bg14.pdf">
        <w:r w:rsidRPr="00DE65CF">
          <w:rPr>
            <w:rStyle w:val="Hyperlink"/>
            <w:i/>
          </w:rPr>
          <w:t>15041/14</w:t>
        </w:r>
      </w:hyperlink>
      <w:r>
        <w:rPr>
          <w:i/>
        </w:rPr>
        <w:t>)</w:t>
      </w:r>
      <w:r>
        <w:t>.</w:t>
      </w:r>
    </w:p>
    <w:p w:rsidR="003E2E96" w:rsidRPr="00705D14" w:rsidRDefault="003E2E96" w:rsidP="003E2E96">
      <w:pPr>
        <w:spacing w:after="120"/>
      </w:pPr>
      <w:r>
        <w:t>Директива 2014/32/ЕС определя изискванията, на които средствата за измерване трябва да отговарят, за да бъдат пуснати на вътрешния пазар.</w:t>
      </w:r>
    </w:p>
    <w:p w:rsidR="003E2E96" w:rsidRPr="00705D14" w:rsidRDefault="003E2E96" w:rsidP="003E2E96">
      <w:pPr>
        <w:spacing w:after="120"/>
      </w:pPr>
      <w:r>
        <w:t>Директивата на Комисията представлява делегиран акт, който вече може да влезе в сила, при условие че Европейският парламент не представи възражения.</w:t>
      </w:r>
    </w:p>
    <w:p w:rsidR="003E2E96" w:rsidRPr="00705D14" w:rsidRDefault="003E2E96" w:rsidP="003E2E96">
      <w:pPr>
        <w:pStyle w:val="ItemApproved"/>
        <w:spacing w:after="120"/>
      </w:pPr>
      <w:r>
        <w:t>СЕЛСКО СТОПАНСТВО</w:t>
      </w:r>
    </w:p>
    <w:p w:rsidR="003E2E96" w:rsidRPr="00705D14" w:rsidRDefault="003E2E96" w:rsidP="003E2E96">
      <w:pPr>
        <w:pStyle w:val="Sub-itemApproved"/>
        <w:spacing w:after="120"/>
      </w:pPr>
      <w:bookmarkStart w:id="29" w:name="_Toc410898073"/>
      <w:r>
        <w:t>Максимално допустимите граници на остатъчни вещества от пестициди — млечна киселина</w:t>
      </w:r>
      <w:bookmarkEnd w:id="29"/>
    </w:p>
    <w:p w:rsidR="003E2E96" w:rsidRPr="00705D14" w:rsidRDefault="003E2E96" w:rsidP="003E2E96">
      <w:pPr>
        <w:spacing w:after="120"/>
      </w:pPr>
      <w:r>
        <w:t>Съветът реши да не се противопоставя на приемането от Комисията на регламент за изменение на приложение IV към Регламент (ЕО) № 396/2005</w:t>
      </w:r>
      <w:r>
        <w:rPr>
          <w:rStyle w:val="FootnoteReference"/>
        </w:rPr>
        <w:footnoteReference w:id="8"/>
      </w:r>
      <w:r>
        <w:t xml:space="preserve"> по отношение на максимално допустимите граници на остатъчни вещества (МДГОВ) от млечна киселина, </w:t>
      </w:r>
      <w:r>
        <w:rPr>
          <w:i/>
        </w:rPr>
        <w:t>Lecanicillium muscarium</w:t>
      </w:r>
      <w:r>
        <w:t xml:space="preserve"> щам </w:t>
      </w:r>
      <w:r>
        <w:rPr>
          <w:i/>
        </w:rPr>
        <w:t>Ve6</w:t>
      </w:r>
      <w:r>
        <w:t xml:space="preserve">, хитозанхидрохлорид и </w:t>
      </w:r>
      <w:r>
        <w:rPr>
          <w:i/>
        </w:rPr>
        <w:t>Equisetum arvense L.</w:t>
      </w:r>
      <w:r>
        <w:t xml:space="preserve"> в определени продукти или върху тях (</w:t>
      </w:r>
      <w:hyperlink r:id="rId51" w:tooltip="http://register.consilium.europa.eu/pdf/bg/14/st15/st15077.bg14.pdf">
        <w:r w:rsidRPr="00DE65CF">
          <w:rPr>
            <w:rStyle w:val="Hyperlink"/>
            <w:i/>
          </w:rPr>
          <w:t>15077/14</w:t>
        </w:r>
      </w:hyperlink>
      <w:r>
        <w:t>).</w:t>
      </w:r>
    </w:p>
    <w:p w:rsidR="003E2E96" w:rsidRPr="00705D14" w:rsidRDefault="003E2E96" w:rsidP="003E2E96">
      <w:pPr>
        <w:spacing w:after="120"/>
      </w:pPr>
      <w:r>
        <w:t>За тези вещества няма конкретно установени МДГОВ, поради което се прилага стойността по подразбиране 0.01 mg/kg.</w:t>
      </w:r>
    </w:p>
    <w:p w:rsidR="003E2E96" w:rsidRPr="00705D14" w:rsidRDefault="003E2E96" w:rsidP="003E2E96">
      <w:pPr>
        <w:spacing w:after="120"/>
      </w:pPr>
      <w:r>
        <w:t>В Регламент (ЕО) № 396/2005 се установяват максимално допустимите количества на остатъчни вещества от пестициди в продуктите от животински или растителен произход, предназначени за консумация от човека или животните. Тези МДГОВ включват от една страна МДГОВ, които са специфични за конкретни хранителни продукти, предназначени за консумация от човека или животните, и общо ограничение, което се прилага в случаите, когато не са определени специфични МДГОВ, от друга страна.</w:t>
      </w:r>
    </w:p>
    <w:p w:rsidR="003E2E96" w:rsidRPr="00705D14" w:rsidRDefault="003E2E96" w:rsidP="003E2E96">
      <w:pPr>
        <w:spacing w:after="120"/>
      </w:pPr>
      <w:r>
        <w:t>Заявленията за МДГОВ се съобщават на Европейския орган за безопасност на храните (ЕОБХ), който публикува научно становище относно всяка планирана нова МДГОВ. Въз основа на становището на ЕОБХ Комисията предлага регламент като посочените по-горе за установяване на нова МДГОВ или за изменение или премахване на съществуваща МДГОВ и за съответно изменение на приложенията към Регламент (ЕО) № 396/2005.</w:t>
      </w:r>
    </w:p>
    <w:p w:rsidR="003E2E96" w:rsidRPr="00705D14" w:rsidRDefault="003E2E96" w:rsidP="003E2E96">
      <w:pPr>
        <w:spacing w:after="120"/>
      </w:pPr>
      <w:r>
        <w:t>Регламентите подлежат на процедурата по регулиране с контрол. Сега след като Съветът е дал одобрението си, Комисията може да приеме регламента, освен ако Европейският парламент представи възражения.</w:t>
      </w:r>
    </w:p>
    <w:p w:rsidR="003E2E96" w:rsidRPr="00A01E31" w:rsidRDefault="003E2E96" w:rsidP="003E2E96">
      <w:pPr>
        <w:pStyle w:val="FinalLine"/>
      </w:pPr>
    </w:p>
    <w:sectPr w:rsidR="003E2E96" w:rsidRPr="00A01E31" w:rsidSect="00A01E31">
      <w:headerReference w:type="even" r:id="rId52"/>
      <w:footerReference w:type="even" r:id="rId53"/>
      <w:headerReference w:type="first" r:id="rId54"/>
      <w:footerReference w:type="first" r:id="rId55"/>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27" w:rsidRDefault="005A6527">
      <w:pPr>
        <w:spacing w:before="0" w:after="0"/>
      </w:pPr>
      <w:r>
        <w:separator/>
      </w:r>
    </w:p>
  </w:endnote>
  <w:endnote w:type="continuationSeparator" w:id="0">
    <w:p w:rsidR="005A6527" w:rsidRDefault="005A65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31" w:rsidRPr="00A01E31" w:rsidRDefault="00A01E31" w:rsidP="00A01E3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01E31" w:rsidRPr="007410E8" w:rsidTr="00A01E31">
      <w:trPr>
        <w:jc w:val="center"/>
      </w:trPr>
      <w:tc>
        <w:tcPr>
          <w:tcW w:w="2604" w:type="pct"/>
          <w:shd w:val="clear" w:color="auto" w:fill="auto"/>
        </w:tcPr>
        <w:p w:rsidR="00A01E31" w:rsidRPr="007410E8" w:rsidRDefault="00A01E31" w:rsidP="0035025C">
          <w:pPr>
            <w:pStyle w:val="FooterText"/>
            <w:rPr>
              <w:sz w:val="16"/>
              <w:szCs w:val="16"/>
            </w:rPr>
          </w:pPr>
          <w:bookmarkStart w:id="2" w:name="FOOTER_PR_STANDARD"/>
        </w:p>
      </w:tc>
      <w:tc>
        <w:tcPr>
          <w:tcW w:w="1319" w:type="pct"/>
          <w:shd w:val="clear" w:color="auto" w:fill="auto"/>
        </w:tcPr>
        <w:p w:rsidR="00A01E31" w:rsidRPr="007410E8" w:rsidRDefault="00A01E31" w:rsidP="0035025C">
          <w:pPr>
            <w:pStyle w:val="FooterText"/>
            <w:rPr>
              <w:sz w:val="16"/>
              <w:szCs w:val="16"/>
            </w:rPr>
          </w:pPr>
        </w:p>
      </w:tc>
      <w:tc>
        <w:tcPr>
          <w:tcW w:w="1077" w:type="pct"/>
          <w:shd w:val="clear" w:color="auto" w:fill="auto"/>
        </w:tcPr>
        <w:p w:rsidR="00A01E31" w:rsidRPr="007410E8" w:rsidRDefault="00A01E31" w:rsidP="0035025C">
          <w:pPr>
            <w:pStyle w:val="FooterText"/>
            <w:jc w:val="right"/>
            <w:rPr>
              <w:sz w:val="16"/>
              <w:szCs w:val="16"/>
            </w:rPr>
          </w:pPr>
        </w:p>
      </w:tc>
    </w:tr>
    <w:tr w:rsidR="00A01E31" w:rsidRPr="007410E8" w:rsidTr="00A01E31">
      <w:trPr>
        <w:jc w:val="center"/>
      </w:trPr>
      <w:tc>
        <w:tcPr>
          <w:tcW w:w="2604" w:type="pct"/>
          <w:shd w:val="clear" w:color="auto" w:fill="auto"/>
        </w:tcPr>
        <w:p w:rsidR="00A01E31" w:rsidRPr="007410E8" w:rsidRDefault="00A01E31" w:rsidP="0035025C">
          <w:pPr>
            <w:pStyle w:val="FooterText"/>
            <w:rPr>
              <w:sz w:val="16"/>
            </w:rPr>
          </w:pPr>
          <w:r>
            <w:t>16603/14</w:t>
          </w:r>
          <w:r w:rsidRPr="002511D8">
            <w:t xml:space="preserve"> </w:t>
          </w:r>
        </w:p>
      </w:tc>
      <w:tc>
        <w:tcPr>
          <w:tcW w:w="1319" w:type="pct"/>
          <w:shd w:val="clear" w:color="auto" w:fill="auto"/>
        </w:tcPr>
        <w:p w:rsidR="00A01E31" w:rsidRPr="007410E8" w:rsidRDefault="00A01E31" w:rsidP="0035025C">
          <w:pPr>
            <w:pStyle w:val="FooterText"/>
            <w:rPr>
              <w:sz w:val="16"/>
            </w:rPr>
          </w:pPr>
        </w:p>
      </w:tc>
      <w:tc>
        <w:tcPr>
          <w:tcW w:w="1077" w:type="pct"/>
          <w:shd w:val="clear" w:color="auto" w:fill="auto"/>
        </w:tcPr>
        <w:p w:rsidR="00A01E31" w:rsidRPr="007410E8" w:rsidRDefault="00A01E31" w:rsidP="0035025C">
          <w:pPr>
            <w:pStyle w:val="FooterText"/>
            <w:jc w:val="right"/>
            <w:rPr>
              <w:sz w:val="16"/>
            </w:rPr>
          </w:pPr>
          <w:r>
            <w:fldChar w:fldCharType="begin"/>
          </w:r>
          <w:r>
            <w:instrText xml:space="preserve"> PAGE  \* MERGEFORMAT </w:instrText>
          </w:r>
          <w:r>
            <w:fldChar w:fldCharType="separate"/>
          </w:r>
          <w:r w:rsidR="003178D4">
            <w:rPr>
              <w:noProof/>
            </w:rPr>
            <w:t>14</w:t>
          </w:r>
          <w:r>
            <w:fldChar w:fldCharType="end"/>
          </w:r>
        </w:p>
      </w:tc>
    </w:tr>
    <w:tr w:rsidR="00A01E31" w:rsidRPr="007410E8" w:rsidTr="00A01E31">
      <w:trPr>
        <w:jc w:val="center"/>
      </w:trPr>
      <w:tc>
        <w:tcPr>
          <w:tcW w:w="2604" w:type="pct"/>
          <w:shd w:val="clear" w:color="auto" w:fill="auto"/>
        </w:tcPr>
        <w:p w:rsidR="00A01E31" w:rsidRPr="007410E8" w:rsidRDefault="00A01E31" w:rsidP="0035025C">
          <w:pPr>
            <w:pStyle w:val="FooterText"/>
            <w:rPr>
              <w:sz w:val="16"/>
            </w:rPr>
          </w:pPr>
        </w:p>
      </w:tc>
      <w:tc>
        <w:tcPr>
          <w:tcW w:w="1319" w:type="pct"/>
          <w:shd w:val="clear" w:color="auto" w:fill="auto"/>
        </w:tcPr>
        <w:p w:rsidR="00A01E31" w:rsidRPr="007410E8" w:rsidRDefault="00A01E31" w:rsidP="0035025C">
          <w:pPr>
            <w:pStyle w:val="FooterText"/>
            <w:rPr>
              <w:sz w:val="16"/>
            </w:rPr>
          </w:pPr>
        </w:p>
      </w:tc>
      <w:tc>
        <w:tcPr>
          <w:tcW w:w="1077" w:type="pct"/>
          <w:shd w:val="clear" w:color="auto" w:fill="auto"/>
        </w:tcPr>
        <w:p w:rsidR="00A01E31" w:rsidRPr="007410E8" w:rsidRDefault="00A01E31" w:rsidP="0035025C">
          <w:pPr>
            <w:pStyle w:val="FooterText"/>
            <w:jc w:val="right"/>
            <w:rPr>
              <w:sz w:val="16"/>
            </w:rPr>
          </w:pPr>
          <w:r>
            <w:rPr>
              <w:b/>
              <w:position w:val="-4"/>
              <w:sz w:val="36"/>
            </w:rPr>
            <w:t>BG</w:t>
          </w:r>
        </w:p>
      </w:tc>
    </w:tr>
    <w:bookmarkEnd w:id="2"/>
  </w:tbl>
  <w:p w:rsidR="005A6527" w:rsidRPr="00A01E31" w:rsidRDefault="005A6527" w:rsidP="00A01E3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01E31" w:rsidRPr="009C2FB3" w:rsidTr="00A01E31">
      <w:trPr>
        <w:jc w:val="center"/>
      </w:trPr>
      <w:tc>
        <w:tcPr>
          <w:tcW w:w="569" w:type="pct"/>
          <w:shd w:val="clear" w:color="auto" w:fill="auto"/>
        </w:tcPr>
        <w:p w:rsidR="00A01E31" w:rsidRPr="009C2FB3" w:rsidRDefault="00A01E31" w:rsidP="0035025C">
          <w:pPr>
            <w:pStyle w:val="FooterText"/>
          </w:pPr>
          <w:bookmarkStart w:id="3" w:name="FOOTER_PR_COVERPAGE"/>
        </w:p>
      </w:tc>
      <w:tc>
        <w:tcPr>
          <w:tcW w:w="3760" w:type="pct"/>
          <w:gridSpan w:val="3"/>
          <w:shd w:val="clear" w:color="auto" w:fill="auto"/>
          <w:noWrap/>
        </w:tcPr>
        <w:p w:rsidR="00A01E31" w:rsidRPr="00F37CD6" w:rsidRDefault="00A01E31" w:rsidP="00CA18CB">
          <w:pPr>
            <w:pStyle w:val="FooterText"/>
            <w:pBdr>
              <w:bottom w:val="single" w:sz="24" w:space="1" w:color="2C4491"/>
            </w:pBdr>
            <w:spacing w:line="276" w:lineRule="auto"/>
            <w:jc w:val="center"/>
            <w:rPr>
              <w:b/>
              <w:color w:val="2C4491"/>
              <w:spacing w:val="200"/>
              <w:sz w:val="56"/>
            </w:rPr>
          </w:pPr>
          <w:r>
            <w:rPr>
              <w:b/>
              <w:color w:val="2C4491"/>
              <w:spacing w:val="200"/>
              <w:sz w:val="56"/>
            </w:rPr>
            <w:t>ЗА ПЕЧАТА</w:t>
          </w:r>
        </w:p>
      </w:tc>
      <w:tc>
        <w:tcPr>
          <w:tcW w:w="670" w:type="pct"/>
          <w:shd w:val="clear" w:color="auto" w:fill="auto"/>
        </w:tcPr>
        <w:p w:rsidR="00A01E31" w:rsidRPr="009C2FB3" w:rsidRDefault="00A01E31" w:rsidP="0035025C">
          <w:pPr>
            <w:pStyle w:val="FooterText"/>
          </w:pPr>
        </w:p>
      </w:tc>
    </w:tr>
    <w:tr w:rsidR="00A01E31" w:rsidRPr="007410E8" w:rsidTr="00A01E31">
      <w:trPr>
        <w:jc w:val="center"/>
      </w:trPr>
      <w:tc>
        <w:tcPr>
          <w:tcW w:w="5000" w:type="pct"/>
          <w:gridSpan w:val="5"/>
          <w:shd w:val="clear" w:color="auto" w:fill="auto"/>
        </w:tcPr>
        <w:p w:rsidR="00A01E31" w:rsidRPr="00827A78" w:rsidRDefault="00A01E31" w:rsidP="0035025C">
          <w:pPr>
            <w:pStyle w:val="FooterAddressText"/>
          </w:pPr>
        </w:p>
        <w:p w:rsidR="00A01E31" w:rsidRPr="007410E8" w:rsidRDefault="00A01E31" w:rsidP="0035025C">
          <w:pPr>
            <w:pStyle w:val="FooterAddressText"/>
          </w:pPr>
          <w:r>
            <w:t>Rue de la Loi, 175  B – 1048 BRUXELLES Тел.: +32 (0)2 281 6083 / 6319  Факс: +32 (0)2 281 8026</w:t>
          </w:r>
        </w:p>
      </w:tc>
    </w:tr>
    <w:tr w:rsidR="00A01E31" w:rsidRPr="007410E8" w:rsidTr="00A01E31">
      <w:trPr>
        <w:jc w:val="center"/>
      </w:trPr>
      <w:tc>
        <w:tcPr>
          <w:tcW w:w="5000" w:type="pct"/>
          <w:gridSpan w:val="5"/>
          <w:shd w:val="clear" w:color="auto" w:fill="auto"/>
        </w:tcPr>
        <w:p w:rsidR="00A01E31" w:rsidRPr="007410E8" w:rsidRDefault="00A01E31" w:rsidP="0035025C">
          <w:pPr>
            <w:pStyle w:val="FooterText"/>
            <w:jc w:val="center"/>
            <w:rPr>
              <w:sz w:val="20"/>
              <w:szCs w:val="20"/>
            </w:rPr>
          </w:pPr>
          <w:hyperlink r:id="rId1" w:history="1">
            <w:r w:rsidRPr="00A01E31">
              <w:rPr>
                <w:rStyle w:val="Hyperlink"/>
                <w:sz w:val="20"/>
              </w:rPr>
              <w:t>press.office@consilium.europa.eu</w:t>
            </w:r>
          </w:hyperlink>
          <w:r w:rsidRPr="007410E8">
            <w:rPr>
              <w:sz w:val="20"/>
              <w:szCs w:val="20"/>
            </w:rPr>
            <w:t xml:space="preserve">  </w:t>
          </w:r>
          <w:hyperlink r:id="rId2" w:history="1">
            <w:r w:rsidRPr="00A01E31">
              <w:rPr>
                <w:rStyle w:val="Hyperlink"/>
                <w:sz w:val="20"/>
              </w:rPr>
              <w:t>http://www.consilium.europa.eu/press</w:t>
            </w:r>
          </w:hyperlink>
        </w:p>
      </w:tc>
    </w:tr>
    <w:tr w:rsidR="00A01E31" w:rsidRPr="007410E8" w:rsidTr="00A01E31">
      <w:trPr>
        <w:jc w:val="center"/>
      </w:trPr>
      <w:tc>
        <w:tcPr>
          <w:tcW w:w="2604" w:type="pct"/>
          <w:gridSpan w:val="2"/>
          <w:shd w:val="clear" w:color="auto" w:fill="auto"/>
        </w:tcPr>
        <w:p w:rsidR="00A01E31" w:rsidRPr="007410E8" w:rsidRDefault="00A01E31" w:rsidP="0035025C">
          <w:pPr>
            <w:pStyle w:val="FooterText"/>
            <w:spacing w:before="60"/>
            <w:rPr>
              <w:sz w:val="16"/>
            </w:rPr>
          </w:pPr>
          <w:r>
            <w:t>16603/14</w:t>
          </w:r>
          <w:r w:rsidRPr="002511D8">
            <w:t xml:space="preserve"> </w:t>
          </w:r>
        </w:p>
      </w:tc>
      <w:tc>
        <w:tcPr>
          <w:tcW w:w="1319" w:type="pct"/>
          <w:shd w:val="clear" w:color="auto" w:fill="auto"/>
        </w:tcPr>
        <w:p w:rsidR="00A01E31" w:rsidRPr="007410E8" w:rsidRDefault="00A01E31" w:rsidP="0035025C">
          <w:pPr>
            <w:pStyle w:val="FooterText"/>
            <w:spacing w:before="120"/>
            <w:rPr>
              <w:sz w:val="16"/>
            </w:rPr>
          </w:pPr>
        </w:p>
      </w:tc>
      <w:tc>
        <w:tcPr>
          <w:tcW w:w="1077" w:type="pct"/>
          <w:gridSpan w:val="2"/>
          <w:shd w:val="clear" w:color="auto" w:fill="auto"/>
        </w:tcPr>
        <w:p w:rsidR="00A01E31" w:rsidRPr="007410E8" w:rsidRDefault="00A01E31" w:rsidP="0035025C">
          <w:pPr>
            <w:pStyle w:val="FooterText"/>
            <w:spacing w:before="60"/>
            <w:jc w:val="right"/>
            <w:rPr>
              <w:sz w:val="16"/>
            </w:rPr>
          </w:pPr>
          <w:r>
            <w:fldChar w:fldCharType="begin"/>
          </w:r>
          <w:r>
            <w:instrText xml:space="preserve"> PAGE  \* MERGEFORMAT </w:instrText>
          </w:r>
          <w:r>
            <w:fldChar w:fldCharType="separate"/>
          </w:r>
          <w:r w:rsidR="003178D4">
            <w:rPr>
              <w:noProof/>
            </w:rPr>
            <w:t>1</w:t>
          </w:r>
          <w:r>
            <w:fldChar w:fldCharType="end"/>
          </w:r>
        </w:p>
      </w:tc>
    </w:tr>
    <w:tr w:rsidR="00A01E31" w:rsidRPr="007410E8" w:rsidTr="00A01E31">
      <w:trPr>
        <w:jc w:val="center"/>
      </w:trPr>
      <w:tc>
        <w:tcPr>
          <w:tcW w:w="2604" w:type="pct"/>
          <w:gridSpan w:val="2"/>
          <w:shd w:val="clear" w:color="auto" w:fill="auto"/>
        </w:tcPr>
        <w:p w:rsidR="00A01E31" w:rsidRPr="007410E8" w:rsidRDefault="00A01E31" w:rsidP="0035025C">
          <w:pPr>
            <w:pStyle w:val="FooterText"/>
            <w:rPr>
              <w:sz w:val="16"/>
            </w:rPr>
          </w:pPr>
        </w:p>
      </w:tc>
      <w:tc>
        <w:tcPr>
          <w:tcW w:w="1319" w:type="pct"/>
          <w:shd w:val="clear" w:color="auto" w:fill="auto"/>
        </w:tcPr>
        <w:p w:rsidR="00A01E31" w:rsidRPr="007410E8" w:rsidRDefault="00A01E31" w:rsidP="0035025C">
          <w:pPr>
            <w:pStyle w:val="FooterText"/>
            <w:rPr>
              <w:sz w:val="16"/>
            </w:rPr>
          </w:pPr>
        </w:p>
      </w:tc>
      <w:tc>
        <w:tcPr>
          <w:tcW w:w="1077" w:type="pct"/>
          <w:gridSpan w:val="2"/>
          <w:shd w:val="clear" w:color="auto" w:fill="auto"/>
        </w:tcPr>
        <w:p w:rsidR="00A01E31" w:rsidRPr="007410E8" w:rsidRDefault="00A01E31" w:rsidP="0035025C">
          <w:pPr>
            <w:pStyle w:val="FooterText"/>
            <w:jc w:val="right"/>
            <w:rPr>
              <w:sz w:val="16"/>
            </w:rPr>
          </w:pPr>
          <w:r>
            <w:rPr>
              <w:b/>
              <w:position w:val="-4"/>
              <w:sz w:val="36"/>
            </w:rPr>
            <w:t>BG</w:t>
          </w:r>
        </w:p>
      </w:tc>
    </w:tr>
    <w:bookmarkEnd w:id="3"/>
  </w:tbl>
  <w:p w:rsidR="005A6527" w:rsidRPr="00A01E31" w:rsidRDefault="005A6527" w:rsidP="00A01E3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01E31" w:rsidRPr="007410E8" w:rsidTr="00A01E31">
      <w:trPr>
        <w:jc w:val="center"/>
      </w:trPr>
      <w:tc>
        <w:tcPr>
          <w:tcW w:w="5000" w:type="pct"/>
          <w:gridSpan w:val="3"/>
          <w:shd w:val="clear" w:color="auto" w:fill="auto"/>
        </w:tcPr>
        <w:p w:rsidR="00A01E31" w:rsidRPr="007410E8" w:rsidRDefault="00A01E31"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В случаите, когато Съветът официално е приел декларации, заключения или резолюции, това се отбелязва в заглавието на съответната точка и текстът се поставя в кавички.</w:t>
          </w:r>
        </w:p>
        <w:p w:rsidR="00A01E31" w:rsidRPr="007410E8" w:rsidRDefault="00A01E3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Документите, които се посочват в текста, се намират на уебсайта на Съвета (http://www.consilium.europa.eu).</w:t>
          </w:r>
        </w:p>
        <w:p w:rsidR="00A01E31" w:rsidRPr="007410E8" w:rsidRDefault="00A01E3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Актовете, съдържащи изявления за протоколите от заседанията на Съвета, до които може да се предостави публичен достъп, са обозначени със звездичка. Тези изявления се намират на посочения по-горе уебсайт на Съвета или могат да бъдат получени от службата по печата.</w:t>
          </w:r>
        </w:p>
        <w:p w:rsidR="00A01E31" w:rsidRPr="007410E8" w:rsidRDefault="00A01E31" w:rsidP="0035025C">
          <w:pPr>
            <w:pStyle w:val="FooterText"/>
            <w:tabs>
              <w:tab w:val="left" w:pos="285"/>
              <w:tab w:val="left" w:pos="585"/>
            </w:tabs>
            <w:rPr>
              <w:sz w:val="21"/>
              <w:szCs w:val="21"/>
            </w:rPr>
          </w:pPr>
        </w:p>
      </w:tc>
    </w:tr>
    <w:tr w:rsidR="00A01E31" w:rsidRPr="007410E8" w:rsidTr="00A01E31">
      <w:trPr>
        <w:jc w:val="center"/>
      </w:trPr>
      <w:tc>
        <w:tcPr>
          <w:tcW w:w="2604" w:type="pct"/>
          <w:shd w:val="clear" w:color="auto" w:fill="auto"/>
        </w:tcPr>
        <w:p w:rsidR="00A01E31" w:rsidRPr="007410E8" w:rsidRDefault="00A01E31" w:rsidP="0035025C">
          <w:pPr>
            <w:pStyle w:val="FooterText"/>
            <w:rPr>
              <w:sz w:val="16"/>
            </w:rPr>
          </w:pPr>
          <w:r>
            <w:t>16603/14</w:t>
          </w:r>
          <w:r w:rsidRPr="002511D8">
            <w:t xml:space="preserve"> </w:t>
          </w:r>
        </w:p>
      </w:tc>
      <w:tc>
        <w:tcPr>
          <w:tcW w:w="1319" w:type="pct"/>
          <w:shd w:val="clear" w:color="auto" w:fill="auto"/>
        </w:tcPr>
        <w:p w:rsidR="00A01E31" w:rsidRPr="007410E8" w:rsidRDefault="00A01E31" w:rsidP="0035025C">
          <w:pPr>
            <w:pStyle w:val="FooterText"/>
            <w:rPr>
              <w:sz w:val="16"/>
            </w:rPr>
          </w:pPr>
        </w:p>
      </w:tc>
      <w:tc>
        <w:tcPr>
          <w:tcW w:w="1077" w:type="pct"/>
          <w:shd w:val="clear" w:color="auto" w:fill="auto"/>
        </w:tcPr>
        <w:p w:rsidR="00A01E31" w:rsidRPr="007410E8" w:rsidRDefault="00A01E31" w:rsidP="0035025C">
          <w:pPr>
            <w:pStyle w:val="FooterText"/>
            <w:jc w:val="right"/>
            <w:rPr>
              <w:sz w:val="16"/>
            </w:rPr>
          </w:pPr>
          <w:r>
            <w:fldChar w:fldCharType="begin"/>
          </w:r>
          <w:r>
            <w:instrText xml:space="preserve"> PAGE  \* MERGEFORMAT </w:instrText>
          </w:r>
          <w:r>
            <w:fldChar w:fldCharType="separate"/>
          </w:r>
          <w:r w:rsidR="003178D4">
            <w:rPr>
              <w:noProof/>
            </w:rPr>
            <w:t>2</w:t>
          </w:r>
          <w:r>
            <w:fldChar w:fldCharType="end"/>
          </w:r>
        </w:p>
      </w:tc>
    </w:tr>
    <w:tr w:rsidR="00A01E31" w:rsidRPr="007410E8" w:rsidTr="00A01E31">
      <w:trPr>
        <w:jc w:val="center"/>
      </w:trPr>
      <w:tc>
        <w:tcPr>
          <w:tcW w:w="2604" w:type="pct"/>
          <w:shd w:val="clear" w:color="auto" w:fill="auto"/>
        </w:tcPr>
        <w:p w:rsidR="00A01E31" w:rsidRPr="007410E8" w:rsidRDefault="00A01E31" w:rsidP="0035025C">
          <w:pPr>
            <w:pStyle w:val="FooterText"/>
            <w:rPr>
              <w:sz w:val="16"/>
            </w:rPr>
          </w:pPr>
        </w:p>
      </w:tc>
      <w:tc>
        <w:tcPr>
          <w:tcW w:w="1319" w:type="pct"/>
          <w:shd w:val="clear" w:color="auto" w:fill="auto"/>
        </w:tcPr>
        <w:p w:rsidR="00A01E31" w:rsidRPr="007410E8" w:rsidRDefault="00A01E31" w:rsidP="0035025C">
          <w:pPr>
            <w:pStyle w:val="FooterText"/>
            <w:rPr>
              <w:sz w:val="16"/>
            </w:rPr>
          </w:pPr>
        </w:p>
      </w:tc>
      <w:tc>
        <w:tcPr>
          <w:tcW w:w="1077" w:type="pct"/>
          <w:shd w:val="clear" w:color="auto" w:fill="auto"/>
        </w:tcPr>
        <w:p w:rsidR="00A01E31" w:rsidRPr="007410E8" w:rsidRDefault="00A01E31" w:rsidP="0035025C">
          <w:pPr>
            <w:pStyle w:val="FooterText"/>
            <w:jc w:val="right"/>
            <w:rPr>
              <w:sz w:val="16"/>
            </w:rPr>
          </w:pPr>
          <w:r>
            <w:rPr>
              <w:b/>
              <w:position w:val="-4"/>
              <w:sz w:val="36"/>
            </w:rPr>
            <w:t>BG</w:t>
          </w:r>
        </w:p>
      </w:tc>
    </w:tr>
    <w:bookmarkEnd w:id="5"/>
  </w:tbl>
  <w:p w:rsidR="005A6527" w:rsidRPr="00A01E31" w:rsidRDefault="005A6527" w:rsidP="00A01E31">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27" w:rsidRDefault="005A6527">
      <w:pPr>
        <w:spacing w:before="0" w:after="0"/>
      </w:pPr>
      <w:r>
        <w:separator/>
      </w:r>
    </w:p>
  </w:footnote>
  <w:footnote w:type="continuationSeparator" w:id="0">
    <w:p w:rsidR="005A6527" w:rsidRDefault="005A6527">
      <w:pPr>
        <w:spacing w:before="0" w:after="0"/>
      </w:pPr>
      <w:r>
        <w:continuationSeparator/>
      </w:r>
    </w:p>
  </w:footnote>
  <w:footnote w:id="1">
    <w:p w:rsidR="005A6527" w:rsidRPr="00993DE2" w:rsidRDefault="005A6527" w:rsidP="003E2E96">
      <w:pPr>
        <w:pStyle w:val="FootnoteText"/>
        <w:rPr>
          <w:szCs w:val="24"/>
        </w:rPr>
      </w:pPr>
      <w:r>
        <w:rPr>
          <w:rStyle w:val="FootnoteReference"/>
        </w:rPr>
        <w:footnoteRef/>
      </w:r>
      <w:r>
        <w:tab/>
        <w:t>Решението беше взето с квалифицирано мнозинство. Чешката република, Люксембург, Малта и Обединеното кралство се въздържаха от гласуване.</w:t>
      </w:r>
    </w:p>
  </w:footnote>
  <w:footnote w:id="2">
    <w:p w:rsidR="005A6527" w:rsidRPr="00E36C04" w:rsidRDefault="005A6527" w:rsidP="003E2E96">
      <w:pPr>
        <w:pStyle w:val="FootnoteText"/>
        <w:rPr>
          <w:szCs w:val="24"/>
        </w:rPr>
      </w:pPr>
      <w:r>
        <w:rPr>
          <w:rStyle w:val="FootnoteReference"/>
        </w:rPr>
        <w:footnoteRef/>
      </w:r>
      <w:r>
        <w:tab/>
        <w:t xml:space="preserve">Единният механизъм за преструктуриране ще се прилага от 1 януари 2016 година. Вж. съобщение за печата </w:t>
      </w:r>
      <w:hyperlink r:id="rId1" w:tooltip="http://register.consilium.europa.eu/pdf/en/14/st11/st11814.en14.pdf">
        <w:r w:rsidRPr="00DE65CF">
          <w:rPr>
            <w:rStyle w:val="Hyperlink"/>
            <w:i/>
          </w:rPr>
          <w:t>11814/14</w:t>
        </w:r>
      </w:hyperlink>
      <w:r>
        <w:t>.</w:t>
      </w:r>
    </w:p>
  </w:footnote>
  <w:footnote w:id="3">
    <w:p w:rsidR="005A6527" w:rsidRPr="00E36C04" w:rsidRDefault="005A6527" w:rsidP="003E2E96">
      <w:pPr>
        <w:pStyle w:val="FootnoteText"/>
        <w:rPr>
          <w:szCs w:val="24"/>
        </w:rPr>
      </w:pPr>
      <w:r>
        <w:rPr>
          <w:rStyle w:val="FootnoteReference"/>
        </w:rPr>
        <w:footnoteRef/>
      </w:r>
      <w:r>
        <w:tab/>
        <w:t xml:space="preserve">Вж. съобщения за печата </w:t>
      </w:r>
      <w:hyperlink r:id="rId2" w:tooltip="http://register.consilium.europa.eu/pdf/en/11/st16/st16446.en11.pdf">
        <w:r w:rsidRPr="00DE65CF">
          <w:rPr>
            <w:rStyle w:val="Hyperlink"/>
            <w:i/>
          </w:rPr>
          <w:t>16446/11</w:t>
        </w:r>
      </w:hyperlink>
      <w:r>
        <w:t xml:space="preserve"> и </w:t>
      </w:r>
      <w:hyperlink r:id="rId3" w:tooltip="http://register.consilium.europa.eu/pdf/en/13/st09/st09430.en13.pdf">
        <w:r w:rsidRPr="00DE65CF">
          <w:rPr>
            <w:rStyle w:val="Hyperlink"/>
            <w:i/>
          </w:rPr>
          <w:t>9430/13</w:t>
        </w:r>
      </w:hyperlink>
      <w:r>
        <w:t>.</w:t>
      </w:r>
    </w:p>
  </w:footnote>
  <w:footnote w:id="4">
    <w:p w:rsidR="005A6527" w:rsidRPr="00E36C04" w:rsidRDefault="005A6527" w:rsidP="003E2E96">
      <w:pPr>
        <w:pStyle w:val="FootnoteText"/>
        <w:rPr>
          <w:color w:val="17365D"/>
          <w:szCs w:val="24"/>
          <w:u w:val="single"/>
        </w:rPr>
      </w:pPr>
      <w:r>
        <w:rPr>
          <w:rStyle w:val="FootnoteReference"/>
        </w:rPr>
        <w:footnoteRef/>
      </w:r>
      <w:r>
        <w:tab/>
      </w:r>
      <w:hyperlink r:id="rId4">
        <w:r w:rsidRPr="00DE65CF">
          <w:rPr>
            <w:rStyle w:val="Hyperlink"/>
          </w:rPr>
          <w:t>http://www.eca.europa.eu/bg/Pages/AR_2013.aspx</w:t>
        </w:r>
      </w:hyperlink>
    </w:p>
  </w:footnote>
  <w:footnote w:id="5">
    <w:p w:rsidR="005A6527" w:rsidRDefault="005A6527" w:rsidP="003E2E96">
      <w:pPr>
        <w:pStyle w:val="FootnoteText"/>
        <w:tabs>
          <w:tab w:val="left" w:pos="709"/>
        </w:tabs>
      </w:pPr>
      <w:r>
        <w:rPr>
          <w:rStyle w:val="FootnoteReference"/>
        </w:rPr>
        <w:footnoteRef/>
      </w:r>
      <w:r>
        <w:tab/>
        <w:t>Тази клауза ще даде възможност на държавите да прилагат по-строги национални правила, при условие че спазват минималните изисквания на ЕС.</w:t>
      </w:r>
    </w:p>
  </w:footnote>
  <w:footnote w:id="6">
    <w:p w:rsidR="005A6527" w:rsidRDefault="005A6527" w:rsidP="003E2E96">
      <w:pPr>
        <w:ind w:left="567" w:hanging="567"/>
      </w:pPr>
      <w:r>
        <w:rPr>
          <w:rStyle w:val="FootnoteReference"/>
          <w:sz w:val="22"/>
        </w:rPr>
        <w:footnoteRef/>
      </w:r>
      <w:r>
        <w:tab/>
      </w:r>
      <w:r>
        <w:rPr>
          <w:sz w:val="22"/>
        </w:rPr>
        <w:t xml:space="preserve">Сключен през 2011 г. от 23 от 28-те държави членки, </w:t>
      </w:r>
      <w:r>
        <w:rPr>
          <w:i/>
          <w:sz w:val="22"/>
        </w:rPr>
        <w:t>пактът „Евро плюс“</w:t>
      </w:r>
      <w:r>
        <w:rPr>
          <w:sz w:val="22"/>
        </w:rPr>
        <w:t xml:space="preserve"> е предназначен да укрепи координацията на икономическите политики.</w:t>
      </w:r>
    </w:p>
  </w:footnote>
  <w:footnote w:id="7">
    <w:p w:rsidR="005A6527" w:rsidRPr="00FC1A82" w:rsidRDefault="005A6527" w:rsidP="003E2E96">
      <w:pPr>
        <w:pStyle w:val="FootnoteText"/>
        <w:rPr>
          <w:sz w:val="22"/>
          <w:szCs w:val="22"/>
        </w:rPr>
      </w:pPr>
      <w:r>
        <w:rPr>
          <w:rStyle w:val="FootnoteReference"/>
          <w:sz w:val="22"/>
        </w:rPr>
        <w:footnoteRef/>
      </w:r>
      <w:r>
        <w:tab/>
      </w:r>
      <w:r>
        <w:rPr>
          <w:sz w:val="22"/>
        </w:rPr>
        <w:t>Като се отчита принципът на субсидиарност в контекста на компетентността на държавите членки в съответните области, при разглеждането следва внимателно да се обмисли какви елементи могат да допринесат по подходящ начин за увеличаване на ефективността и стабилността на пазарното финансиране.</w:t>
      </w:r>
    </w:p>
  </w:footnote>
  <w:footnote w:id="8">
    <w:p w:rsidR="005A6527" w:rsidRPr="00D7596A" w:rsidRDefault="005A6527" w:rsidP="003E2E96">
      <w:pPr>
        <w:pStyle w:val="FootnoteText"/>
      </w:pPr>
      <w:r>
        <w:rPr>
          <w:rStyle w:val="FootnoteReference"/>
        </w:rPr>
        <w:footnoteRef/>
      </w:r>
      <w:r>
        <w:tab/>
      </w:r>
      <w:hyperlink r:id="rId5">
        <w:r w:rsidRPr="00DE65CF">
          <w:rPr>
            <w:rStyle w:val="Hyperlink"/>
          </w:rPr>
          <w:t>ОВ L 070, 16.3.2005 г., стр. 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31" w:rsidRPr="00A01E31" w:rsidRDefault="00A01E31" w:rsidP="00A01E3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31" w:rsidRPr="00A01E31" w:rsidRDefault="00A01E31" w:rsidP="00A01E3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31" w:rsidRPr="00A01E31" w:rsidRDefault="00A01E31" w:rsidP="00A01E3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01E31" w:rsidRPr="007410E8" w:rsidTr="00A01E31">
      <w:trPr>
        <w:jc w:val="center"/>
      </w:trPr>
      <w:tc>
        <w:tcPr>
          <w:tcW w:w="2500" w:type="pct"/>
          <w:shd w:val="clear" w:color="auto" w:fill="auto"/>
        </w:tcPr>
        <w:p w:rsidR="00A01E31" w:rsidRPr="007410E8" w:rsidRDefault="00A01E31" w:rsidP="0035025C">
          <w:pPr>
            <w:pStyle w:val="HeaderText"/>
            <w:rPr>
              <w:b/>
              <w:i/>
              <w:sz w:val="16"/>
              <w:u w:val="single"/>
            </w:rPr>
          </w:pPr>
          <w:bookmarkStart w:id="4" w:name="HEADER_PRMEET"/>
        </w:p>
      </w:tc>
      <w:tc>
        <w:tcPr>
          <w:tcW w:w="2500" w:type="pct"/>
          <w:shd w:val="clear" w:color="auto" w:fill="auto"/>
        </w:tcPr>
        <w:p w:rsidR="00A01E31" w:rsidRPr="007410E8" w:rsidRDefault="00A01E31" w:rsidP="00A01E31">
          <w:pPr>
            <w:pStyle w:val="HeaderText"/>
            <w:jc w:val="right"/>
            <w:rPr>
              <w:sz w:val="16"/>
            </w:rPr>
          </w:pPr>
          <w:r w:rsidRPr="00A01E31">
            <w:t>9 декември 2014 г.</w:t>
          </w:r>
        </w:p>
      </w:tc>
    </w:tr>
    <w:bookmarkEnd w:id="4"/>
  </w:tbl>
  <w:p w:rsidR="005A6527" w:rsidRPr="00A01E31" w:rsidRDefault="005A6527" w:rsidP="00A01E31">
    <w:pPr>
      <w:pStyle w:val="HeaderCounci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01E31" w:rsidRPr="007410E8" w:rsidTr="00A01E31">
      <w:trPr>
        <w:jc w:val="center"/>
      </w:trPr>
      <w:tc>
        <w:tcPr>
          <w:tcW w:w="2500" w:type="pct"/>
          <w:shd w:val="clear" w:color="auto" w:fill="auto"/>
        </w:tcPr>
        <w:p w:rsidR="00A01E31" w:rsidRPr="007410E8" w:rsidRDefault="00A01E31" w:rsidP="0035025C">
          <w:pPr>
            <w:pStyle w:val="HeaderText"/>
            <w:rPr>
              <w:b/>
              <w:i/>
              <w:sz w:val="16"/>
              <w:u w:val="single"/>
            </w:rPr>
          </w:pPr>
        </w:p>
      </w:tc>
      <w:tc>
        <w:tcPr>
          <w:tcW w:w="2500" w:type="pct"/>
          <w:shd w:val="clear" w:color="auto" w:fill="auto"/>
        </w:tcPr>
        <w:p w:rsidR="00A01E31" w:rsidRPr="007410E8" w:rsidRDefault="00A01E31" w:rsidP="00A01E31">
          <w:pPr>
            <w:pStyle w:val="HeaderText"/>
            <w:jc w:val="right"/>
            <w:rPr>
              <w:sz w:val="16"/>
            </w:rPr>
          </w:pPr>
          <w:r w:rsidRPr="00A01E31">
            <w:t>9 декември 2014 г.</w:t>
          </w:r>
        </w:p>
      </w:tc>
    </w:tr>
  </w:tbl>
  <w:p w:rsidR="005A6527" w:rsidRPr="00A01E31" w:rsidRDefault="005A6527" w:rsidP="00A01E31">
    <w:pPr>
      <w:pStyle w:val="HeaderCounci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527" w:rsidRPr="00A01E31" w:rsidRDefault="005A6527" w:rsidP="00A01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3C41A8"/>
    <w:lvl w:ilvl="0">
      <w:start w:val="1"/>
      <w:numFmt w:val="decimal"/>
      <w:lvlText w:val="%1."/>
      <w:lvlJc w:val="left"/>
      <w:pPr>
        <w:tabs>
          <w:tab w:val="num" w:pos="1492"/>
        </w:tabs>
        <w:ind w:left="1492" w:hanging="360"/>
      </w:pPr>
    </w:lvl>
  </w:abstractNum>
  <w:abstractNum w:abstractNumId="1">
    <w:nsid w:val="FFFFFF7D"/>
    <w:multiLevelType w:val="singleLevel"/>
    <w:tmpl w:val="5874B4A8"/>
    <w:lvl w:ilvl="0">
      <w:start w:val="1"/>
      <w:numFmt w:val="decimal"/>
      <w:lvlText w:val="%1."/>
      <w:lvlJc w:val="left"/>
      <w:pPr>
        <w:tabs>
          <w:tab w:val="num" w:pos="1209"/>
        </w:tabs>
        <w:ind w:left="1209" w:hanging="360"/>
      </w:pPr>
    </w:lvl>
  </w:abstractNum>
  <w:abstractNum w:abstractNumId="2">
    <w:nsid w:val="FFFFFF7E"/>
    <w:multiLevelType w:val="singleLevel"/>
    <w:tmpl w:val="70004D5C"/>
    <w:lvl w:ilvl="0">
      <w:start w:val="1"/>
      <w:numFmt w:val="decimal"/>
      <w:lvlText w:val="%1."/>
      <w:lvlJc w:val="left"/>
      <w:pPr>
        <w:tabs>
          <w:tab w:val="num" w:pos="926"/>
        </w:tabs>
        <w:ind w:left="926" w:hanging="360"/>
      </w:pPr>
    </w:lvl>
  </w:abstractNum>
  <w:abstractNum w:abstractNumId="3">
    <w:nsid w:val="FFFFFF7F"/>
    <w:multiLevelType w:val="singleLevel"/>
    <w:tmpl w:val="2318A938"/>
    <w:lvl w:ilvl="0">
      <w:start w:val="1"/>
      <w:numFmt w:val="decimal"/>
      <w:lvlText w:val="%1."/>
      <w:lvlJc w:val="left"/>
      <w:pPr>
        <w:tabs>
          <w:tab w:val="num" w:pos="643"/>
        </w:tabs>
        <w:ind w:left="643" w:hanging="360"/>
      </w:pPr>
    </w:lvl>
  </w:abstractNum>
  <w:abstractNum w:abstractNumId="4">
    <w:nsid w:val="FFFFFF80"/>
    <w:multiLevelType w:val="singleLevel"/>
    <w:tmpl w:val="FED6F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5290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BA3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3AB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BA8"/>
    <w:lvl w:ilvl="0">
      <w:start w:val="1"/>
      <w:numFmt w:val="decimal"/>
      <w:lvlText w:val="%1."/>
      <w:lvlJc w:val="left"/>
      <w:pPr>
        <w:tabs>
          <w:tab w:val="num" w:pos="360"/>
        </w:tabs>
        <w:ind w:left="360" w:hanging="360"/>
      </w:pPr>
    </w:lvl>
  </w:abstractNum>
  <w:abstractNum w:abstractNumId="9">
    <w:nsid w:val="FFFFFF89"/>
    <w:multiLevelType w:val="singleLevel"/>
    <w:tmpl w:val="D9D2F31A"/>
    <w:lvl w:ilvl="0">
      <w:start w:val="1"/>
      <w:numFmt w:val="bullet"/>
      <w:lvlText w:val=""/>
      <w:lvlJc w:val="left"/>
      <w:pPr>
        <w:tabs>
          <w:tab w:val="num" w:pos="360"/>
        </w:tabs>
        <w:ind w:left="360" w:hanging="360"/>
      </w:pPr>
      <w:rPr>
        <w:rFonts w:ascii="Symbol" w:hAnsi="Symbol" w:hint="default"/>
      </w:rPr>
    </w:lvl>
  </w:abstractNum>
  <w:abstractNum w:abstractNumId="10">
    <w:nsid w:val="01E4253E"/>
    <w:multiLevelType w:val="hybridMultilevel"/>
    <w:tmpl w:val="E03260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nsid w:val="0B6E3530"/>
    <w:multiLevelType w:val="hybridMultilevel"/>
    <w:tmpl w:val="6A1E60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1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0EA06BB"/>
    <w:multiLevelType w:val="hybridMultilevel"/>
    <w:tmpl w:val="AA0629A6"/>
    <w:lvl w:ilvl="0" w:tplc="305A553E">
      <w:numFmt w:val="bullet"/>
      <w:lvlText w:val="-"/>
      <w:lvlJc w:val="left"/>
      <w:pPr>
        <w:ind w:left="1637"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66F2141"/>
    <w:multiLevelType w:val="hybridMultilevel"/>
    <w:tmpl w:val="E91A10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28660902"/>
    <w:multiLevelType w:val="singleLevel"/>
    <w:tmpl w:val="51F468F4"/>
    <w:name w:val="Tiret 0"/>
    <w:lvl w:ilvl="0">
      <w:start w:val="1"/>
      <w:numFmt w:val="bullet"/>
      <w:lvlRestart w:val="0"/>
      <w:pStyle w:val="Tiret0"/>
      <w:lvlText w:val="–"/>
      <w:lvlJc w:val="left"/>
      <w:pPr>
        <w:tabs>
          <w:tab w:val="num" w:pos="850"/>
        </w:tabs>
        <w:ind w:left="850" w:hanging="850"/>
      </w:pPr>
    </w:lvl>
  </w:abstractNum>
  <w:abstractNum w:abstractNumId="1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2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2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2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2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27">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0385A55"/>
    <w:multiLevelType w:val="hybridMultilevel"/>
    <w:tmpl w:val="E9B45E40"/>
    <w:lvl w:ilvl="0" w:tplc="0809000F">
      <w:start w:val="1"/>
      <w:numFmt w:val="decimal"/>
      <w:lvlText w:val="%1."/>
      <w:lvlJc w:val="left"/>
      <w:pPr>
        <w:ind w:left="720" w:hanging="360"/>
      </w:pPr>
    </w:lvl>
    <w:lvl w:ilvl="1" w:tplc="35BE47E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18"/>
    <w:lvlOverride w:ilvl="0">
      <w:startOverride w:val="1"/>
    </w:lvlOverride>
  </w:num>
  <w:num w:numId="2">
    <w:abstractNumId w:val="18"/>
  </w:num>
  <w:num w:numId="3">
    <w:abstractNumId w:val="18"/>
  </w:num>
  <w:num w:numId="4">
    <w:abstractNumId w:val="26"/>
  </w:num>
  <w:num w:numId="5">
    <w:abstractNumId w:val="20"/>
  </w:num>
  <w:num w:numId="6">
    <w:abstractNumId w:val="19"/>
  </w:num>
  <w:num w:numId="7">
    <w:abstractNumId w:val="13"/>
  </w:num>
  <w:num w:numId="8">
    <w:abstractNumId w:val="27"/>
  </w:num>
  <w:num w:numId="9">
    <w:abstractNumId w:val="14"/>
  </w:num>
  <w:num w:numId="10">
    <w:abstractNumId w:val="16"/>
  </w:num>
  <w:num w:numId="11">
    <w:abstractNumId w:val="25"/>
  </w:num>
  <w:num w:numId="12">
    <w:abstractNumId w:val="22"/>
  </w:num>
  <w:num w:numId="13">
    <w:abstractNumId w:val="11"/>
  </w:num>
  <w:num w:numId="14">
    <w:abstractNumId w:val="29"/>
  </w:num>
  <w:num w:numId="15">
    <w:abstractNumId w:val="24"/>
  </w:num>
  <w:num w:numId="16">
    <w:abstractNumId w:val="23"/>
  </w:num>
  <w:num w:numId="17">
    <w:abstractNumId w:val="21"/>
  </w:num>
  <w:num w:numId="18">
    <w:abstractNumId w:val="21"/>
    <w:lvlOverride w:ilvl="0">
      <w:startOverride w:val="1"/>
    </w:lvlOverride>
  </w:num>
  <w:num w:numId="1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 w:numId="22">
    <w:abstractNumId w:val="10"/>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3.4.3&quot; technicalblockguid=&quot;dd14be31-3807-41f0-ac91-2fffcb4c0ab0&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amp;#1056;&amp;#1045;&amp;#1047;&amp;#1059;&amp;#1051;&amp;#1058;&amp;#1040;&amp;#1058;&amp;#1048; &amp;#1054;&amp;#1058; &amp;#1047;&amp;#1040;&amp;#1057;&amp;#1045;&amp;#1044;&amp;#1040;&amp;#1053;&amp;#1048;&amp;#1045;&amp;#1058;&amp;#1054; &amp;#1053;&amp;#1040; &amp;#1057;&amp;#1066;&amp;#1042;&amp;#1045;&amp;#1058;&amp;#1040;&quot; /&gt;_x000d__x000a_    &lt;/basicdatatype&gt;_x000d__x000a_  &lt;/metadata&gt;_x000d__x000a_  &lt;metadata key=&quot;md_HeadingText&quot; translate=&quot;false&quot;&gt;_x000d__x000a_    &lt;headingtext text=&quot;&amp;#1056;&amp;#1045;&amp;#1047;&amp;#1059;&amp;#1051;&amp;#1058;&amp;#1040;&amp;#1058;&amp;#1048; &amp;#1054;&amp;#1058; &amp;#1047;&amp;#1040;&amp;#1057;&amp;#1045;&amp;#1044;&amp;#1040;&amp;#1053;&amp;#1048;&amp;#1045;&amp;#1058;&amp;#1054; &amp;#1053;&amp;#1040; &amp;#1057;&amp;#1066;&amp;#1042;&amp;#1045;&amp;#1058;&amp;#1040;&quot;&gt;_x000d__x000a_      &lt;formattedtext&gt;_x000d__x000a_        &lt;xaml text=&quot;&amp;#1056;&amp;#1045;&amp;#1047;&amp;#1059;&amp;#1051;&amp;#1058;&amp;#1040;&amp;#1058;&amp;#1048; &amp;#1054;&amp;#1058; &amp;#1047;&amp;#1040;&amp;#1057;&amp;#1045;&amp;#1044;&amp;#1040;&amp;#1053;&amp;#1048;&amp;#1045;&amp;#1058;&amp;#1054; &amp;#1053;&amp;#1040; &amp;#1057;&amp;#1066;&amp;#1042;&amp;#1045;&amp;#1058;&amp;#1040;&quot;&gt;&amp;lt;FlowDocument xmlns=&quot;http://schemas.microsoft.com/winfx/2006/xaml/presentation&quot;&amp;gt;&amp;lt;Paragraph&amp;gt;&amp;#1056;&amp;#1045;&amp;#1047;&amp;#1059;&amp;#1051;&amp;#1058;&amp;#1040;&amp;#1058;&amp;#1048; &amp;#1054;&amp;#1058; &amp;#1047;&amp;#1040;&amp;#1057;&amp;#1045;&amp;#1044;&amp;#1040;&amp;#1053;&amp;#1048;&amp;#1045;&amp;#1058;&amp;#1054; &amp;#1053;&amp;#1040; &amp;#1057;&amp;#1066;&amp;#1042;&amp;#1045;&amp;#1058;&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6603&lt;/text&gt;_x000d__x000a_  &lt;/metadata&gt;_x000d__x000a_  &lt;metadata key=&quot;md_YearDocumentNumber&quot; translate=&quot;false&quot;&gt;_x000d__x000a_    &lt;text&gt;2014&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32&lt;/text&gt;_x000d__x000a_      &lt;text&gt;PR CO 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amp;#1052;&amp;#1080;&amp;#1085;&amp;#1080;&amp;#1089;&amp;#1090;&amp;#1098;&amp;#1088; &amp;#1085;&amp;#1072; &amp;#1080;&amp;#1082;&amp;#1086;&amp;#1085;&amp;#1086;&amp;#1084;&amp;#1080;&amp;#1082;&amp;#1072;&amp;#1090;&amp;#1072; &amp;#1080; &amp;#1092;&amp;#1080;&amp;#1085;&amp;#1072;&amp;#1085;&amp;#1089;&amp;#1080;&amp;#1090;&amp;#1077;&quot; name=&quot;Pier Carlo PADOAN&quot; text=&quot;Pier Carlo PADOAN, &amp;#1052;&amp;#1080;&amp;#1085;&amp;#1080;&amp;#1089;&amp;#1090;&amp;#1098;&amp;#1088; &amp;#1085;&amp;#1072; &amp;#1080;&amp;#1082;&amp;#1086;&amp;#1085;&amp;#1086;&amp;#1084;&amp;#1080;&amp;#1082;&amp;#1072;&amp;#1090;&amp;#1072; &amp;#1080; &amp;#1092;&amp;#1080;&amp;#1085;&amp;#1072;&amp;#1085;&amp;#1089;&amp;#1080;&amp;#1090;&amp;#1077;&quot; genderKeyBds=&quot;gend_01&quot; /&gt;_x000d__x000a_    &lt;/presidents&gt;_x000d__x000a_  &lt;/metadata&gt;_x000d__x000a_  &lt;metadata key=&quot;md_MeetingNumber&quot;&gt;_x000d__x000a_    &lt;text&gt;3356-&amp;#1086; &amp;#1079;&amp;#1072;&amp;#1089;&amp;#1077;&amp;#1076;&amp;#1072;&amp;#1085;&amp;#1080;&amp;#1077; &amp;#1085;&amp;#1072; &amp;#1057;&amp;#1098;&amp;#1074;&amp;#1077;&amp;#1090;&amp;#1072;&lt;/text&gt;_x000d__x000a_  &lt;/metadata&gt;_x000d__x000a_  &lt;metadata key=&quot;md_CouncilConfiguration&quot; translate=&quot;false&quot;&gt;_x000d__x000a_    &lt;basicdatatype&gt;_x000d__x000a_      &lt;configuration key=&quot;cc_03&quot; text=&quot;&amp;#1048;&amp;#1082;&amp;#1086;&amp;#1085;&amp;#1086;&amp;#1084;&amp;#1080;&amp;#1095;&amp;#1077;&amp;#1089;&amp;#1082;&amp;#1080; &amp;#1080; &amp;#1092;&amp;#1080;&amp;#1085;&amp;#1072;&amp;#1085;&amp;#1089;&amp;#1086;&amp;#1074;&amp;#1080; &amp;#1074;&amp;#1098;&amp;#1087;&amp;#1088;&amp;#1086;&amp;#1089;&amp;#1080;&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083&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4&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4-12-09&quot;&gt;_x000d__x000a_        &lt;meetinglocation&gt;_x000d__x000a_          &lt;basicdatatype&gt;_x000d__x000a_            &lt;location key=&quot;loc_01&quot; text=&quot;&amp;#1041;&amp;#1088;&amp;#1102;&amp;#1082;&amp;#1089;&amp;#1077;&amp;#1083;&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B53E9F"/>
    <w:rsid w:val="00007AE7"/>
    <w:rsid w:val="00035E1C"/>
    <w:rsid w:val="00056986"/>
    <w:rsid w:val="000732B1"/>
    <w:rsid w:val="000A63B0"/>
    <w:rsid w:val="000F7691"/>
    <w:rsid w:val="00103148"/>
    <w:rsid w:val="001313A6"/>
    <w:rsid w:val="001463D0"/>
    <w:rsid w:val="001778DA"/>
    <w:rsid w:val="00200517"/>
    <w:rsid w:val="00225887"/>
    <w:rsid w:val="00254A73"/>
    <w:rsid w:val="002B3EB3"/>
    <w:rsid w:val="002C0232"/>
    <w:rsid w:val="002D6B21"/>
    <w:rsid w:val="002F1C89"/>
    <w:rsid w:val="002F3CE3"/>
    <w:rsid w:val="003178D4"/>
    <w:rsid w:val="00321EC8"/>
    <w:rsid w:val="00337BF1"/>
    <w:rsid w:val="003445B8"/>
    <w:rsid w:val="00353F76"/>
    <w:rsid w:val="00357576"/>
    <w:rsid w:val="003946C8"/>
    <w:rsid w:val="003B2BD4"/>
    <w:rsid w:val="003E2E96"/>
    <w:rsid w:val="004149FE"/>
    <w:rsid w:val="00421302"/>
    <w:rsid w:val="00442727"/>
    <w:rsid w:val="004C5EA8"/>
    <w:rsid w:val="004F657C"/>
    <w:rsid w:val="00501B68"/>
    <w:rsid w:val="005050A2"/>
    <w:rsid w:val="00512131"/>
    <w:rsid w:val="00515716"/>
    <w:rsid w:val="00520D74"/>
    <w:rsid w:val="005402DD"/>
    <w:rsid w:val="00546259"/>
    <w:rsid w:val="0057159A"/>
    <w:rsid w:val="005A6527"/>
    <w:rsid w:val="005B031E"/>
    <w:rsid w:val="005D038D"/>
    <w:rsid w:val="005D09ED"/>
    <w:rsid w:val="005E23DB"/>
    <w:rsid w:val="005F662A"/>
    <w:rsid w:val="0063493F"/>
    <w:rsid w:val="00637317"/>
    <w:rsid w:val="00642023"/>
    <w:rsid w:val="00655D70"/>
    <w:rsid w:val="00663D47"/>
    <w:rsid w:val="00665AD8"/>
    <w:rsid w:val="0067238A"/>
    <w:rsid w:val="006A43F1"/>
    <w:rsid w:val="006A56D8"/>
    <w:rsid w:val="006C171E"/>
    <w:rsid w:val="006F4E9F"/>
    <w:rsid w:val="00792EC7"/>
    <w:rsid w:val="007D7CBC"/>
    <w:rsid w:val="007D7DB2"/>
    <w:rsid w:val="007F11C7"/>
    <w:rsid w:val="0082573C"/>
    <w:rsid w:val="00855AA3"/>
    <w:rsid w:val="00887683"/>
    <w:rsid w:val="00895676"/>
    <w:rsid w:val="008E42F7"/>
    <w:rsid w:val="008E6824"/>
    <w:rsid w:val="008F7F76"/>
    <w:rsid w:val="009078B2"/>
    <w:rsid w:val="00914E78"/>
    <w:rsid w:val="00916D35"/>
    <w:rsid w:val="00925EEC"/>
    <w:rsid w:val="00926EAF"/>
    <w:rsid w:val="0097174E"/>
    <w:rsid w:val="00991843"/>
    <w:rsid w:val="00991C59"/>
    <w:rsid w:val="0099313F"/>
    <w:rsid w:val="00993DE2"/>
    <w:rsid w:val="009947D5"/>
    <w:rsid w:val="009E635F"/>
    <w:rsid w:val="00A01E31"/>
    <w:rsid w:val="00A33747"/>
    <w:rsid w:val="00A433E7"/>
    <w:rsid w:val="00A67613"/>
    <w:rsid w:val="00A76CDC"/>
    <w:rsid w:val="00A839BB"/>
    <w:rsid w:val="00A871D9"/>
    <w:rsid w:val="00AA23FE"/>
    <w:rsid w:val="00AD4CBE"/>
    <w:rsid w:val="00AF651E"/>
    <w:rsid w:val="00B03546"/>
    <w:rsid w:val="00B264FE"/>
    <w:rsid w:val="00B34272"/>
    <w:rsid w:val="00B53E9F"/>
    <w:rsid w:val="00B73E1B"/>
    <w:rsid w:val="00B96762"/>
    <w:rsid w:val="00BB307D"/>
    <w:rsid w:val="00BC2A45"/>
    <w:rsid w:val="00BD54A3"/>
    <w:rsid w:val="00BE7CAE"/>
    <w:rsid w:val="00BF08DC"/>
    <w:rsid w:val="00C3041A"/>
    <w:rsid w:val="00C345BA"/>
    <w:rsid w:val="00C57AAC"/>
    <w:rsid w:val="00C83D5A"/>
    <w:rsid w:val="00C97D94"/>
    <w:rsid w:val="00D14435"/>
    <w:rsid w:val="00D174C3"/>
    <w:rsid w:val="00D313AD"/>
    <w:rsid w:val="00D45C7C"/>
    <w:rsid w:val="00D45F4A"/>
    <w:rsid w:val="00D76627"/>
    <w:rsid w:val="00DD14BD"/>
    <w:rsid w:val="00DE65CF"/>
    <w:rsid w:val="00E07904"/>
    <w:rsid w:val="00E24517"/>
    <w:rsid w:val="00E36C04"/>
    <w:rsid w:val="00E70879"/>
    <w:rsid w:val="00E737DC"/>
    <w:rsid w:val="00E84318"/>
    <w:rsid w:val="00E947BF"/>
    <w:rsid w:val="00ED1D97"/>
    <w:rsid w:val="00EF2B92"/>
    <w:rsid w:val="00FA1239"/>
    <w:rsid w:val="00FC7382"/>
    <w:rsid w:val="00FD7A00"/>
    <w:rsid w:val="00FE5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B53E9F"/>
    <w:pPr>
      <w:spacing w:before="0" w:after="440"/>
      <w:ind w:left="-1134" w:right="-1134"/>
    </w:pPr>
    <w:rPr>
      <w:sz w:val="2"/>
    </w:rPr>
  </w:style>
  <w:style w:type="character" w:customStyle="1" w:styleId="TechnicalBlockChar">
    <w:name w:val="Technical Block Char"/>
    <w:rsid w:val="00B53E9F"/>
    <w:rPr>
      <w:sz w:val="24"/>
      <w:szCs w:val="24"/>
      <w:lang w:eastAsia="bg-BG"/>
    </w:rPr>
  </w:style>
  <w:style w:type="character" w:customStyle="1" w:styleId="HeaderCouncilLargeChar">
    <w:name w:val="Header Council Large Char"/>
    <w:link w:val="HeaderCouncilLarge"/>
    <w:rsid w:val="00B53E9F"/>
    <w:rPr>
      <w:sz w:val="2"/>
      <w:szCs w:val="24"/>
    </w:rPr>
  </w:style>
  <w:style w:type="paragraph" w:customStyle="1" w:styleId="FooterText">
    <w:name w:val="Footer Text"/>
    <w:basedOn w:val="Normal"/>
    <w:rsid w:val="00B53E9F"/>
    <w:pPr>
      <w:spacing w:before="0" w:after="0"/>
    </w:pPr>
  </w:style>
  <w:style w:type="paragraph" w:customStyle="1" w:styleId="FooterAddressText">
    <w:name w:val="Footer Address Text"/>
    <w:basedOn w:val="FooterText"/>
    <w:qFormat/>
    <w:rsid w:val="00B53E9F"/>
    <w:pPr>
      <w:jc w:val="center"/>
    </w:pPr>
    <w:rPr>
      <w:spacing w:val="10"/>
      <w:sz w:val="16"/>
      <w:szCs w:val="16"/>
    </w:rPr>
  </w:style>
  <w:style w:type="character" w:styleId="Hyperlink">
    <w:name w:val="Hyperlink"/>
    <w:uiPriority w:val="99"/>
    <w:unhideWhenUsed/>
    <w:qFormat/>
    <w:rsid w:val="00B53E9F"/>
    <w:rPr>
      <w:color w:val="0000FF"/>
      <w:u w:val="single"/>
    </w:rPr>
  </w:style>
  <w:style w:type="paragraph" w:customStyle="1" w:styleId="HeaderText">
    <w:name w:val="Header Text"/>
    <w:basedOn w:val="Normal"/>
    <w:rsid w:val="00B53E9F"/>
    <w:pPr>
      <w:spacing w:before="0" w:after="0"/>
    </w:pPr>
  </w:style>
  <w:style w:type="character" w:customStyle="1" w:styleId="FootnoteTextChar">
    <w:name w:val="Footnote Text Char"/>
    <w:aliases w:val="Reference Char,Footnote Text Char1 Char Char,Footnote Text Char Char Char Char,Footnote Text Char2 Char Char Char Char,Footnote Text Char1 Char Char Char Char Char,Footnote Text Char Char Char Char Char Char Char,Plonk Char,ft Char"/>
    <w:rsid w:val="00E36C04"/>
    <w:rPr>
      <w:lang w:eastAsia="bg-BG"/>
    </w:rPr>
  </w:style>
  <w:style w:type="character" w:customStyle="1" w:styleId="Heading2Char">
    <w:name w:val="Heading 2 Char"/>
    <w:rsid w:val="00D174C3"/>
    <w:rPr>
      <w:b/>
      <w:bCs/>
      <w:iCs/>
      <w:sz w:val="24"/>
      <w:szCs w:val="28"/>
      <w:lang w:eastAsia="bg-BG"/>
    </w:rPr>
  </w:style>
  <w:style w:type="paragraph" w:customStyle="1" w:styleId="PointManual">
    <w:name w:val="Point Manual"/>
    <w:basedOn w:val="Normal"/>
    <w:rsid w:val="00D45F4A"/>
    <w:pPr>
      <w:spacing w:before="200" w:after="0"/>
      <w:ind w:left="567" w:hanging="567"/>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sid w:val="007F11C7"/>
    <w:rPr>
      <w:lang w:eastAsia="bg-BG"/>
    </w:rPr>
  </w:style>
  <w:style w:type="paragraph" w:styleId="CommentSubject">
    <w:name w:val="annotation subject"/>
    <w:basedOn w:val="CommentText"/>
    <w:next w:val="CommentText"/>
    <w:link w:val="CommentSubjectChar"/>
    <w:uiPriority w:val="99"/>
    <w:semiHidden/>
    <w:unhideWhenUsed/>
    <w:rsid w:val="007F11C7"/>
    <w:rPr>
      <w:b/>
      <w:bCs/>
    </w:rPr>
  </w:style>
  <w:style w:type="character" w:customStyle="1" w:styleId="CommentSubjectChar">
    <w:name w:val="Comment Subject Char"/>
    <w:link w:val="CommentSubject"/>
    <w:uiPriority w:val="99"/>
    <w:semiHidden/>
    <w:rsid w:val="007F11C7"/>
    <w:rPr>
      <w:b/>
      <w:bCs/>
      <w:lang w:eastAsia="bg-BG"/>
    </w:rPr>
  </w:style>
  <w:style w:type="character" w:customStyle="1" w:styleId="FormatvorlageTimesRoman12ptZchn">
    <w:name w:val="Formatvorlage Times Roman 12 pt Zchn"/>
    <w:link w:val="FormatvorlageTimesRoman12pt"/>
    <w:locked/>
    <w:rsid w:val="002D6B21"/>
    <w:rPr>
      <w:rFonts w:ascii="Times Roman" w:hAnsi="Times Roman" w:cs="Tahoma"/>
      <w:sz w:val="24"/>
      <w:szCs w:val="24"/>
      <w:lang w:eastAsia="bg-BG"/>
    </w:rPr>
  </w:style>
  <w:style w:type="paragraph" w:customStyle="1" w:styleId="FormatvorlageTimesRoman12pt">
    <w:name w:val="Formatvorlage Times Roman 12 pt"/>
    <w:basedOn w:val="Normal"/>
    <w:link w:val="FormatvorlageTimesRoman12ptZchn"/>
    <w:autoRedefine/>
    <w:rsid w:val="002D6B21"/>
    <w:pPr>
      <w:spacing w:line="360" w:lineRule="auto"/>
      <w:ind w:left="851" w:hanging="284"/>
      <w:jc w:val="both"/>
    </w:pPr>
    <w:rPr>
      <w:rFonts w:ascii="Times Roman" w:hAnsi="Times Roman" w:cs="Tahoma"/>
    </w:rPr>
  </w:style>
  <w:style w:type="paragraph" w:styleId="TOC5">
    <w:name w:val="toc 5"/>
    <w:basedOn w:val="Normal"/>
    <w:next w:val="Normal"/>
    <w:uiPriority w:val="39"/>
    <w:rsid w:val="00A871D9"/>
    <w:pPr>
      <w:keepNext/>
      <w:tabs>
        <w:tab w:val="right" w:leader="dot" w:pos="9638"/>
      </w:tabs>
      <w:spacing w:before="320"/>
      <w:ind w:right="567"/>
    </w:pPr>
    <w:rPr>
      <w:b/>
      <w:noProof/>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7"/>
      </w:numPr>
      <w:tabs>
        <w:tab w:val="right" w:leader="dot" w:pos="9638"/>
      </w:tabs>
      <w:spacing w:after="120"/>
      <w:ind w:right="567"/>
    </w:pPr>
    <w:rPr>
      <w:sz w:val="20"/>
    </w:rPr>
  </w:style>
  <w:style w:type="paragraph" w:styleId="Footer">
    <w:name w:val="footer"/>
    <w:basedOn w:val="Normal"/>
    <w:link w:val="FooterChar"/>
    <w:rsid w:val="00A76CDC"/>
    <w:pPr>
      <w:tabs>
        <w:tab w:val="right" w:pos="9638"/>
      </w:tabs>
      <w:spacing w:before="0" w:after="0"/>
    </w:pPr>
  </w:style>
  <w:style w:type="paragraph" w:styleId="Header">
    <w:name w:val="header"/>
    <w:basedOn w:val="Normal"/>
    <w:link w:val="HeaderChar"/>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uiPriority w:val="39"/>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rsid w:val="00A76CDC"/>
    <w:rPr>
      <w:color w:val="0000FF"/>
      <w:shd w:val="clear" w:color="auto" w:fill="auto"/>
    </w:rPr>
  </w:style>
  <w:style w:type="character" w:customStyle="1" w:styleId="Marker1">
    <w:name w:val="Marker1"/>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Sub-sub-itemapproved">
    <w:name w:val="Sub-sub-item approved"/>
    <w:basedOn w:val="Tiret0"/>
    <w:rsid w:val="00BB307D"/>
    <w:rPr>
      <w:b/>
      <w:bCs/>
    </w:rPr>
  </w:style>
  <w:style w:type="paragraph" w:customStyle="1" w:styleId="I">
    <w:name w:val="I"/>
    <w:basedOn w:val="Tiret0"/>
    <w:rsid w:val="00BB307D"/>
  </w:style>
  <w:style w:type="paragraph" w:styleId="BalloonText">
    <w:name w:val="Balloon Text"/>
    <w:basedOn w:val="Normal"/>
    <w:link w:val="BalloonTextChar"/>
    <w:uiPriority w:val="99"/>
    <w:semiHidden/>
    <w:unhideWhenUsed/>
    <w:rsid w:val="004C5EA8"/>
    <w:pPr>
      <w:spacing w:before="0" w:after="0"/>
    </w:pPr>
    <w:rPr>
      <w:rFonts w:ascii="Tahoma" w:hAnsi="Tahoma" w:cs="Tahoma"/>
      <w:sz w:val="16"/>
      <w:szCs w:val="16"/>
    </w:rPr>
  </w:style>
  <w:style w:type="character" w:customStyle="1" w:styleId="BalloonTextChar">
    <w:name w:val="Balloon Text Char"/>
    <w:link w:val="BalloonText"/>
    <w:uiPriority w:val="99"/>
    <w:semiHidden/>
    <w:rsid w:val="004C5EA8"/>
    <w:rPr>
      <w:rFonts w:ascii="Tahoma" w:hAnsi="Tahoma" w:cs="Tahoma"/>
      <w:sz w:val="16"/>
      <w:szCs w:val="16"/>
      <w:lang w:eastAsia="bg-BG"/>
    </w:rPr>
  </w:style>
  <w:style w:type="character" w:styleId="FollowedHyperlink">
    <w:name w:val="FollowedHyperlink"/>
    <w:uiPriority w:val="99"/>
    <w:semiHidden/>
    <w:unhideWhenUsed/>
    <w:rsid w:val="0082573C"/>
    <w:rPr>
      <w:color w:val="800080"/>
      <w:u w:val="single"/>
    </w:rPr>
  </w:style>
  <w:style w:type="character" w:customStyle="1" w:styleId="FooterChar">
    <w:name w:val="Footer Char"/>
    <w:link w:val="Footer"/>
    <w:rsid w:val="003E2E96"/>
    <w:rPr>
      <w:sz w:val="24"/>
      <w:szCs w:val="24"/>
    </w:rPr>
  </w:style>
  <w:style w:type="character" w:customStyle="1" w:styleId="HeaderChar">
    <w:name w:val="Header Char"/>
    <w:link w:val="Header"/>
    <w:rsid w:val="003E2E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0.xml"/><Relationship Id="rId21" Type="http://schemas.openxmlformats.org/officeDocument/2006/relationships/header" Target="header7.xml"/><Relationship Id="rId34" Type="http://schemas.openxmlformats.org/officeDocument/2006/relationships/hyperlink" Target="http://register.consilium.europa.eu/pdf/en/14/st16/st16228.en14.pdf" TargetMode="External"/><Relationship Id="rId42" Type="http://schemas.openxmlformats.org/officeDocument/2006/relationships/hyperlink" Target="http://register.consilium.europa.eu/pdf/bg/14/st14/st14425.bg14.pdf" TargetMode="External"/><Relationship Id="rId47" Type="http://schemas.openxmlformats.org/officeDocument/2006/relationships/hyperlink" Target="http://register.consilium.europa.eu/pdf/en/14/st15/st15103.en14.pdf" TargetMode="External"/><Relationship Id="rId50" Type="http://schemas.openxmlformats.org/officeDocument/2006/relationships/hyperlink" Target="http://register.consilium.europa.eu/pdf/bg/14/st15/st15041.bg14.pdf" TargetMode="External"/><Relationship Id="rId55"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register.consilium.europa.eu/pdf/bg/14/st16/st16115.bg14.pdf" TargetMode="External"/><Relationship Id="rId38" Type="http://schemas.openxmlformats.org/officeDocument/2006/relationships/header" Target="header11.xml"/><Relationship Id="rId46" Type="http://schemas.openxmlformats.org/officeDocument/2006/relationships/hyperlink" Target="http://register.consilium.europa.eu/pdf/bg/14/st16/st16435.bg14.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register.consilium.europa.eu/pdf/bg/14/st16/st16498.bg14.pdf" TargetMode="External"/><Relationship Id="rId41" Type="http://schemas.openxmlformats.org/officeDocument/2006/relationships/footer" Target="footer11.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register.consilium.europa.eu/pdf/en/14/st16/st16645.en14.pdf" TargetMode="External"/><Relationship Id="rId37" Type="http://schemas.openxmlformats.org/officeDocument/2006/relationships/hyperlink" Target="http://register.consilium.europa.eu/pdf/bg/14/st16/st16236.bg14.pdf" TargetMode="External"/><Relationship Id="rId40" Type="http://schemas.openxmlformats.org/officeDocument/2006/relationships/header" Target="header12.xml"/><Relationship Id="rId45" Type="http://schemas.openxmlformats.org/officeDocument/2006/relationships/hyperlink" Target="http://www.consilium.europa.eu/uedocs/cms_data/docs/pressdata/en/ecofin/146126.pdf" TargetMode="External"/><Relationship Id="rId53"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yperlink" Target="http://register.consilium.europa.eu/pdf/bg/14/st15/st15988.bg14.pdf" TargetMode="External"/><Relationship Id="rId49" Type="http://schemas.openxmlformats.org/officeDocument/2006/relationships/hyperlink" Target="http://www.consilium.europa.eu/uedocs/cms_data/docs/pressdata/en/ecofin/146078.pdf"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register.consilium.europa.eu/pdf/bg/13/st06/st06442.bg13.pdf" TargetMode="External"/><Relationship Id="rId44" Type="http://schemas.openxmlformats.org/officeDocument/2006/relationships/hyperlink" Target="http://register.consilium.europa.eu/pdf/bg/14/st15/st15995-ad01.bg14.pdf" TargetMode="External"/><Relationship Id="rId52"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yperlink" Target="http://register.consilium.europa.eu/pdf/en/13/st05/st05555.en13.pdf" TargetMode="External"/><Relationship Id="rId35" Type="http://schemas.openxmlformats.org/officeDocument/2006/relationships/hyperlink" Target="http://register.consilium.europa.eu/pdf/bg/14/st15/st15985.bg14.pdf" TargetMode="External"/><Relationship Id="rId43" Type="http://schemas.openxmlformats.org/officeDocument/2006/relationships/hyperlink" Target="http://register.consilium.europa.eu/pdf/bg/14/st15/st15985.bg14.pdf" TargetMode="External"/><Relationship Id="rId48" Type="http://schemas.openxmlformats.org/officeDocument/2006/relationships/hyperlink" Target="http://register.consilium.europa.eu/pdf/en/14/st16/st16154.en14.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register.consilium.europa.eu/pdf/bg/14/st15/st15077.bg14.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gister.consilium.europa.eu/pdf/en/13/st09/st09430.en13.pdf" TargetMode="External"/><Relationship Id="rId2" Type="http://schemas.openxmlformats.org/officeDocument/2006/relationships/hyperlink" Target="http://register.consilium.europa.eu/pdf/en/11/st16/st16446.en11.pdf" TargetMode="External"/><Relationship Id="rId1" Type="http://schemas.openxmlformats.org/officeDocument/2006/relationships/hyperlink" Target="http://register.consilium.europa.eu/pdf/en/14/st11/st11814.en14.pdf" TargetMode="External"/><Relationship Id="rId5" Type="http://schemas.openxmlformats.org/officeDocument/2006/relationships/hyperlink" Target="http://eur-lex.europa.eu/legal-content/EN/TXT/?uri=uriserv:OJ.L_.2005.070.01.0001.01.ENG" TargetMode="External"/><Relationship Id="rId4" Type="http://schemas.openxmlformats.org/officeDocument/2006/relationships/hyperlink" Target="http://www.eca.europa.eu/bg/Pages/AR_201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58C2-9F7A-4496-9109-E7E70935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0</TotalTime>
  <Pages>29</Pages>
  <Words>7547</Words>
  <Characters>45887</Characters>
  <Application>Microsoft Office Word</Application>
  <DocSecurity>0</DocSecurity>
  <Lines>899</Lines>
  <Paragraphs>407</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53027</CharactersWithSpaces>
  <SharedDoc>false</SharedDoc>
  <HLinks>
    <vt:vector size="12" baseType="variant">
      <vt:variant>
        <vt:i4>1114187</vt:i4>
      </vt:variant>
      <vt:variant>
        <vt:i4>6</vt:i4>
      </vt:variant>
      <vt:variant>
        <vt:i4>0</vt:i4>
      </vt:variant>
      <vt:variant>
        <vt:i4>5</vt:i4>
      </vt:variant>
      <vt:variant>
        <vt:lpwstr>http://www.consilium.europa.eu/press</vt:lpwstr>
      </vt:variant>
      <vt:variant>
        <vt:lpwstr/>
      </vt:variant>
      <vt:variant>
        <vt:i4>1769510</vt:i4>
      </vt:variant>
      <vt:variant>
        <vt:i4>3</vt:i4>
      </vt:variant>
      <vt:variant>
        <vt:i4>0</vt:i4>
      </vt:variant>
      <vt:variant>
        <vt:i4>5</vt:i4>
      </vt:variant>
      <vt:variant>
        <vt:lpwstr>mailto:press.office@consilium.europa.eu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STANKOVA Albena</dc:creator>
  <cp:lastModifiedBy>STANKOVA Albena</cp:lastModifiedBy>
  <cp:revision>2</cp:revision>
  <cp:lastPrinted>2015-01-28T10:28:00Z</cp:lastPrinted>
  <dcterms:created xsi:type="dcterms:W3CDTF">2015-02-05T10:44:00Z</dcterms:created>
  <dcterms:modified xsi:type="dcterms:W3CDTF">2015-02-05T10:44:00Z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3.2.5, Build 20141128</vt:lpwstr>
  </property>
  <property fmtid="{D5CDD505-2E9C-101B-9397-08002B2CF9AE}" pid="4" name="Last edited using">
    <vt:lpwstr>DocuWrite 3.4.3, Build 20150129</vt:lpwstr>
  </property>
</Properties>
</file>