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0" w:rsidRPr="00357FE0" w:rsidRDefault="005E1DD6" w:rsidP="00357FE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415de06-1e8e-44b4-b989-e2d7888e8d27" style="width:568.5pt;height:480pt">
            <v:imagedata r:id="rId8" o:title=""/>
          </v:shape>
        </w:pict>
      </w:r>
      <w:bookmarkEnd w:id="0"/>
    </w:p>
    <w:p w:rsidR="00730835" w:rsidRDefault="00730835" w:rsidP="00E77498">
      <w:pPr>
        <w:outlineLvl w:val="0"/>
        <w:rPr>
          <w:rFonts w:eastAsia="Calibri" w:cs="Arial"/>
          <w:b/>
          <w:u w:val="single"/>
          <w:lang w:val="en-US"/>
        </w:rPr>
      </w:pPr>
    </w:p>
    <w:p w:rsidR="00740A70" w:rsidRPr="00707628" w:rsidRDefault="00740A70" w:rsidP="00E77498">
      <w:pPr>
        <w:outlineLvl w:val="0"/>
        <w:rPr>
          <w:rFonts w:eastAsia="Calibri" w:cs="Arial"/>
          <w:b/>
          <w:u w:val="single"/>
          <w:lang w:val="en-US"/>
        </w:rPr>
      </w:pPr>
      <w:r w:rsidRPr="00707628">
        <w:rPr>
          <w:rFonts w:eastAsia="Calibri" w:cs="Arial"/>
          <w:b/>
          <w:u w:val="single"/>
          <w:lang w:val="en-US"/>
        </w:rPr>
        <w:t xml:space="preserve">MEETING ON </w:t>
      </w:r>
      <w:r>
        <w:rPr>
          <w:rFonts w:eastAsia="Calibri" w:cs="Arial"/>
          <w:b/>
          <w:u w:val="single"/>
          <w:lang w:val="en-US"/>
        </w:rPr>
        <w:t xml:space="preserve">MONDAY </w:t>
      </w:r>
      <w:r w:rsidR="00E77498">
        <w:rPr>
          <w:rFonts w:eastAsia="Calibri" w:cs="Arial"/>
          <w:b/>
          <w:u w:val="single"/>
          <w:lang w:val="en-US"/>
        </w:rPr>
        <w:t>2</w:t>
      </w:r>
      <w:r>
        <w:rPr>
          <w:rFonts w:eastAsia="Calibri" w:cs="Arial"/>
          <w:b/>
          <w:u w:val="single"/>
          <w:lang w:val="en-US"/>
        </w:rPr>
        <w:t xml:space="preserve"> MARCH</w:t>
      </w:r>
      <w:r w:rsidRPr="00707628">
        <w:rPr>
          <w:rFonts w:eastAsia="Calibri" w:cs="Arial"/>
          <w:b/>
          <w:u w:val="single"/>
          <w:lang w:val="en-US"/>
        </w:rPr>
        <w:t xml:space="preserve"> 201</w:t>
      </w:r>
      <w:r>
        <w:rPr>
          <w:rFonts w:eastAsia="Calibri" w:cs="Arial"/>
          <w:b/>
          <w:u w:val="single"/>
          <w:lang w:val="en-US"/>
        </w:rPr>
        <w:t>5 (10:00)</w:t>
      </w:r>
    </w:p>
    <w:p w:rsidR="00740A70" w:rsidRDefault="00740A70" w:rsidP="00740A70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  <w:lang w:val="en-US"/>
        </w:rPr>
      </w:pPr>
    </w:p>
    <w:p w:rsidR="00740A70" w:rsidRPr="00707628" w:rsidRDefault="00740A70" w:rsidP="00740A70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  <w:lang w:val="en-US"/>
        </w:rPr>
      </w:pPr>
    </w:p>
    <w:p w:rsidR="00740A70" w:rsidRPr="00707628" w:rsidRDefault="00740A70" w:rsidP="00740A70">
      <w:pPr>
        <w:pStyle w:val="PointManual"/>
        <w:spacing w:before="0"/>
        <w:rPr>
          <w:rFonts w:eastAsia="Calibri"/>
          <w:lang w:val="en-US"/>
        </w:rPr>
      </w:pPr>
      <w:r w:rsidRPr="00707628">
        <w:rPr>
          <w:rFonts w:eastAsia="Calibri"/>
          <w:lang w:val="en-US"/>
        </w:rPr>
        <w:t>1.</w:t>
      </w:r>
      <w:r w:rsidRPr="00707628">
        <w:rPr>
          <w:rFonts w:eastAsia="Calibri"/>
          <w:lang w:val="en-US"/>
        </w:rPr>
        <w:tab/>
        <w:t>Adoption of the provisional agenda</w:t>
      </w:r>
    </w:p>
    <w:p w:rsidR="00740A70" w:rsidRDefault="00740A70" w:rsidP="00740A70">
      <w:pPr>
        <w:jc w:val="both"/>
        <w:rPr>
          <w:rFonts w:eastAsia="Calibri" w:cs="Arial"/>
          <w:szCs w:val="22"/>
          <w:lang w:val="en-US"/>
        </w:rPr>
      </w:pPr>
    </w:p>
    <w:p w:rsidR="00740A70" w:rsidRPr="002F04B4" w:rsidRDefault="00740A70" w:rsidP="00740A70">
      <w:pPr>
        <w:jc w:val="both"/>
        <w:rPr>
          <w:rFonts w:eastAsia="Calibri" w:cs="Arial"/>
          <w:szCs w:val="22"/>
          <w:lang w:val="en-US"/>
        </w:rPr>
      </w:pPr>
    </w:p>
    <w:p w:rsidR="00740A70" w:rsidRPr="003D520E" w:rsidRDefault="00740A70" w:rsidP="00740A70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3D520E">
        <w:rPr>
          <w:rFonts w:eastAsia="Calibri" w:cs="Arial"/>
          <w:b/>
          <w:bCs/>
          <w:color w:val="000000"/>
          <w:szCs w:val="22"/>
          <w:u w:val="single"/>
        </w:rPr>
        <w:t>Legislative deliberations</w:t>
      </w:r>
    </w:p>
    <w:p w:rsidR="00740A70" w:rsidRPr="003D520E" w:rsidRDefault="00740A70" w:rsidP="00740A70">
      <w:pPr>
        <w:rPr>
          <w:rFonts w:eastAsia="Calibri" w:cs="Arial"/>
          <w:b/>
          <w:bCs/>
          <w:color w:val="000000"/>
          <w:szCs w:val="22"/>
        </w:rPr>
      </w:pPr>
      <w:r w:rsidRPr="003D520E">
        <w:rPr>
          <w:rFonts w:eastAsia="Calibri" w:cs="Arial"/>
          <w:b/>
          <w:szCs w:val="22"/>
        </w:rPr>
        <w:t>(Public deliberation in accordance with Article 16(8) of the Treaty on European Union)</w:t>
      </w:r>
    </w:p>
    <w:p w:rsidR="00740A70" w:rsidRPr="002F04B4" w:rsidRDefault="00740A70" w:rsidP="00740A70">
      <w:pPr>
        <w:rPr>
          <w:rFonts w:eastAsia="Calibri" w:cs="Arial"/>
          <w:color w:val="000000"/>
          <w:szCs w:val="22"/>
        </w:rPr>
      </w:pPr>
    </w:p>
    <w:p w:rsidR="00740A70" w:rsidRPr="003D520E" w:rsidRDefault="00E77498" w:rsidP="00740A70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2</w:t>
      </w:r>
      <w:r w:rsidR="00740A70" w:rsidRPr="003D520E">
        <w:rPr>
          <w:rFonts w:eastAsia="Calibri"/>
        </w:rPr>
        <w:t>.</w:t>
      </w:r>
      <w:r w:rsidR="00740A70" w:rsidRPr="003D520E">
        <w:rPr>
          <w:rFonts w:eastAsia="Calibri"/>
        </w:rPr>
        <w:tab/>
        <w:t>(poss.) Approval of the list of "A" items</w:t>
      </w:r>
    </w:p>
    <w:p w:rsidR="005D18CB" w:rsidRDefault="005D18CB" w:rsidP="00E7749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3232CF" w:rsidRDefault="003232CF" w:rsidP="00E7749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E77498" w:rsidRPr="003D520E" w:rsidRDefault="00E77498" w:rsidP="00E7749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3D520E">
        <w:rPr>
          <w:rFonts w:eastAsia="Calibri" w:cs="Arial"/>
          <w:b/>
          <w:bCs/>
          <w:color w:val="000000"/>
          <w:szCs w:val="22"/>
          <w:u w:val="single"/>
        </w:rPr>
        <w:t>Non-legislative activities</w:t>
      </w:r>
    </w:p>
    <w:p w:rsidR="00E77498" w:rsidRPr="0017316E" w:rsidRDefault="00E77498" w:rsidP="00E77498">
      <w:pPr>
        <w:rPr>
          <w:rFonts w:eastAsia="Calibri" w:cs="Arial"/>
          <w:color w:val="000000"/>
          <w:szCs w:val="22"/>
          <w:highlight w:val="yellow"/>
        </w:rPr>
      </w:pPr>
    </w:p>
    <w:p w:rsidR="00E77498" w:rsidRPr="003D520E" w:rsidRDefault="00E77498" w:rsidP="00E7749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3</w:t>
      </w:r>
      <w:r w:rsidRPr="003D520E">
        <w:rPr>
          <w:rFonts w:eastAsia="Calibri"/>
        </w:rPr>
        <w:t>.</w:t>
      </w:r>
      <w:r w:rsidRPr="003D520E">
        <w:rPr>
          <w:rFonts w:eastAsia="Calibri"/>
        </w:rPr>
        <w:tab/>
        <w:t>(poss.) Approval of the list of "A" items</w:t>
      </w:r>
    </w:p>
    <w:p w:rsidR="00B259BA" w:rsidRDefault="005D18CB" w:rsidP="00B259BA">
      <w:pPr>
        <w:rPr>
          <w:rFonts w:eastAsia="Calibri" w:cs="Arial"/>
          <w:color w:val="000000"/>
          <w:szCs w:val="22"/>
          <w:u w:val="single"/>
        </w:rPr>
      </w:pPr>
      <w:r>
        <w:rPr>
          <w:rFonts w:eastAsia="Calibri" w:cs="Arial"/>
          <w:color w:val="000000"/>
          <w:szCs w:val="22"/>
          <w:u w:val="single"/>
        </w:rPr>
        <w:br w:type="page"/>
      </w:r>
    </w:p>
    <w:p w:rsidR="00740A70" w:rsidRPr="0017316E" w:rsidRDefault="00740A70" w:rsidP="00B259BA">
      <w:pPr>
        <w:rPr>
          <w:rFonts w:eastAsia="Calibri" w:cs="Arial"/>
          <w:color w:val="000000"/>
          <w:szCs w:val="22"/>
        </w:rPr>
      </w:pPr>
      <w:r w:rsidRPr="0017316E">
        <w:rPr>
          <w:rFonts w:eastAsia="Calibri" w:cs="Arial"/>
          <w:color w:val="000000"/>
          <w:szCs w:val="22"/>
          <w:u w:val="single"/>
        </w:rPr>
        <w:t>INTERNAL MARKET AND INDUSTRY</w:t>
      </w:r>
    </w:p>
    <w:p w:rsidR="00740A70" w:rsidRDefault="00740A70" w:rsidP="00B259BA">
      <w:pPr>
        <w:pStyle w:val="PointManual"/>
        <w:spacing w:before="0"/>
        <w:rPr>
          <w:lang w:eastAsia="en-GB"/>
        </w:rPr>
      </w:pPr>
    </w:p>
    <w:p w:rsidR="00740A70" w:rsidRPr="00740A70" w:rsidRDefault="00740A70" w:rsidP="00E7749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4</w:t>
      </w:r>
      <w:r w:rsidRPr="00740A70">
        <w:rPr>
          <w:rFonts w:eastAsia="Calibri"/>
        </w:rPr>
        <w:t>.</w:t>
      </w:r>
      <w:r w:rsidRPr="00740A70">
        <w:rPr>
          <w:rFonts w:eastAsia="Calibri"/>
        </w:rPr>
        <w:tab/>
        <w:t xml:space="preserve">EU Single Market </w:t>
      </w:r>
    </w:p>
    <w:p w:rsidR="00740A70" w:rsidRPr="00A230C5" w:rsidRDefault="00740A70" w:rsidP="00E77498">
      <w:pPr>
        <w:pStyle w:val="Pointabc1"/>
      </w:pPr>
      <w:r w:rsidRPr="00A230C5">
        <w:t xml:space="preserve">Communication from the Commission on the Annual Growth Survey 2015 </w:t>
      </w:r>
    </w:p>
    <w:p w:rsidR="00740A70" w:rsidRDefault="00740A70" w:rsidP="00EA524D">
      <w:pPr>
        <w:pStyle w:val="Pointabc1"/>
      </w:pPr>
      <w:r w:rsidRPr="00A230C5">
        <w:t xml:space="preserve">The third pillar of the </w:t>
      </w:r>
      <w:r w:rsidR="00EA524D">
        <w:t>I</w:t>
      </w:r>
      <w:r w:rsidRPr="00A230C5">
        <w:t xml:space="preserve">nvestment </w:t>
      </w:r>
      <w:r w:rsidR="00EA524D">
        <w:t>P</w:t>
      </w:r>
      <w:r w:rsidRPr="00A230C5">
        <w:t xml:space="preserve">lan for Europe - </w:t>
      </w:r>
      <w:r>
        <w:t>i</w:t>
      </w:r>
      <w:r w:rsidRPr="00A230C5">
        <w:t>mproved investment environment</w:t>
      </w:r>
    </w:p>
    <w:p w:rsidR="00F95B52" w:rsidRDefault="00F95B52" w:rsidP="008E5C3B">
      <w:pPr>
        <w:pStyle w:val="Dash1"/>
      </w:pPr>
      <w:r>
        <w:t>Presentation by the Commission</w:t>
      </w:r>
    </w:p>
    <w:p w:rsidR="00740A70" w:rsidRDefault="00740A70" w:rsidP="008E5C3B">
      <w:pPr>
        <w:pStyle w:val="Dash1"/>
      </w:pPr>
      <w:r>
        <w:t>Policy debate</w:t>
      </w:r>
    </w:p>
    <w:p w:rsidR="00431667" w:rsidRDefault="00431667" w:rsidP="00431667">
      <w:pPr>
        <w:pStyle w:val="Text2"/>
      </w:pPr>
      <w:r w:rsidRPr="00431667">
        <w:rPr>
          <w:rFonts w:eastAsia="Calibri"/>
        </w:rPr>
        <w:t>15985</w:t>
      </w:r>
      <w:r w:rsidRPr="00431667">
        <w:t xml:space="preserve">/14 ECOFIN 1088 SOC 823 POLGEN 171 EMPL 177 EDUC 335 </w:t>
      </w:r>
      <w:r w:rsidRPr="00E20DC2">
        <w:t xml:space="preserve">ENV </w:t>
      </w:r>
      <w:r w:rsidRPr="00431667">
        <w:rPr>
          <w:rFonts w:eastAsia="Calibri"/>
        </w:rPr>
        <w:t>933</w:t>
      </w:r>
      <w:r>
        <w:t xml:space="preserve"> </w:t>
      </w:r>
    </w:p>
    <w:p w:rsidR="00431667" w:rsidRDefault="00431667" w:rsidP="00431667">
      <w:pPr>
        <w:pStyle w:val="Text4"/>
      </w:pPr>
      <w:r w:rsidRPr="00E20DC2">
        <w:t xml:space="preserve">RECH </w:t>
      </w:r>
      <w:r w:rsidRPr="00431667">
        <w:rPr>
          <w:rFonts w:eastAsia="Calibri"/>
        </w:rPr>
        <w:t>458</w:t>
      </w:r>
      <w:r>
        <w:t xml:space="preserve"> </w:t>
      </w:r>
      <w:r w:rsidRPr="00E20DC2">
        <w:t>ENER 479</w:t>
      </w:r>
      <w:r>
        <w:t xml:space="preserve"> </w:t>
      </w:r>
      <w:r w:rsidRPr="00E20DC2">
        <w:t>FISC 208</w:t>
      </w:r>
      <w:r>
        <w:t xml:space="preserve"> </w:t>
      </w:r>
      <w:r w:rsidRPr="00E20DC2">
        <w:t>TELECOM 221</w:t>
      </w:r>
    </w:p>
    <w:p w:rsidR="00431667" w:rsidRPr="00A230C5" w:rsidRDefault="00431667" w:rsidP="00431667">
      <w:pPr>
        <w:pStyle w:val="Text3"/>
        <w:rPr>
          <w:bCs/>
        </w:rPr>
      </w:pPr>
      <w:r>
        <w:t xml:space="preserve"> + REV 1 (cs)</w:t>
      </w:r>
    </w:p>
    <w:p w:rsidR="00F95B52" w:rsidRDefault="00F95B52" w:rsidP="00431667">
      <w:pPr>
        <w:pStyle w:val="PointManual"/>
        <w:spacing w:before="0"/>
      </w:pPr>
    </w:p>
    <w:p w:rsidR="00740A70" w:rsidRPr="00740A70" w:rsidRDefault="00740A70" w:rsidP="00740A70">
      <w:pPr>
        <w:pStyle w:val="Pointabc1"/>
      </w:pPr>
      <w:r w:rsidRPr="00740A70">
        <w:t>Draft Council conclusions</w:t>
      </w:r>
    </w:p>
    <w:p w:rsidR="00740A70" w:rsidRPr="00A230C5" w:rsidRDefault="00740A70" w:rsidP="00740A70">
      <w:pPr>
        <w:pStyle w:val="Dash2"/>
      </w:pPr>
      <w:r w:rsidRPr="00A230C5">
        <w:t xml:space="preserve">Adoption </w:t>
      </w:r>
    </w:p>
    <w:p w:rsidR="00740A70" w:rsidRDefault="00740A70" w:rsidP="00740A70">
      <w:pPr>
        <w:pStyle w:val="PointManual"/>
        <w:spacing w:before="0"/>
        <w:rPr>
          <w:rFonts w:eastAsia="Calibri"/>
        </w:rPr>
      </w:pPr>
    </w:p>
    <w:p w:rsidR="00740A70" w:rsidRDefault="00E77498" w:rsidP="00E77498">
      <w:pPr>
        <w:pStyle w:val="PointManual"/>
        <w:spacing w:before="0"/>
        <w:rPr>
          <w:rFonts w:eastAsia="Calibri"/>
        </w:rPr>
      </w:pPr>
      <w:r>
        <w:rPr>
          <w:rFonts w:eastAsia="Calibri"/>
        </w:rPr>
        <w:t>5</w:t>
      </w:r>
      <w:r w:rsidR="00740A70" w:rsidRPr="00740A70">
        <w:rPr>
          <w:rFonts w:eastAsia="Calibri"/>
        </w:rPr>
        <w:t>.</w:t>
      </w:r>
      <w:r w:rsidR="00740A70" w:rsidRPr="00740A70">
        <w:rPr>
          <w:rFonts w:eastAsia="Calibri"/>
        </w:rPr>
        <w:tab/>
        <w:t xml:space="preserve">EU Industrial Competitiveness </w:t>
      </w:r>
    </w:p>
    <w:p w:rsidR="00740A70" w:rsidRDefault="00740A70" w:rsidP="00E77498">
      <w:pPr>
        <w:pStyle w:val="Pointabc1"/>
        <w:numPr>
          <w:ilvl w:val="3"/>
          <w:numId w:val="32"/>
        </w:numPr>
      </w:pPr>
      <w:r w:rsidRPr="00D76892">
        <w:t xml:space="preserve">Communication from the Commission on </w:t>
      </w:r>
      <w:r>
        <w:t>the Annual Growth Survey 2015</w:t>
      </w:r>
    </w:p>
    <w:p w:rsidR="00740A70" w:rsidRDefault="00740A70" w:rsidP="00E77498">
      <w:pPr>
        <w:pStyle w:val="Pointabc1"/>
      </w:pPr>
      <w:r w:rsidRPr="00D76892">
        <w:t>Industrial</w:t>
      </w:r>
      <w:r w:rsidRPr="00037C90">
        <w:t xml:space="preserve"> policy within future Digital Single Market strategy</w:t>
      </w:r>
    </w:p>
    <w:p w:rsidR="00F95B52" w:rsidRPr="00037C90" w:rsidRDefault="00F95B52" w:rsidP="008E5C3B">
      <w:pPr>
        <w:pStyle w:val="Dash1"/>
      </w:pPr>
      <w:r>
        <w:t>Presentation by the Commission</w:t>
      </w:r>
    </w:p>
    <w:p w:rsidR="00740A70" w:rsidRDefault="00740A70" w:rsidP="008E5C3B">
      <w:pPr>
        <w:pStyle w:val="Dash1"/>
      </w:pPr>
      <w:r w:rsidRPr="00D76892">
        <w:t>Policy debate</w:t>
      </w:r>
    </w:p>
    <w:p w:rsidR="008E5C3B" w:rsidRDefault="00F13D70" w:rsidP="008E5C3B">
      <w:pPr>
        <w:pStyle w:val="Text2"/>
        <w:rPr>
          <w:rFonts w:eastAsia="Calibri"/>
        </w:rPr>
      </w:pPr>
      <w:r w:rsidRPr="00F13D70">
        <w:rPr>
          <w:rFonts w:eastAsia="Calibri"/>
        </w:rPr>
        <w:t>15985/14 ECOFIN 1088 SOC 823 POLGEN 171 EMPL 177 EDUC 335 ENV 933</w:t>
      </w:r>
    </w:p>
    <w:p w:rsidR="001E3F22" w:rsidRDefault="00F13D70" w:rsidP="008E5C3B">
      <w:pPr>
        <w:pStyle w:val="Text4"/>
        <w:rPr>
          <w:rFonts w:eastAsia="Calibri"/>
        </w:rPr>
      </w:pPr>
      <w:r w:rsidRPr="00F13D70">
        <w:rPr>
          <w:rFonts w:eastAsia="Calibri"/>
        </w:rPr>
        <w:t>RECH 458 ENER 479 FISC 208 TELECOM 221</w:t>
      </w:r>
    </w:p>
    <w:p w:rsidR="00F13D70" w:rsidRPr="00F13D70" w:rsidRDefault="00F13D70" w:rsidP="008E5C3B">
      <w:pPr>
        <w:pStyle w:val="Text3"/>
        <w:rPr>
          <w:rFonts w:eastAsia="Calibri"/>
        </w:rPr>
      </w:pPr>
      <w:r w:rsidRPr="00F13D70">
        <w:rPr>
          <w:rFonts w:eastAsia="Calibri"/>
        </w:rPr>
        <w:t>+ REV 1 (</w:t>
      </w:r>
      <w:r w:rsidR="00BD06FD" w:rsidRPr="00F13D70">
        <w:rPr>
          <w:rFonts w:eastAsia="Calibri"/>
        </w:rPr>
        <w:t>cs</w:t>
      </w:r>
      <w:r w:rsidRPr="00F13D70">
        <w:rPr>
          <w:rFonts w:eastAsia="Calibri"/>
        </w:rPr>
        <w:t>)</w:t>
      </w:r>
    </w:p>
    <w:p w:rsidR="00E77498" w:rsidRDefault="00E77498" w:rsidP="00730835">
      <w:pPr>
        <w:pStyle w:val="PointManual"/>
        <w:spacing w:before="0"/>
        <w:rPr>
          <w:rFonts w:eastAsia="Calibri"/>
        </w:rPr>
      </w:pPr>
    </w:p>
    <w:p w:rsidR="00B259BA" w:rsidRDefault="00B259BA" w:rsidP="00730835">
      <w:pPr>
        <w:pStyle w:val="PointManual"/>
        <w:spacing w:before="0"/>
        <w:rPr>
          <w:rFonts w:eastAsia="Calibri"/>
        </w:rPr>
      </w:pPr>
    </w:p>
    <w:p w:rsidR="00E77498" w:rsidRPr="00B259BA" w:rsidRDefault="00E77498" w:rsidP="00E77498">
      <w:pPr>
        <w:rPr>
          <w:b/>
          <w:bCs/>
          <w:color w:val="000000"/>
          <w:u w:val="single"/>
        </w:rPr>
      </w:pPr>
      <w:r w:rsidRPr="00B259BA">
        <w:rPr>
          <w:b/>
          <w:bCs/>
          <w:color w:val="000000"/>
          <w:u w:val="single"/>
        </w:rPr>
        <w:t>Any other business</w:t>
      </w:r>
    </w:p>
    <w:p w:rsidR="00E77498" w:rsidRPr="005101E7" w:rsidRDefault="00E77498" w:rsidP="00E77498">
      <w:pPr>
        <w:rPr>
          <w:b/>
          <w:bCs/>
          <w:iCs/>
          <w:color w:val="000000"/>
        </w:rPr>
      </w:pPr>
    </w:p>
    <w:p w:rsidR="00E77498" w:rsidRDefault="005A73E5" w:rsidP="00E77498">
      <w:pPr>
        <w:rPr>
          <w:u w:val="single"/>
        </w:rPr>
      </w:pPr>
      <w:r>
        <w:rPr>
          <w:iCs/>
          <w:color w:val="000000"/>
        </w:rPr>
        <w:t>6</w:t>
      </w:r>
      <w:r w:rsidR="00E77498" w:rsidRPr="007F085E">
        <w:rPr>
          <w:iCs/>
          <w:color w:val="000000"/>
        </w:rPr>
        <w:t>.</w:t>
      </w:r>
      <w:r w:rsidR="00E77498" w:rsidRPr="007F085E">
        <w:rPr>
          <w:iCs/>
          <w:color w:val="000000"/>
        </w:rPr>
        <w:tab/>
      </w:r>
      <w:r w:rsidR="00E77498" w:rsidRPr="000A4AF5">
        <w:rPr>
          <w:u w:val="single"/>
        </w:rPr>
        <w:t>Internal Market and Industry</w:t>
      </w:r>
    </w:p>
    <w:p w:rsidR="00E77498" w:rsidRDefault="00E77498" w:rsidP="00E77498">
      <w:pPr>
        <w:rPr>
          <w:b/>
          <w:bCs/>
          <w:iCs/>
          <w:color w:val="000000"/>
        </w:rPr>
      </w:pPr>
    </w:p>
    <w:p w:rsidR="00E77498" w:rsidRPr="007F085E" w:rsidRDefault="00E77498" w:rsidP="00E77498">
      <w:pPr>
        <w:rPr>
          <w:iCs/>
          <w:color w:val="000000"/>
        </w:rPr>
      </w:pPr>
      <w:r>
        <w:rPr>
          <w:b/>
          <w:bCs/>
          <w:iCs/>
          <w:color w:val="000000"/>
        </w:rPr>
        <w:tab/>
      </w:r>
      <w:r w:rsidRPr="007F085E">
        <w:rPr>
          <w:iCs/>
          <w:color w:val="000000"/>
        </w:rPr>
        <w:t>a)</w:t>
      </w:r>
      <w:r w:rsidRPr="007F085E">
        <w:rPr>
          <w:iCs/>
          <w:color w:val="000000"/>
        </w:rPr>
        <w:tab/>
      </w:r>
      <w:r w:rsidR="008E5C3B">
        <w:rPr>
          <w:iCs/>
          <w:color w:val="000000"/>
        </w:rPr>
        <w:t xml:space="preserve">(poss.) </w:t>
      </w:r>
      <w:r w:rsidRPr="007F085E">
        <w:rPr>
          <w:iCs/>
          <w:color w:val="000000"/>
          <w:u w:val="single"/>
        </w:rPr>
        <w:t>Current legislative proposal</w:t>
      </w:r>
    </w:p>
    <w:p w:rsidR="00E77498" w:rsidRPr="007F085E" w:rsidRDefault="00E77498" w:rsidP="00E77498">
      <w:pPr>
        <w:ind w:left="1134" w:hanging="567"/>
        <w:rPr>
          <w:color w:val="000000"/>
        </w:rPr>
      </w:pPr>
      <w:r>
        <w:rPr>
          <w:b/>
          <w:bCs/>
          <w:color w:val="000000"/>
        </w:rPr>
        <w:tab/>
      </w:r>
      <w:r w:rsidRPr="007F085E">
        <w:rPr>
          <w:color w:val="000000"/>
        </w:rPr>
        <w:t>(Public deliberation in accordance with Article 16(8) of the Treaty on European Union)</w:t>
      </w:r>
    </w:p>
    <w:p w:rsidR="00E77498" w:rsidRPr="005101E7" w:rsidRDefault="00E77498" w:rsidP="00E77498">
      <w:pPr>
        <w:rPr>
          <w:b/>
        </w:rPr>
      </w:pPr>
    </w:p>
    <w:p w:rsidR="00E77498" w:rsidRPr="00141527" w:rsidRDefault="00E77498" w:rsidP="00B46DA0">
      <w:pPr>
        <w:pStyle w:val="Bullet2"/>
        <w:rPr>
          <w:b/>
        </w:rPr>
      </w:pPr>
      <w:r w:rsidRPr="008E5C3B">
        <w:t>Revision of the European Trade Mark</w:t>
      </w:r>
      <w:r w:rsidR="00EA524D" w:rsidRPr="008E5C3B">
        <w:t xml:space="preserve"> System</w:t>
      </w:r>
      <w:r w:rsidRPr="00141527">
        <w:rPr>
          <w:iCs/>
        </w:rPr>
        <w:t xml:space="preserve"> </w:t>
      </w:r>
      <w:r w:rsidRPr="00E77498">
        <w:rPr>
          <w:b/>
        </w:rPr>
        <w:t>(First reading)</w:t>
      </w:r>
    </w:p>
    <w:p w:rsidR="00730835" w:rsidRDefault="00730835" w:rsidP="00730835">
      <w:pPr>
        <w:pStyle w:val="PointManual1"/>
        <w:ind w:left="1701"/>
      </w:pPr>
      <w:r>
        <w:t>i</w:t>
      </w:r>
      <w:r w:rsidR="005D18CB">
        <w:t>)</w:t>
      </w:r>
      <w:r w:rsidR="00E77498" w:rsidRPr="00141527">
        <w:tab/>
        <w:t>Proposal for a Regulation of the European Parliament and of the Council amending Council Regulation (EC) No 207/2009 on the Community trade mark Interinstitutional file: 2013/0088 (COD)</w:t>
      </w:r>
    </w:p>
    <w:p w:rsidR="00E77498" w:rsidRPr="005101E7" w:rsidRDefault="00730835" w:rsidP="00730835">
      <w:pPr>
        <w:pStyle w:val="PointManual1"/>
        <w:ind w:left="1701"/>
      </w:pPr>
      <w:r>
        <w:t>ii</w:t>
      </w:r>
      <w:r w:rsidR="005D18CB">
        <w:t>)</w:t>
      </w:r>
      <w:r w:rsidR="00E77498" w:rsidRPr="00141527">
        <w:tab/>
        <w:t xml:space="preserve">Proposal for a Directive of the European Parliament and of the Council to approximate the laws of the Member States relating to trade marks (Recast) </w:t>
      </w:r>
      <w:r w:rsidR="00E77498" w:rsidRPr="005101E7">
        <w:t>Interinstitutional file: 2013/0089 (COD)</w:t>
      </w:r>
    </w:p>
    <w:p w:rsidR="00E77498" w:rsidRPr="00E77498" w:rsidRDefault="00E77498" w:rsidP="00800B14">
      <w:pPr>
        <w:pStyle w:val="Dash2"/>
      </w:pPr>
      <w:r w:rsidRPr="00E77498">
        <w:t>Information from the Presidency</w:t>
      </w:r>
    </w:p>
    <w:p w:rsidR="00E77498" w:rsidRPr="007F085E" w:rsidRDefault="00E77498" w:rsidP="00E77498">
      <w:pPr>
        <w:pStyle w:val="PointManual"/>
        <w:ind w:left="1134"/>
        <w:rPr>
          <w:b/>
          <w:bCs/>
          <w:i/>
        </w:rPr>
      </w:pPr>
      <w:r w:rsidRPr="007F085E">
        <w:t>b)</w:t>
      </w:r>
      <w:r w:rsidRPr="007F085E">
        <w:tab/>
        <w:t>Update on public consultation on Small Business Act - with a view to the future SMEs policy</w:t>
      </w:r>
    </w:p>
    <w:p w:rsidR="00E77498" w:rsidRPr="005101E7" w:rsidRDefault="00E77498" w:rsidP="00E77498">
      <w:pPr>
        <w:pStyle w:val="Dash2"/>
        <w:rPr>
          <w:b/>
        </w:rPr>
      </w:pPr>
      <w:r w:rsidRPr="005101E7">
        <w:t>Presentation by the Commission</w:t>
      </w:r>
    </w:p>
    <w:p w:rsidR="00E77498" w:rsidRDefault="00B259BA" w:rsidP="00E77498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E77498" w:rsidRPr="00DF3C58" w:rsidRDefault="00E77498" w:rsidP="00E77498">
      <w:pPr>
        <w:suppressAutoHyphens/>
        <w:ind w:firstLine="544"/>
        <w:rPr>
          <w:color w:val="000000"/>
        </w:rPr>
      </w:pPr>
      <w:r w:rsidRPr="00DF3C58">
        <w:rPr>
          <w:color w:val="000000"/>
        </w:rPr>
        <w:t>c)</w:t>
      </w:r>
      <w:r w:rsidRPr="00DF3C58">
        <w:rPr>
          <w:color w:val="000000"/>
        </w:rPr>
        <w:tab/>
        <w:t>Energy Union</w:t>
      </w:r>
    </w:p>
    <w:p w:rsidR="00E77498" w:rsidRDefault="00E77498" w:rsidP="00E77498">
      <w:pPr>
        <w:pStyle w:val="Dash2"/>
      </w:pPr>
      <w:r w:rsidRPr="00E77498">
        <w:t>Information from the Commission</w:t>
      </w:r>
    </w:p>
    <w:p w:rsidR="00E77498" w:rsidRDefault="00E77498" w:rsidP="00E77498">
      <w:pPr>
        <w:rPr>
          <w:bCs/>
          <w:iCs/>
          <w:color w:val="000000"/>
        </w:rPr>
      </w:pPr>
    </w:p>
    <w:p w:rsidR="00E77498" w:rsidRPr="008E5C3B" w:rsidRDefault="00E77498" w:rsidP="00E77498">
      <w:r>
        <w:tab/>
      </w:r>
      <w:r w:rsidRPr="008E5C3B">
        <w:t>d)</w:t>
      </w:r>
      <w:r w:rsidRPr="008E5C3B">
        <w:tab/>
        <w:t>Results of the Frontrunners projects to improve the Single Market</w:t>
      </w:r>
    </w:p>
    <w:p w:rsidR="00E77498" w:rsidRPr="008E5C3B" w:rsidRDefault="00E77498" w:rsidP="00CD17B9">
      <w:pPr>
        <w:pStyle w:val="Dash2"/>
      </w:pPr>
      <w:r w:rsidRPr="008E5C3B">
        <w:t xml:space="preserve">Information from the </w:t>
      </w:r>
      <w:r w:rsidR="00B943FC" w:rsidRPr="008E5C3B">
        <w:t xml:space="preserve">Danish, Netherlands, </w:t>
      </w:r>
      <w:r w:rsidRPr="008E5C3B">
        <w:t>Swedish,</w:t>
      </w:r>
      <w:r w:rsidR="00B943FC" w:rsidRPr="008E5C3B">
        <w:t xml:space="preserve"> and </w:t>
      </w:r>
      <w:r w:rsidRPr="008E5C3B">
        <w:t>United Kingdom</w:t>
      </w:r>
      <w:r w:rsidR="00CD17B9">
        <w:t xml:space="preserve"> </w:t>
      </w:r>
      <w:r w:rsidRPr="008E5C3B">
        <w:t>delegations</w:t>
      </w:r>
    </w:p>
    <w:p w:rsidR="00E77498" w:rsidRPr="008E5C3B" w:rsidRDefault="00E77498" w:rsidP="00E77498"/>
    <w:p w:rsidR="00E77498" w:rsidRPr="008E5C3B" w:rsidRDefault="00E77498" w:rsidP="00E77498">
      <w:r w:rsidRPr="008E5C3B">
        <w:tab/>
        <w:t>e)</w:t>
      </w:r>
      <w:r w:rsidRPr="008E5C3B">
        <w:tab/>
        <w:t>Developments regarding the transparency requirements in the Accounting Directive</w:t>
      </w:r>
    </w:p>
    <w:p w:rsidR="00E77498" w:rsidRPr="008E5C3B" w:rsidRDefault="00E77498" w:rsidP="00E77498">
      <w:pPr>
        <w:pStyle w:val="Dash2"/>
      </w:pPr>
      <w:r w:rsidRPr="008E5C3B">
        <w:t>Information from the Netherlands delegation</w:t>
      </w:r>
    </w:p>
    <w:p w:rsidR="00E77498" w:rsidRPr="008E5C3B" w:rsidRDefault="00E77498" w:rsidP="00E77498"/>
    <w:p w:rsidR="00E77498" w:rsidRPr="008E5C3B" w:rsidRDefault="00E77498" w:rsidP="00431667">
      <w:r w:rsidRPr="008E5C3B">
        <w:tab/>
        <w:t>f)</w:t>
      </w:r>
      <w:r w:rsidRPr="008E5C3B">
        <w:tab/>
      </w:r>
      <w:r w:rsidR="00431667">
        <w:t xml:space="preserve">Investment </w:t>
      </w:r>
      <w:r w:rsidRPr="008E5C3B">
        <w:t>Plan</w:t>
      </w:r>
      <w:r w:rsidR="00431667">
        <w:t xml:space="preserve"> for Europe</w:t>
      </w:r>
    </w:p>
    <w:p w:rsidR="00E77498" w:rsidRPr="008E5C3B" w:rsidRDefault="00B46DA0" w:rsidP="00E77498">
      <w:pPr>
        <w:pStyle w:val="Dash2"/>
      </w:pPr>
      <w:r>
        <w:t>Information from</w:t>
      </w:r>
      <w:r w:rsidR="00E77498" w:rsidRPr="008E5C3B">
        <w:t xml:space="preserve"> the French delegation</w:t>
      </w:r>
    </w:p>
    <w:p w:rsidR="00E77498" w:rsidRDefault="00E77498" w:rsidP="008E5C3B">
      <w:pPr>
        <w:suppressAutoHyphens/>
        <w:rPr>
          <w:b/>
          <w:bCs/>
          <w:color w:val="000000"/>
          <w:u w:val="single"/>
        </w:rPr>
      </w:pPr>
    </w:p>
    <w:p w:rsidR="008E5C3B" w:rsidRDefault="008E5C3B" w:rsidP="008E5C3B">
      <w:pPr>
        <w:suppressAutoHyphens/>
        <w:rPr>
          <w:b/>
          <w:bCs/>
          <w:color w:val="000000"/>
          <w:u w:val="single"/>
        </w:rPr>
      </w:pPr>
    </w:p>
    <w:p w:rsidR="008E5C3B" w:rsidRDefault="008E5C3B" w:rsidP="008E5C3B">
      <w:pPr>
        <w:suppressAutoHyphens/>
        <w:rPr>
          <w:b/>
          <w:bCs/>
          <w:color w:val="000000"/>
          <w:u w:val="single"/>
        </w:rPr>
      </w:pPr>
    </w:p>
    <w:p w:rsidR="008E5C3B" w:rsidRDefault="00B259BA" w:rsidP="008E5C3B">
      <w:pPr>
        <w:suppressAutoHyphens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E77498" w:rsidRDefault="00E77498" w:rsidP="00E77498">
      <w:pPr>
        <w:ind w:left="567" w:hanging="567"/>
        <w:jc w:val="both"/>
        <w:rPr>
          <w:rFonts w:eastAsia="Calibri" w:cs="Arial"/>
          <w:b/>
          <w:u w:val="single"/>
          <w:lang w:val="en-US"/>
        </w:rPr>
      </w:pPr>
      <w:r w:rsidRPr="00707628">
        <w:rPr>
          <w:rFonts w:eastAsia="Calibri" w:cs="Arial"/>
          <w:b/>
          <w:u w:val="single"/>
          <w:lang w:val="en-US"/>
        </w:rPr>
        <w:t xml:space="preserve">MEETING ON </w:t>
      </w:r>
      <w:r>
        <w:rPr>
          <w:rFonts w:eastAsia="Calibri" w:cs="Arial"/>
          <w:b/>
          <w:u w:val="single"/>
          <w:lang w:val="en-US"/>
        </w:rPr>
        <w:t>TUESDAY</w:t>
      </w:r>
      <w:r w:rsidRPr="00707628">
        <w:rPr>
          <w:rFonts w:eastAsia="Calibri" w:cs="Arial"/>
          <w:b/>
          <w:u w:val="single"/>
          <w:lang w:val="en-US"/>
        </w:rPr>
        <w:t xml:space="preserve"> </w:t>
      </w:r>
      <w:r>
        <w:rPr>
          <w:rFonts w:eastAsia="Calibri" w:cs="Arial"/>
          <w:b/>
          <w:u w:val="single"/>
          <w:lang w:val="en-US"/>
        </w:rPr>
        <w:t>3 MARCH 2015 (10:00)</w:t>
      </w:r>
    </w:p>
    <w:p w:rsidR="00E77498" w:rsidRDefault="00E77498" w:rsidP="00E77498">
      <w:pPr>
        <w:ind w:left="567" w:hanging="567"/>
        <w:jc w:val="both"/>
        <w:rPr>
          <w:rFonts w:eastAsia="Calibri" w:cs="Arial"/>
          <w:b/>
          <w:u w:val="single"/>
          <w:lang w:val="en-US"/>
        </w:rPr>
      </w:pPr>
    </w:p>
    <w:p w:rsidR="005E1DD6" w:rsidRDefault="005E1DD6" w:rsidP="00E77498">
      <w:pPr>
        <w:suppressAutoHyphens/>
        <w:rPr>
          <w:color w:val="000000"/>
          <w:u w:val="single"/>
        </w:rPr>
      </w:pPr>
    </w:p>
    <w:p w:rsidR="00E77498" w:rsidRPr="00E77498" w:rsidRDefault="00E77498" w:rsidP="00E77498">
      <w:pPr>
        <w:suppressAutoHyphens/>
        <w:rPr>
          <w:color w:val="000000"/>
          <w:u w:val="single"/>
        </w:rPr>
      </w:pPr>
      <w:r w:rsidRPr="00E77498">
        <w:rPr>
          <w:color w:val="000000"/>
          <w:u w:val="single"/>
        </w:rPr>
        <w:t>RESEARCH</w:t>
      </w:r>
    </w:p>
    <w:p w:rsidR="00E77498" w:rsidRPr="00E77498" w:rsidRDefault="00E77498" w:rsidP="00E77498">
      <w:pPr>
        <w:suppressAutoHyphens/>
        <w:rPr>
          <w:color w:val="000000"/>
          <w:u w:val="single"/>
        </w:rPr>
      </w:pPr>
    </w:p>
    <w:p w:rsidR="00E77498" w:rsidRPr="00B259BA" w:rsidRDefault="00E77498" w:rsidP="00E77498">
      <w:pPr>
        <w:rPr>
          <w:b/>
          <w:bCs/>
          <w:color w:val="000000"/>
          <w:u w:val="single"/>
        </w:rPr>
      </w:pPr>
      <w:r w:rsidRPr="00B259BA">
        <w:rPr>
          <w:b/>
          <w:bCs/>
          <w:color w:val="000000"/>
          <w:u w:val="single"/>
        </w:rPr>
        <w:t>Non-legislative activities</w:t>
      </w:r>
    </w:p>
    <w:p w:rsidR="00E77498" w:rsidRDefault="00E77498" w:rsidP="00E77498">
      <w:pPr>
        <w:tabs>
          <w:tab w:val="left" w:pos="567"/>
        </w:tabs>
        <w:ind w:left="567" w:hanging="567"/>
        <w:rPr>
          <w:color w:val="000000"/>
        </w:rPr>
      </w:pPr>
    </w:p>
    <w:p w:rsidR="005E1DD6" w:rsidRPr="00E77498" w:rsidRDefault="005E1DD6" w:rsidP="00E77498">
      <w:pPr>
        <w:tabs>
          <w:tab w:val="left" w:pos="567"/>
        </w:tabs>
        <w:ind w:left="567" w:hanging="567"/>
        <w:rPr>
          <w:color w:val="000000"/>
        </w:rPr>
      </w:pPr>
    </w:p>
    <w:p w:rsidR="00E77498" w:rsidRPr="00E77498" w:rsidRDefault="005A73E5" w:rsidP="00E77498">
      <w:pPr>
        <w:tabs>
          <w:tab w:val="left" w:pos="567"/>
        </w:tabs>
        <w:ind w:left="567" w:hanging="567"/>
        <w:rPr>
          <w:color w:val="000000"/>
        </w:rPr>
      </w:pPr>
      <w:r>
        <w:rPr>
          <w:color w:val="000000"/>
        </w:rPr>
        <w:t>7</w:t>
      </w:r>
      <w:r w:rsidR="00E77498" w:rsidRPr="00E77498">
        <w:rPr>
          <w:color w:val="000000"/>
        </w:rPr>
        <w:t>.</w:t>
      </w:r>
      <w:r w:rsidR="00E77498" w:rsidRPr="00E77498">
        <w:rPr>
          <w:color w:val="000000"/>
        </w:rPr>
        <w:tab/>
        <w:t>Creating mutually enhancing and sustainable interrelations between actions fostering Innovation and those unlocking Europe's potential for growth in the European Research Area</w:t>
      </w:r>
    </w:p>
    <w:p w:rsidR="00E77498" w:rsidRDefault="00E77498" w:rsidP="00CD17B9">
      <w:pPr>
        <w:pStyle w:val="Pointabc1"/>
        <w:numPr>
          <w:ilvl w:val="3"/>
          <w:numId w:val="36"/>
        </w:numPr>
      </w:pPr>
      <w:r w:rsidRPr="00E77498">
        <w:t xml:space="preserve">Communication from the Commission on the Annual Growth Survey </w:t>
      </w:r>
      <w:r w:rsidR="00B46DA0">
        <w:t>2015</w:t>
      </w:r>
    </w:p>
    <w:p w:rsidR="00E77498" w:rsidRPr="008E5C3B" w:rsidRDefault="00E77498" w:rsidP="00392D9D">
      <w:pPr>
        <w:pStyle w:val="Pointabc1"/>
      </w:pPr>
      <w:r w:rsidRPr="008E5C3B">
        <w:t xml:space="preserve">Investment </w:t>
      </w:r>
      <w:r w:rsidR="00392D9D" w:rsidRPr="008E5C3B">
        <w:t>P</w:t>
      </w:r>
      <w:r w:rsidRPr="008E5C3B">
        <w:t xml:space="preserve">lan </w:t>
      </w:r>
      <w:r w:rsidR="00392D9D" w:rsidRPr="008E5C3B">
        <w:t xml:space="preserve">for Europe </w:t>
      </w:r>
      <w:r w:rsidRPr="008E5C3B">
        <w:t xml:space="preserve">in </w:t>
      </w:r>
      <w:r w:rsidR="003232CF" w:rsidRPr="008E5C3B">
        <w:t xml:space="preserve">the </w:t>
      </w:r>
      <w:r w:rsidRPr="008E5C3B">
        <w:t xml:space="preserve">research and </w:t>
      </w:r>
      <w:r w:rsidR="00392D9D" w:rsidRPr="008E5C3B">
        <w:t xml:space="preserve">innovation </w:t>
      </w:r>
      <w:r w:rsidRPr="008E5C3B">
        <w:t>area</w:t>
      </w:r>
    </w:p>
    <w:p w:rsidR="00E77498" w:rsidRPr="00E77498" w:rsidRDefault="00E77498" w:rsidP="00E77498">
      <w:pPr>
        <w:pStyle w:val="Dash1"/>
      </w:pPr>
      <w:r w:rsidRPr="00E77498">
        <w:t>Presentation by the Commission</w:t>
      </w:r>
    </w:p>
    <w:p w:rsidR="00E77498" w:rsidRPr="00E77498" w:rsidRDefault="00E77498" w:rsidP="00E77498">
      <w:pPr>
        <w:pStyle w:val="Dash1"/>
      </w:pPr>
      <w:r w:rsidRPr="00E77498">
        <w:t>Policy debate</w:t>
      </w:r>
    </w:p>
    <w:p w:rsidR="00B46DA0" w:rsidRPr="00431667" w:rsidRDefault="00F13D70" w:rsidP="00730835">
      <w:pPr>
        <w:pStyle w:val="Text2"/>
        <w:rPr>
          <w:lang w:val="es-ES"/>
        </w:rPr>
      </w:pPr>
      <w:r w:rsidRPr="00431667">
        <w:rPr>
          <w:lang w:val="es-ES"/>
        </w:rPr>
        <w:t xml:space="preserve">15985/14 ECOFIN 1088 SOC 823 POLGEN 171 EMPL 177 EDUC 335 </w:t>
      </w:r>
    </w:p>
    <w:p w:rsidR="00100EDB" w:rsidRDefault="00F13D70" w:rsidP="00B46DA0">
      <w:pPr>
        <w:pStyle w:val="Text4"/>
      </w:pPr>
      <w:r w:rsidRPr="00F13D70">
        <w:t>ENV 933 RECH 458 ENER 479 FISC 208 TELECOM 221</w:t>
      </w:r>
    </w:p>
    <w:p w:rsidR="00F13D70" w:rsidRPr="00F13D70" w:rsidRDefault="00F13D70" w:rsidP="00100EDB">
      <w:pPr>
        <w:ind w:left="1701"/>
        <w:rPr>
          <w:color w:val="000000"/>
        </w:rPr>
      </w:pPr>
      <w:r w:rsidRPr="00F13D70">
        <w:rPr>
          <w:color w:val="000000"/>
        </w:rPr>
        <w:t>+ REV 1 (</w:t>
      </w:r>
      <w:r w:rsidR="00BD06FD" w:rsidRPr="00F13D70">
        <w:rPr>
          <w:color w:val="000000"/>
        </w:rPr>
        <w:t>cs</w:t>
      </w:r>
      <w:r w:rsidRPr="00F13D70">
        <w:rPr>
          <w:color w:val="000000"/>
        </w:rPr>
        <w:t>)</w:t>
      </w:r>
    </w:p>
    <w:p w:rsidR="00AC3188" w:rsidRPr="00E77498" w:rsidRDefault="00AC3188" w:rsidP="00B259BA">
      <w:pPr>
        <w:tabs>
          <w:tab w:val="left" w:pos="567"/>
        </w:tabs>
        <w:rPr>
          <w:color w:val="000000"/>
        </w:rPr>
      </w:pPr>
    </w:p>
    <w:p w:rsidR="00E77498" w:rsidRPr="00E77498" w:rsidRDefault="005A73E5" w:rsidP="00E77498">
      <w:pPr>
        <w:tabs>
          <w:tab w:val="left" w:pos="567"/>
        </w:tabs>
        <w:ind w:left="567" w:hanging="567"/>
      </w:pPr>
      <w:r>
        <w:t>8</w:t>
      </w:r>
      <w:r w:rsidR="00E77498" w:rsidRPr="00E77498">
        <w:t>.</w:t>
      </w:r>
      <w:r w:rsidR="00E77498" w:rsidRPr="00E77498">
        <w:tab/>
        <w:t>Unlocking Europe's digital potential: faster and wider innovation through open, networked and data-intensive research</w:t>
      </w:r>
    </w:p>
    <w:p w:rsidR="00E77498" w:rsidRPr="00E77498" w:rsidRDefault="00E77498" w:rsidP="00E265E7">
      <w:pPr>
        <w:ind w:left="1134" w:hanging="567"/>
      </w:pPr>
      <w:r w:rsidRPr="00E77498">
        <w:t xml:space="preserve">Communication from the Commission </w:t>
      </w:r>
      <w:r w:rsidR="00E265E7">
        <w:t>"</w:t>
      </w:r>
      <w:r w:rsidRPr="00E77498">
        <w:rPr>
          <w:lang w:val="lv-LV" w:eastAsia="lv-LV"/>
        </w:rPr>
        <w:t>Towards</w:t>
      </w:r>
      <w:r w:rsidR="00CD17B9">
        <w:rPr>
          <w:lang w:val="lv-LV" w:eastAsia="lv-LV"/>
        </w:rPr>
        <w:t xml:space="preserve"> a thriving data-driven economy</w:t>
      </w:r>
      <w:r w:rsidR="00E265E7">
        <w:rPr>
          <w:lang w:val="lv-LV" w:eastAsia="lv-LV"/>
        </w:rPr>
        <w:t>"</w:t>
      </w:r>
    </w:p>
    <w:p w:rsidR="00E77498" w:rsidRPr="00AC3188" w:rsidRDefault="00E77498" w:rsidP="00E77498">
      <w:pPr>
        <w:pStyle w:val="Dash1"/>
        <w:rPr>
          <w:strike/>
        </w:rPr>
      </w:pPr>
      <w:r w:rsidRPr="00E77498">
        <w:t>Policy debate</w:t>
      </w:r>
    </w:p>
    <w:p w:rsidR="00100EDB" w:rsidRDefault="00100EDB" w:rsidP="00730835">
      <w:pPr>
        <w:pStyle w:val="Text2"/>
      </w:pPr>
      <w:r w:rsidRPr="00F13D70">
        <w:t>11603/14 RECH 323 TELECOM 140 MI 521 DATAPROTECT 100 COMPET 440</w:t>
      </w:r>
      <w:r>
        <w:t xml:space="preserve"> </w:t>
      </w:r>
    </w:p>
    <w:p w:rsidR="00100EDB" w:rsidRDefault="00100EDB" w:rsidP="00730835">
      <w:pPr>
        <w:pStyle w:val="Text3"/>
      </w:pPr>
      <w:r w:rsidRPr="00F13D70">
        <w:t>+</w:t>
      </w:r>
      <w:r w:rsidR="00730835">
        <w:t xml:space="preserve"> C</w:t>
      </w:r>
      <w:r w:rsidRPr="00F13D70">
        <w:t>OR</w:t>
      </w:r>
      <w:r w:rsidR="00730835">
        <w:t xml:space="preserve"> </w:t>
      </w:r>
      <w:r w:rsidRPr="00F13D70">
        <w:t>1</w:t>
      </w:r>
    </w:p>
    <w:p w:rsidR="00B34C8D" w:rsidRDefault="00B34C8D" w:rsidP="00730835">
      <w:pPr>
        <w:pStyle w:val="Text3"/>
      </w:pPr>
      <w:r>
        <w:t>+ ADD 1</w:t>
      </w:r>
    </w:p>
    <w:p w:rsidR="00E77498" w:rsidRDefault="00E77498" w:rsidP="00E77498">
      <w:pPr>
        <w:tabs>
          <w:tab w:val="left" w:pos="567"/>
        </w:tabs>
        <w:rPr>
          <w:b/>
          <w:i/>
          <w:color w:val="000000"/>
        </w:rPr>
      </w:pPr>
    </w:p>
    <w:p w:rsidR="00B259BA" w:rsidRPr="00B259BA" w:rsidRDefault="00B259BA" w:rsidP="00E77498">
      <w:pPr>
        <w:tabs>
          <w:tab w:val="left" w:pos="567"/>
        </w:tabs>
        <w:rPr>
          <w:b/>
          <w:iCs/>
          <w:color w:val="000000"/>
        </w:rPr>
      </w:pPr>
    </w:p>
    <w:p w:rsidR="00E77498" w:rsidRPr="005E1DD6" w:rsidRDefault="00E77498" w:rsidP="00E77498">
      <w:pPr>
        <w:rPr>
          <w:b/>
          <w:bCs/>
          <w:iCs/>
          <w:color w:val="000000"/>
          <w:u w:val="single"/>
        </w:rPr>
      </w:pPr>
      <w:r w:rsidRPr="005E1DD6">
        <w:rPr>
          <w:b/>
          <w:bCs/>
          <w:iCs/>
          <w:color w:val="000000"/>
          <w:u w:val="single"/>
        </w:rPr>
        <w:t>Any other business</w:t>
      </w:r>
    </w:p>
    <w:p w:rsidR="00E77498" w:rsidRDefault="00E77498" w:rsidP="00E77498">
      <w:pPr>
        <w:tabs>
          <w:tab w:val="left" w:pos="567"/>
        </w:tabs>
        <w:rPr>
          <w:b/>
          <w:bCs/>
          <w:iCs/>
          <w:color w:val="000000"/>
        </w:rPr>
      </w:pPr>
    </w:p>
    <w:p w:rsidR="00E77498" w:rsidRPr="00141527" w:rsidRDefault="005A73E5" w:rsidP="005E1DD6">
      <w:pPr>
        <w:tabs>
          <w:tab w:val="left" w:pos="567"/>
        </w:tabs>
        <w:rPr>
          <w:iCs/>
          <w:color w:val="000000"/>
        </w:rPr>
      </w:pPr>
      <w:bookmarkStart w:id="1" w:name="_GoBack"/>
      <w:bookmarkEnd w:id="1"/>
      <w:r>
        <w:rPr>
          <w:iCs/>
          <w:color w:val="000000"/>
        </w:rPr>
        <w:t>9</w:t>
      </w:r>
      <w:r w:rsidR="00E77498" w:rsidRPr="007F085E">
        <w:rPr>
          <w:iCs/>
          <w:color w:val="000000"/>
        </w:rPr>
        <w:t>.</w:t>
      </w:r>
      <w:r w:rsidR="00E77498" w:rsidRPr="007F085E">
        <w:rPr>
          <w:iCs/>
          <w:color w:val="000000"/>
        </w:rPr>
        <w:tab/>
      </w:r>
      <w:r w:rsidR="00E77498" w:rsidRPr="00141527">
        <w:rPr>
          <w:iCs/>
          <w:color w:val="000000"/>
        </w:rPr>
        <w:t>a)</w:t>
      </w:r>
      <w:r w:rsidR="00E77498" w:rsidRPr="00141527">
        <w:rPr>
          <w:iCs/>
          <w:color w:val="000000"/>
        </w:rPr>
        <w:tab/>
        <w:t>European Research Area Roadmap and ERA-governance</w:t>
      </w:r>
      <w:r w:rsidR="00800B14">
        <w:rPr>
          <w:iCs/>
          <w:color w:val="000000"/>
        </w:rPr>
        <w:t>:</w:t>
      </w:r>
      <w:r w:rsidR="00E77498" w:rsidRPr="00141527">
        <w:rPr>
          <w:iCs/>
          <w:color w:val="000000"/>
        </w:rPr>
        <w:t xml:space="preserve"> state of play</w:t>
      </w:r>
    </w:p>
    <w:p w:rsidR="00E77498" w:rsidRPr="00141527" w:rsidRDefault="00E77498" w:rsidP="00E77498">
      <w:pPr>
        <w:pStyle w:val="Dash2"/>
        <w:rPr>
          <w:b/>
          <w:i/>
        </w:rPr>
      </w:pPr>
      <w:r w:rsidRPr="00141527">
        <w:t>Information from the Commission and the Presidency</w:t>
      </w:r>
    </w:p>
    <w:p w:rsidR="00E77498" w:rsidRPr="00141527" w:rsidRDefault="00E77498" w:rsidP="00E77498">
      <w:pPr>
        <w:tabs>
          <w:tab w:val="left" w:pos="567"/>
        </w:tabs>
        <w:rPr>
          <w:iCs/>
          <w:color w:val="000000"/>
        </w:rPr>
      </w:pPr>
    </w:p>
    <w:p w:rsidR="00E77498" w:rsidRPr="00141527" w:rsidRDefault="00E77498" w:rsidP="00B6099D">
      <w:pPr>
        <w:tabs>
          <w:tab w:val="left" w:pos="567"/>
        </w:tabs>
        <w:rPr>
          <w:color w:val="000000"/>
        </w:rPr>
      </w:pPr>
      <w:r w:rsidRPr="00141527">
        <w:rPr>
          <w:iCs/>
          <w:color w:val="000000"/>
        </w:rPr>
        <w:tab/>
        <w:t>b)</w:t>
      </w:r>
      <w:r w:rsidRPr="00141527">
        <w:rPr>
          <w:iCs/>
          <w:color w:val="000000"/>
        </w:rPr>
        <w:tab/>
      </w:r>
      <w:r w:rsidRPr="00141527">
        <w:rPr>
          <w:color w:val="000000"/>
        </w:rPr>
        <w:t>Science 2.0: outcome of the public consultation</w:t>
      </w:r>
    </w:p>
    <w:p w:rsidR="00E77498" w:rsidRPr="00141527" w:rsidRDefault="00E77498" w:rsidP="00E77498">
      <w:pPr>
        <w:pStyle w:val="Dash2"/>
        <w:rPr>
          <w:b/>
          <w:i/>
        </w:rPr>
      </w:pPr>
      <w:r w:rsidRPr="00141527">
        <w:t>Information from the Commission</w:t>
      </w:r>
    </w:p>
    <w:p w:rsidR="00E77498" w:rsidRPr="00141527" w:rsidRDefault="00E77498" w:rsidP="00E77498">
      <w:pPr>
        <w:tabs>
          <w:tab w:val="left" w:pos="567"/>
        </w:tabs>
        <w:rPr>
          <w:iCs/>
          <w:color w:val="000000"/>
        </w:rPr>
      </w:pPr>
    </w:p>
    <w:p w:rsidR="00E77498" w:rsidRPr="00141527" w:rsidRDefault="00E77498" w:rsidP="00EA524D">
      <w:pPr>
        <w:tabs>
          <w:tab w:val="left" w:pos="567"/>
        </w:tabs>
        <w:rPr>
          <w:color w:val="000000"/>
        </w:rPr>
      </w:pPr>
      <w:r w:rsidRPr="00141527">
        <w:rPr>
          <w:iCs/>
          <w:color w:val="000000"/>
        </w:rPr>
        <w:tab/>
        <w:t>c)</w:t>
      </w:r>
      <w:r w:rsidRPr="00141527">
        <w:rPr>
          <w:iCs/>
          <w:color w:val="000000"/>
        </w:rPr>
        <w:tab/>
      </w:r>
      <w:r w:rsidRPr="008E5C3B">
        <w:rPr>
          <w:iCs/>
          <w:color w:val="000000"/>
        </w:rPr>
        <w:t xml:space="preserve">BONUS </w:t>
      </w:r>
      <w:r w:rsidR="00EA524D" w:rsidRPr="008E5C3B">
        <w:rPr>
          <w:iCs/>
          <w:color w:val="000000"/>
        </w:rPr>
        <w:t xml:space="preserve">interim evaluation </w:t>
      </w:r>
      <w:r w:rsidRPr="008E5C3B">
        <w:rPr>
          <w:iCs/>
          <w:color w:val="000000"/>
        </w:rPr>
        <w:t>and way forward</w:t>
      </w:r>
    </w:p>
    <w:p w:rsidR="00E77498" w:rsidRPr="00141527" w:rsidRDefault="00E77498" w:rsidP="00E77498">
      <w:pPr>
        <w:pStyle w:val="Dash2"/>
        <w:rPr>
          <w:b/>
        </w:rPr>
      </w:pPr>
      <w:r w:rsidRPr="00141527">
        <w:t>Information from the Commission</w:t>
      </w:r>
    </w:p>
    <w:p w:rsidR="00E77498" w:rsidRPr="00AC3188" w:rsidRDefault="00E77498" w:rsidP="00E77498">
      <w:pPr>
        <w:pStyle w:val="Dash2"/>
        <w:rPr>
          <w:b/>
        </w:rPr>
      </w:pPr>
      <w:r w:rsidRPr="005101E7">
        <w:t>Information from the BONUS Secretariat</w:t>
      </w:r>
    </w:p>
    <w:p w:rsidR="00F13D70" w:rsidRDefault="00F13D70" w:rsidP="00730835">
      <w:pPr>
        <w:pStyle w:val="Text3"/>
      </w:pPr>
      <w:r>
        <w:t>5867/15 RECH 11 COMPET 25 ENV 36</w:t>
      </w:r>
    </w:p>
    <w:p w:rsidR="003232CF" w:rsidRDefault="003232CF" w:rsidP="00E77498">
      <w:pPr>
        <w:rPr>
          <w:b/>
          <w:bCs/>
          <w:iCs/>
        </w:rPr>
      </w:pPr>
    </w:p>
    <w:p w:rsidR="00E77498" w:rsidRPr="00A56C0A" w:rsidRDefault="00E77498" w:rsidP="00E77498">
      <w:pPr>
        <w:jc w:val="center"/>
      </w:pPr>
      <w:r w:rsidRPr="005101E7">
        <w:rPr>
          <w:i/>
          <w:iCs/>
        </w:rPr>
        <w:t>_______________________</w:t>
      </w:r>
    </w:p>
    <w:p w:rsidR="00B259BA" w:rsidRDefault="00B259BA" w:rsidP="00B259BA"/>
    <w:p w:rsidR="005E1DD6" w:rsidRDefault="005E1DD6" w:rsidP="00B259BA"/>
    <w:p w:rsidR="00E77498" w:rsidRPr="003D520E" w:rsidRDefault="00E77498" w:rsidP="00E77498">
      <w:pPr>
        <w:pStyle w:val="NB"/>
      </w:pPr>
      <w:r w:rsidRPr="003D520E">
        <w:t>NB:</w:t>
      </w:r>
      <w:r w:rsidRPr="003D520E">
        <w:tab/>
        <w:t>Please send the Conferences Division a list of your delegates to this meeting as soon as possible: E-mail address: confpart@consilium.europa.eu</w:t>
      </w:r>
    </w:p>
    <w:p w:rsidR="00E77498" w:rsidRPr="003D520E" w:rsidRDefault="00E77498" w:rsidP="00E77498">
      <w:pPr>
        <w:pStyle w:val="NB"/>
      </w:pPr>
      <w:r w:rsidRPr="003D520E">
        <w:t>NB:</w:t>
      </w:r>
      <w:r w:rsidRPr="003D520E">
        <w:tab/>
        <w:t>Delegates requiring day badges to attend meetings should consult document 14387/1/12 REV 1 on how to obtain them.</w:t>
      </w:r>
    </w:p>
    <w:sectPr w:rsidR="00E77498" w:rsidRPr="003D520E" w:rsidSect="00357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5" w:rsidRDefault="009C6B05" w:rsidP="009C6B05">
      <w:r>
        <w:separator/>
      </w:r>
    </w:p>
  </w:endnote>
  <w:endnote w:type="continuationSeparator" w:id="0">
    <w:p w:rsidR="009C6B05" w:rsidRDefault="009C6B05" w:rsidP="009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E0" w:rsidRPr="00357FE0" w:rsidRDefault="00357FE0" w:rsidP="00357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7FE0" w:rsidRPr="00D94637" w:rsidTr="00357FE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7FE0" w:rsidRPr="00D94637" w:rsidRDefault="00357FE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57FE0" w:rsidRPr="00B310DC" w:rsidTr="00357FE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7FE0" w:rsidRPr="00AD7BF2" w:rsidRDefault="00357FE0" w:rsidP="004F54B2">
          <w:pPr>
            <w:pStyle w:val="FooterText"/>
          </w:pPr>
          <w:r>
            <w:t>CM 1524/15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7FE0" w:rsidRPr="00AD7BF2" w:rsidRDefault="00357FE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7FE0" w:rsidRPr="002511D8" w:rsidRDefault="00357FE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7FE0" w:rsidRPr="00B310DC" w:rsidRDefault="00357FE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1DD6">
            <w:rPr>
              <w:noProof/>
            </w:rPr>
            <w:t>4</w:t>
          </w:r>
          <w:r>
            <w:fldChar w:fldCharType="end"/>
          </w:r>
        </w:p>
      </w:tc>
    </w:tr>
    <w:tr w:rsidR="00357FE0" w:rsidRPr="00D94637" w:rsidTr="00357FE0">
      <w:trPr>
        <w:jc w:val="center"/>
      </w:trPr>
      <w:tc>
        <w:tcPr>
          <w:tcW w:w="1774" w:type="pct"/>
          <w:shd w:val="clear" w:color="auto" w:fill="auto"/>
        </w:tcPr>
        <w:p w:rsidR="00357FE0" w:rsidRPr="00AD7BF2" w:rsidRDefault="00357FE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7FE0" w:rsidRPr="00AD7BF2" w:rsidRDefault="00357FE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57FE0" w:rsidRPr="00D94637" w:rsidRDefault="00357FE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7FE0" w:rsidRPr="00D94637" w:rsidRDefault="00357FE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C6B05" w:rsidRPr="00357FE0" w:rsidRDefault="009C6B05" w:rsidP="00357FE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7FE0" w:rsidRPr="00D94637" w:rsidTr="00357FE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7FE0" w:rsidRPr="00D94637" w:rsidRDefault="00357FE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57FE0" w:rsidRPr="00B310DC" w:rsidTr="00357FE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7FE0" w:rsidRPr="00AD7BF2" w:rsidRDefault="00357FE0" w:rsidP="004F54B2">
          <w:pPr>
            <w:pStyle w:val="FooterText"/>
          </w:pPr>
          <w:r>
            <w:t>CM 1524/15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7FE0" w:rsidRPr="00AD7BF2" w:rsidRDefault="00357FE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7FE0" w:rsidRPr="002511D8" w:rsidRDefault="00357FE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7FE0" w:rsidRPr="00B310DC" w:rsidRDefault="00357FE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1DD6">
            <w:rPr>
              <w:noProof/>
            </w:rPr>
            <w:t>1</w:t>
          </w:r>
          <w:r>
            <w:fldChar w:fldCharType="end"/>
          </w:r>
        </w:p>
      </w:tc>
    </w:tr>
    <w:tr w:rsidR="00357FE0" w:rsidRPr="00D94637" w:rsidTr="00357FE0">
      <w:trPr>
        <w:jc w:val="center"/>
      </w:trPr>
      <w:tc>
        <w:tcPr>
          <w:tcW w:w="1774" w:type="pct"/>
          <w:shd w:val="clear" w:color="auto" w:fill="auto"/>
        </w:tcPr>
        <w:p w:rsidR="00357FE0" w:rsidRPr="00AD7BF2" w:rsidRDefault="00357FE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7FE0" w:rsidRPr="00AD7BF2" w:rsidRDefault="00357FE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57FE0" w:rsidRPr="00D94637" w:rsidRDefault="00357FE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7FE0" w:rsidRPr="00D94637" w:rsidRDefault="00357FE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C6B05" w:rsidRPr="00357FE0" w:rsidRDefault="009C6B05" w:rsidP="00357FE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5" w:rsidRDefault="009C6B05" w:rsidP="009C6B05">
      <w:r>
        <w:separator/>
      </w:r>
    </w:p>
  </w:footnote>
  <w:footnote w:type="continuationSeparator" w:id="0">
    <w:p w:rsidR="009C6B05" w:rsidRDefault="009C6B05" w:rsidP="009C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E0" w:rsidRPr="00357FE0" w:rsidRDefault="00357FE0" w:rsidP="00357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E0" w:rsidRPr="00357FE0" w:rsidRDefault="00357FE0" w:rsidP="00357FE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E0" w:rsidRPr="00357FE0" w:rsidRDefault="00357FE0" w:rsidP="00357FE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49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81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428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BA0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E87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F2C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F64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D4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C5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0D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6C30D01A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415de06-1e8e-44b4-b989-e2d7888e8d2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st meeting of the COUNCIL OF THE EUROPEAN UNION (Competitiveness (Internal Market, Industry, Research and 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1st &amp;lt;/Run&amp;gt;meeting of the COUNCIL OF THE EUROPEAN UNION&amp;lt;LineBreak /&amp;gt;(Competitiveness (&amp;lt;Run xml:space=&quot;preserve&quot;&amp;gt;&amp;lt;Run.TextDecorations&amp;gt;&amp;lt;TextDecoration Location=&quot;Underline&quot; /&amp;gt;&amp;lt;/Run.TextDecorations&amp;gt;Internal Market, Industry, Research &amp;lt;/Run&amp;gt;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C6B05"/>
    <w:rsid w:val="00010C1D"/>
    <w:rsid w:val="00084F2D"/>
    <w:rsid w:val="0009656C"/>
    <w:rsid w:val="00100EDB"/>
    <w:rsid w:val="00165755"/>
    <w:rsid w:val="00182F2F"/>
    <w:rsid w:val="001C7776"/>
    <w:rsid w:val="001E3F22"/>
    <w:rsid w:val="002A2AE8"/>
    <w:rsid w:val="003232CF"/>
    <w:rsid w:val="003349C4"/>
    <w:rsid w:val="00357FE0"/>
    <w:rsid w:val="00390587"/>
    <w:rsid w:val="00392D9D"/>
    <w:rsid w:val="003C6E8B"/>
    <w:rsid w:val="00431667"/>
    <w:rsid w:val="00502245"/>
    <w:rsid w:val="005157F5"/>
    <w:rsid w:val="005A73E5"/>
    <w:rsid w:val="005B3D1C"/>
    <w:rsid w:val="005D18CB"/>
    <w:rsid w:val="005D1D49"/>
    <w:rsid w:val="005E1DD6"/>
    <w:rsid w:val="0063379B"/>
    <w:rsid w:val="006A38C5"/>
    <w:rsid w:val="006C1AD4"/>
    <w:rsid w:val="006E33E2"/>
    <w:rsid w:val="006F4741"/>
    <w:rsid w:val="00730835"/>
    <w:rsid w:val="00740A70"/>
    <w:rsid w:val="0075756A"/>
    <w:rsid w:val="00800B14"/>
    <w:rsid w:val="00825503"/>
    <w:rsid w:val="008826F8"/>
    <w:rsid w:val="008E5C3B"/>
    <w:rsid w:val="009146BD"/>
    <w:rsid w:val="009C6B05"/>
    <w:rsid w:val="00A469D7"/>
    <w:rsid w:val="00A7037B"/>
    <w:rsid w:val="00AC3188"/>
    <w:rsid w:val="00B259BA"/>
    <w:rsid w:val="00B34C8D"/>
    <w:rsid w:val="00B46DA0"/>
    <w:rsid w:val="00B6099D"/>
    <w:rsid w:val="00B943FC"/>
    <w:rsid w:val="00BD06FD"/>
    <w:rsid w:val="00BE1373"/>
    <w:rsid w:val="00C75C70"/>
    <w:rsid w:val="00CB31CE"/>
    <w:rsid w:val="00CD17B9"/>
    <w:rsid w:val="00D451E4"/>
    <w:rsid w:val="00E265E7"/>
    <w:rsid w:val="00E77498"/>
    <w:rsid w:val="00EA524D"/>
    <w:rsid w:val="00EC204F"/>
    <w:rsid w:val="00F13D70"/>
    <w:rsid w:val="00F42B17"/>
    <w:rsid w:val="00F647BA"/>
    <w:rsid w:val="00F94670"/>
    <w:rsid w:val="00F95B5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570</Words>
  <Characters>3196</Characters>
  <Application>Microsoft Office Word</Application>
  <DocSecurity>0</DocSecurity>
  <Lines>228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3</cp:revision>
  <cp:lastPrinted>2015-02-13T14:53:00Z</cp:lastPrinted>
  <dcterms:created xsi:type="dcterms:W3CDTF">2015-02-13T15:01:00Z</dcterms:created>
  <dcterms:modified xsi:type="dcterms:W3CDTF">2015-02-13T16:04:00Z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