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EC" w:rsidRPr="00A8177A" w:rsidRDefault="002A398B" w:rsidP="00A8177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e9d7fff-c6ff-4547-b9f6-0304b14751c4" style="width:573.5pt;height:448.75pt">
            <v:imagedata r:id="rId9" o:title=""/>
          </v:shape>
        </w:pict>
      </w:r>
      <w:bookmarkEnd w:id="0"/>
    </w:p>
    <w:p w:rsidR="00F52AC1" w:rsidRPr="00A8177A" w:rsidRDefault="00F52AC1" w:rsidP="00F52AC1">
      <w:pPr>
        <w:pStyle w:val="TechnicalBlock"/>
        <w:ind w:left="-1134" w:right="-1134"/>
        <w:sectPr w:rsidR="00F52AC1" w:rsidRPr="00A8177A" w:rsidSect="008D33D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F52AC1" w:rsidRPr="00A8177A" w:rsidTr="00F52AC1">
        <w:tc>
          <w:tcPr>
            <w:tcW w:w="9855" w:type="dxa"/>
            <w:shd w:val="pct10" w:color="auto" w:fill="FFFFFF"/>
          </w:tcPr>
          <w:p w:rsidR="00F52AC1" w:rsidRPr="00A8177A" w:rsidRDefault="00F52AC1" w:rsidP="00F52AC1">
            <w:pPr>
              <w:pStyle w:val="MainResultsHeading"/>
              <w:rPr>
                <w:sz w:val="24"/>
              </w:rPr>
            </w:pPr>
            <w:r w:rsidRPr="00A8177A">
              <w:rPr>
                <w:sz w:val="24"/>
              </w:rPr>
              <w:lastRenderedPageBreak/>
              <w:t>Основни резултати от заседанието на Съвета</w:t>
            </w:r>
          </w:p>
          <w:p w:rsidR="004F4A19" w:rsidRPr="00A8177A" w:rsidRDefault="004F4A19" w:rsidP="004F4A19">
            <w:pPr>
              <w:rPr>
                <w:b/>
                <w:u w:val="single"/>
              </w:rPr>
            </w:pPr>
            <w:r w:rsidRPr="00A8177A">
              <w:rPr>
                <w:b/>
                <w:u w:val="single"/>
              </w:rPr>
              <w:t>ОБРАЗОВАНИЕ</w:t>
            </w:r>
          </w:p>
          <w:p w:rsidR="004F4A19" w:rsidRPr="00A8177A" w:rsidRDefault="004F4A19" w:rsidP="004F4A19">
            <w:pPr>
              <w:rPr>
                <w:b/>
                <w:bCs/>
              </w:rPr>
            </w:pPr>
            <w:r w:rsidRPr="00A8177A">
              <w:rPr>
                <w:b/>
              </w:rPr>
              <w:t>Предприемачество в образованието и обучението</w:t>
            </w:r>
          </w:p>
          <w:p w:rsidR="004F4A19" w:rsidRPr="00A8177A" w:rsidRDefault="004F4A19" w:rsidP="004F4A19">
            <w:r w:rsidRPr="00A8177A">
              <w:t>Съветът прие заключения относно предприемачеството в образованието и обучението, в които се изтъква значението на развитието на предприемачески умения от ранна възраст и укрепването на връзките между образователната система и света на бизнеса, в съответствие с призива на Европейския съвет през юни за „насърчаване на благоприятна среда за предприемачество и създаване на работни места“. Предприемачеството и образованието също са приоритети на стратегията „Европа 2020“.</w:t>
            </w:r>
          </w:p>
          <w:p w:rsidR="004F4A19" w:rsidRPr="00A8177A" w:rsidRDefault="004F4A19" w:rsidP="004F4A19">
            <w:pPr>
              <w:rPr>
                <w:b/>
                <w:bCs/>
              </w:rPr>
            </w:pPr>
            <w:r w:rsidRPr="00A8177A">
              <w:rPr>
                <w:b/>
              </w:rPr>
              <w:t>Икономически аргументи в полза на образованието и обучението</w:t>
            </w:r>
          </w:p>
          <w:p w:rsidR="004F4A19" w:rsidRPr="00A8177A" w:rsidRDefault="004F4A19" w:rsidP="004F4A19">
            <w:r w:rsidRPr="00A8177A">
              <w:t>В контекста на междинния преглед на стратегията „Европа 2020“ министрите на образованието и министрите на заетостта от Италия, Латвия и Люксембург проведоха открит дебат на тема „Икономически аргументи в полза на образованието и обучението“.</w:t>
            </w:r>
          </w:p>
          <w:p w:rsidR="004F4A19" w:rsidRPr="00A8177A" w:rsidRDefault="004F4A19" w:rsidP="006D2725">
            <w:r w:rsidRPr="00A8177A">
              <w:t xml:space="preserve">Председателят на Съвета министър Стефания </w:t>
            </w:r>
            <w:proofErr w:type="spellStart"/>
            <w:r w:rsidRPr="00A8177A">
              <w:t>Джанини</w:t>
            </w:r>
            <w:proofErr w:type="spellEnd"/>
            <w:r w:rsidRPr="00A8177A">
              <w:t xml:space="preserve"> заяви: „</w:t>
            </w:r>
            <w:r w:rsidRPr="00A8177A">
              <w:rPr>
                <w:i/>
              </w:rPr>
              <w:t>Италианското председателство възнамеряваше да затвърди ключовата роля на образованието за засилването на икономическия растеж и създаването на работни места</w:t>
            </w:r>
            <w:r w:rsidRPr="00A8177A">
              <w:t>.</w:t>
            </w:r>
            <w:r w:rsidRPr="00A8177A">
              <w:rPr>
                <w:i/>
              </w:rPr>
              <w:t xml:space="preserve"> Важни стъпки за постигането на тази цел са днешните заключения на Съвета относно предприемачеството в образованието, дебатът относно добавената стойност на инвестирането в качествено образование и обучение с дългосрочна перспектива и дискусията относно начините за подобряване на международната мобилност чрез структурирани практики за мобилност на учебните програми</w:t>
            </w:r>
            <w:r w:rsidRPr="00A8177A">
              <w:t>.“</w:t>
            </w:r>
          </w:p>
          <w:p w:rsidR="004F4A19" w:rsidRPr="00A8177A" w:rsidRDefault="004F4A19" w:rsidP="004F4A19">
            <w:pPr>
              <w:rPr>
                <w:b/>
                <w:bCs/>
              </w:rPr>
            </w:pPr>
            <w:r w:rsidRPr="00A8177A">
              <w:rPr>
                <w:b/>
              </w:rPr>
              <w:t>Бюджет</w:t>
            </w:r>
          </w:p>
          <w:p w:rsidR="004F4A19" w:rsidRPr="00A8177A" w:rsidRDefault="004F4A19" w:rsidP="004F4A19">
            <w:pPr>
              <w:rPr>
                <w:rFonts w:ascii="Arial" w:hAnsi="Arial"/>
                <w:sz w:val="22"/>
              </w:rPr>
            </w:pPr>
            <w:r w:rsidRPr="00A8177A">
              <w:t>Съветът потвърди също така без разискване политическото споразумение, постигнато по бюджета на ЕС за 2015 г. и проектите за коригиращи бюджети за 2014 г.</w:t>
            </w:r>
          </w:p>
          <w:p w:rsidR="00424B68" w:rsidRPr="00A8177A" w:rsidRDefault="00424B68" w:rsidP="004F4A19">
            <w:pPr>
              <w:rPr>
                <w:rFonts w:ascii="Arial" w:hAnsi="Arial"/>
                <w:sz w:val="22"/>
              </w:rPr>
            </w:pPr>
          </w:p>
          <w:p w:rsidR="00424B68" w:rsidRPr="00A8177A" w:rsidRDefault="00424B68" w:rsidP="004F4A19">
            <w:pPr>
              <w:rPr>
                <w:rFonts w:ascii="Arial" w:hAnsi="Arial"/>
                <w:sz w:val="22"/>
              </w:rPr>
            </w:pPr>
          </w:p>
          <w:p w:rsidR="00424B68" w:rsidRPr="00A8177A" w:rsidRDefault="00424B68" w:rsidP="004F4A19">
            <w:pPr>
              <w:rPr>
                <w:rFonts w:ascii="Arial" w:hAnsi="Arial"/>
                <w:sz w:val="22"/>
              </w:rPr>
            </w:pPr>
          </w:p>
          <w:p w:rsidR="00017B05" w:rsidRPr="00A8177A" w:rsidRDefault="00017B05" w:rsidP="00424B68">
            <w:pPr>
              <w:pageBreakBefore/>
              <w:rPr>
                <w:b/>
                <w:bCs/>
                <w:u w:val="single"/>
              </w:rPr>
            </w:pPr>
            <w:r w:rsidRPr="00A8177A">
              <w:rPr>
                <w:b/>
                <w:u w:val="single"/>
              </w:rPr>
              <w:t>МЛАДЕЖ</w:t>
            </w:r>
          </w:p>
          <w:p w:rsidR="00017B05" w:rsidRPr="00A8177A" w:rsidRDefault="00017B05" w:rsidP="00017B05">
            <w:pPr>
              <w:rPr>
                <w:b/>
                <w:bCs/>
              </w:rPr>
            </w:pPr>
            <w:r w:rsidRPr="00A8177A">
              <w:rPr>
                <w:b/>
              </w:rPr>
              <w:t>Достъп на младите хора до права</w:t>
            </w:r>
          </w:p>
          <w:p w:rsidR="00017B05" w:rsidRPr="00A8177A" w:rsidRDefault="00017B05" w:rsidP="006D2725">
            <w:pPr>
              <w:rPr>
                <w:i/>
                <w:iCs/>
              </w:rPr>
            </w:pPr>
            <w:r w:rsidRPr="00A8177A">
              <w:t xml:space="preserve">Съветът прие заключения относно достъпа на младите хора до права с цел стимулиране на тяхната независимост и на участието им в гражданското общество. В тях се разглеждат предизвикателствата пред сегашното поколение млади хора, които трябва да понасят последиците от финансовата криза, и по-специално трудностите пред тяхното превръщане в самостоятелни възрастни, които да имат активен и ключов принос в социалния, политическия и икономическия живот на своите общности. </w:t>
            </w:r>
            <w:proofErr w:type="spellStart"/>
            <w:r w:rsidRPr="00A8177A">
              <w:t>Луиджи</w:t>
            </w:r>
            <w:proofErr w:type="spellEnd"/>
            <w:r w:rsidRPr="00A8177A">
              <w:t xml:space="preserve"> Боба, италианският държавен секретар по въпросите на труда и социалната политика, отбеляза, че „</w:t>
            </w:r>
            <w:r w:rsidRPr="00A8177A">
              <w:rPr>
                <w:i/>
              </w:rPr>
              <w:t>заключенията приканват държавите членки да въведат широк набор от инструменти и мерки, с цел да се премахнат пречките, които не позволяват на младите хора да живеят самостоятелен живот</w:t>
            </w:r>
            <w:r w:rsidRPr="00A8177A">
              <w:t>.“</w:t>
            </w:r>
          </w:p>
          <w:p w:rsidR="00017B05" w:rsidRPr="00A8177A" w:rsidRDefault="00017B05" w:rsidP="006D2725">
            <w:pPr>
              <w:rPr>
                <w:b/>
                <w:bCs/>
              </w:rPr>
            </w:pPr>
            <w:r w:rsidRPr="00A8177A">
              <w:rPr>
                <w:b/>
              </w:rPr>
              <w:t xml:space="preserve">Социално-икономически предизвикателства в сферата на </w:t>
            </w:r>
            <w:proofErr w:type="spellStart"/>
            <w:r w:rsidRPr="00A8177A">
              <w:rPr>
                <w:b/>
              </w:rPr>
              <w:t>младежта</w:t>
            </w:r>
            <w:proofErr w:type="spellEnd"/>
          </w:p>
          <w:p w:rsidR="00017B05" w:rsidRPr="00A8177A" w:rsidRDefault="006D2725" w:rsidP="00644BCE">
            <w:pPr>
              <w:rPr>
                <w:i/>
                <w:iCs/>
              </w:rPr>
            </w:pPr>
            <w:r w:rsidRPr="00A8177A">
              <w:t xml:space="preserve">На открито заседание министрите обсъдиха и </w:t>
            </w:r>
            <w:proofErr w:type="spellStart"/>
            <w:r w:rsidRPr="00A8177A">
              <w:t>междусекторен</w:t>
            </w:r>
            <w:proofErr w:type="spellEnd"/>
            <w:r w:rsidRPr="00A8177A">
              <w:t xml:space="preserve"> подход към политиките за </w:t>
            </w:r>
            <w:proofErr w:type="spellStart"/>
            <w:r w:rsidRPr="00A8177A">
              <w:t>младежта</w:t>
            </w:r>
            <w:proofErr w:type="spellEnd"/>
            <w:r w:rsidRPr="00A8177A">
              <w:t xml:space="preserve"> като средство за по-успешно преодоляване на социално-икономическите предизвикателства в тази област. </w:t>
            </w:r>
            <w:proofErr w:type="spellStart"/>
            <w:r w:rsidRPr="00A8177A">
              <w:t>Междусекторното</w:t>
            </w:r>
            <w:proofErr w:type="spellEnd"/>
            <w:r w:rsidRPr="00A8177A">
              <w:t xml:space="preserve"> политическо сътрудничество е също така един от ключовите приоритети на новоприетия работен план на ЕС за </w:t>
            </w:r>
            <w:proofErr w:type="spellStart"/>
            <w:r w:rsidRPr="00A8177A">
              <w:t>младежта</w:t>
            </w:r>
            <w:proofErr w:type="spellEnd"/>
            <w:r w:rsidRPr="00A8177A">
              <w:t xml:space="preserve">. Държавният секретар </w:t>
            </w:r>
            <w:proofErr w:type="spellStart"/>
            <w:r w:rsidRPr="00A8177A">
              <w:t>Луиджи</w:t>
            </w:r>
            <w:proofErr w:type="spellEnd"/>
            <w:r w:rsidRPr="00A8177A">
              <w:t xml:space="preserve"> Боба заяви: „</w:t>
            </w:r>
            <w:r w:rsidRPr="00A8177A">
              <w:rPr>
                <w:i/>
              </w:rPr>
              <w:t xml:space="preserve">Дискусията потвърди, че </w:t>
            </w:r>
            <w:proofErr w:type="spellStart"/>
            <w:r w:rsidRPr="00A8177A">
              <w:rPr>
                <w:i/>
              </w:rPr>
              <w:t>междусекторният</w:t>
            </w:r>
            <w:proofErr w:type="spellEnd"/>
            <w:r w:rsidRPr="00A8177A">
              <w:rPr>
                <w:i/>
              </w:rPr>
              <w:t xml:space="preserve"> подход е правилният път, който да се следва както на европейско, така и на национално равнище, за да се осигурят по-конкретни и ефикасни политики за </w:t>
            </w:r>
            <w:proofErr w:type="spellStart"/>
            <w:r w:rsidRPr="00A8177A">
              <w:rPr>
                <w:i/>
              </w:rPr>
              <w:t>младежта</w:t>
            </w:r>
            <w:proofErr w:type="spellEnd"/>
            <w:r w:rsidRPr="00A8177A">
              <w:t>“.</w:t>
            </w:r>
          </w:p>
          <w:p w:rsidR="00017B05" w:rsidRPr="00A8177A" w:rsidRDefault="00017B05" w:rsidP="004F4A19"/>
        </w:tc>
      </w:tr>
    </w:tbl>
    <w:p w:rsidR="00F52AC1" w:rsidRPr="00A8177A" w:rsidRDefault="00F52AC1" w:rsidP="00F52AC1"/>
    <w:p w:rsidR="00424B68" w:rsidRPr="0078682D" w:rsidRDefault="00424B68" w:rsidP="00F52AC1">
      <w:pPr>
        <w:rPr>
          <w:lang w:val="en-US"/>
        </w:rPr>
        <w:sectPr w:rsidR="00424B68" w:rsidRPr="0078682D" w:rsidSect="008D33D8">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titlePg/>
          <w:docGrid w:linePitch="360"/>
        </w:sectPr>
      </w:pPr>
    </w:p>
    <w:p w:rsidR="00154FBB" w:rsidRDefault="00154FBB" w:rsidP="00154FBB">
      <w:pPr>
        <w:pStyle w:val="TOCHeading"/>
        <w:rPr>
          <w:vertAlign w:val="superscript"/>
          <w:lang w:val="en-US"/>
        </w:rPr>
      </w:pPr>
      <w:r>
        <w:lastRenderedPageBreak/>
        <w:t>СЪДЪРЖАНИЕ</w:t>
      </w:r>
      <w:r w:rsidRPr="00154FBB">
        <w:rPr>
          <w:vertAlign w:val="superscript"/>
        </w:rPr>
        <w:t>1</w:t>
      </w:r>
    </w:p>
    <w:p w:rsidR="00154FBB" w:rsidRPr="00154FBB" w:rsidRDefault="00154FBB" w:rsidP="00154FBB">
      <w:pPr>
        <w:pStyle w:val="TOC5"/>
      </w:pPr>
      <w:r>
        <w:t>УЧАСТНИЦИ</w:t>
      </w:r>
      <w:r>
        <w:tab/>
      </w:r>
      <w:r w:rsidRPr="001D19BD">
        <w:rPr>
          <w:noProof/>
        </w:rPr>
        <w:fldChar w:fldCharType="begin"/>
      </w:r>
      <w:r w:rsidRPr="001D19BD">
        <w:rPr>
          <w:noProof/>
        </w:rPr>
        <w:instrText xml:space="preserve"> PAGEREF \h _Toc406178355 \* MERGEFORMAT </w:instrText>
      </w:r>
      <w:r w:rsidRPr="001D19BD">
        <w:rPr>
          <w:noProof/>
        </w:rPr>
      </w:r>
      <w:r w:rsidRPr="001D19BD">
        <w:rPr>
          <w:noProof/>
        </w:rPr>
        <w:fldChar w:fldCharType="separate"/>
      </w:r>
      <w:r>
        <w:rPr>
          <w:noProof/>
        </w:rPr>
        <w:t>5</w:t>
      </w:r>
      <w:r w:rsidRPr="001D19BD">
        <w:rPr>
          <w:noProof/>
        </w:rPr>
        <w:fldChar w:fldCharType="end"/>
      </w:r>
    </w:p>
    <w:p w:rsidR="00154FBB" w:rsidRDefault="00154FBB" w:rsidP="00154FBB">
      <w:pPr>
        <w:pStyle w:val="TOC5"/>
      </w:pPr>
      <w:r>
        <w:t>ОБСЪДЕНИ ТОЧКИ ОТ ДНЕВНИЯ РЕД</w:t>
      </w:r>
    </w:p>
    <w:p w:rsidR="00154FBB" w:rsidRPr="00154FBB" w:rsidRDefault="00154FBB" w:rsidP="00154FBB">
      <w:pPr>
        <w:pStyle w:val="TOC6"/>
        <w:keepNext/>
        <w:rPr>
          <w:rFonts w:asciiTheme="minorHAnsi" w:eastAsiaTheme="minorEastAsia" w:hAnsiTheme="minorHAnsi" w:cstheme="minorBidi"/>
          <w:noProof/>
          <w:sz w:val="22"/>
          <w:szCs w:val="22"/>
          <w:lang w:eastAsia="en-GB" w:bidi="ar-SA"/>
        </w:rPr>
      </w:pPr>
      <w:r>
        <w:rPr>
          <w:noProof/>
        </w:rPr>
        <w:t>ОБРАЗОВАНИЕ</w:t>
      </w:r>
      <w:r>
        <w:rPr>
          <w:noProof/>
        </w:rPr>
        <w:tab/>
      </w:r>
      <w:r>
        <w:rPr>
          <w:noProof/>
        </w:rPr>
        <w:fldChar w:fldCharType="begin"/>
      </w:r>
      <w:r>
        <w:rPr>
          <w:noProof/>
        </w:rPr>
        <w:instrText xml:space="preserve"> PAGEREF \h _Toc411854642 \* MERGEFORMAT </w:instrText>
      </w:r>
      <w:r>
        <w:rPr>
          <w:noProof/>
        </w:rPr>
      </w:r>
      <w:r>
        <w:rPr>
          <w:noProof/>
        </w:rPr>
        <w:fldChar w:fldCharType="separate"/>
      </w:r>
      <w:r>
        <w:rPr>
          <w:noProof/>
        </w:rPr>
        <w:t>7</w:t>
      </w:r>
      <w:r>
        <w:rPr>
          <w:noProof/>
        </w:rPr>
        <w:fldChar w:fldCharType="end"/>
      </w:r>
    </w:p>
    <w:p w:rsidR="00154FBB" w:rsidRPr="00154FBB" w:rsidRDefault="00154FBB" w:rsidP="00154FBB">
      <w:pPr>
        <w:pStyle w:val="TOC7"/>
        <w:keepNext/>
        <w:rPr>
          <w:rFonts w:asciiTheme="minorHAnsi" w:eastAsiaTheme="minorEastAsia" w:hAnsiTheme="minorHAnsi" w:cstheme="minorBidi"/>
          <w:noProof/>
          <w:sz w:val="22"/>
          <w:szCs w:val="22"/>
          <w:lang w:eastAsia="en-GB" w:bidi="ar-SA"/>
        </w:rPr>
      </w:pPr>
      <w:r>
        <w:rPr>
          <w:noProof/>
        </w:rPr>
        <w:t>Предприемачество в образованието и обучението</w:t>
      </w:r>
      <w:r>
        <w:rPr>
          <w:noProof/>
        </w:rPr>
        <w:tab/>
      </w:r>
      <w:r>
        <w:rPr>
          <w:noProof/>
        </w:rPr>
        <w:fldChar w:fldCharType="begin"/>
      </w:r>
      <w:r>
        <w:rPr>
          <w:noProof/>
        </w:rPr>
        <w:instrText xml:space="preserve"> PAGEREF \h _Toc411854643 \* MERGEFORMAT </w:instrText>
      </w:r>
      <w:r>
        <w:rPr>
          <w:noProof/>
        </w:rPr>
      </w:r>
      <w:r>
        <w:rPr>
          <w:noProof/>
        </w:rPr>
        <w:fldChar w:fldCharType="separate"/>
      </w:r>
      <w:r>
        <w:rPr>
          <w:noProof/>
        </w:rPr>
        <w:t>7</w:t>
      </w:r>
      <w:r>
        <w:rPr>
          <w:noProof/>
        </w:rPr>
        <w:fldChar w:fldCharType="end"/>
      </w:r>
    </w:p>
    <w:p w:rsidR="00154FBB" w:rsidRPr="00154FBB" w:rsidRDefault="00154FBB" w:rsidP="00154FBB">
      <w:pPr>
        <w:pStyle w:val="TOC7"/>
        <w:keepNext/>
        <w:rPr>
          <w:rFonts w:asciiTheme="minorHAnsi" w:eastAsiaTheme="minorEastAsia" w:hAnsiTheme="minorHAnsi" w:cstheme="minorBidi"/>
          <w:noProof/>
          <w:sz w:val="22"/>
          <w:szCs w:val="22"/>
          <w:lang w:eastAsia="en-GB" w:bidi="ar-SA"/>
        </w:rPr>
      </w:pPr>
      <w:r>
        <w:rPr>
          <w:noProof/>
        </w:rPr>
        <w:t>Икономически аргументи в полза на образованието и обучението</w:t>
      </w:r>
      <w:r>
        <w:rPr>
          <w:noProof/>
        </w:rPr>
        <w:tab/>
      </w:r>
      <w:r>
        <w:rPr>
          <w:noProof/>
        </w:rPr>
        <w:fldChar w:fldCharType="begin"/>
      </w:r>
      <w:r>
        <w:rPr>
          <w:noProof/>
        </w:rPr>
        <w:instrText xml:space="preserve"> PAGEREF \h _Toc411854644 \* MERGEFORMAT </w:instrText>
      </w:r>
      <w:r>
        <w:rPr>
          <w:noProof/>
        </w:rPr>
      </w:r>
      <w:r>
        <w:rPr>
          <w:noProof/>
        </w:rPr>
        <w:fldChar w:fldCharType="separate"/>
      </w:r>
      <w:r>
        <w:rPr>
          <w:noProof/>
        </w:rPr>
        <w:t>8</w:t>
      </w:r>
      <w:r>
        <w:rPr>
          <w:noProof/>
        </w:rPr>
        <w:fldChar w:fldCharType="end"/>
      </w:r>
    </w:p>
    <w:p w:rsidR="00154FBB" w:rsidRDefault="00154FBB" w:rsidP="00154FBB">
      <w:pPr>
        <w:pStyle w:val="TOC7"/>
        <w:rPr>
          <w:rFonts w:asciiTheme="minorHAnsi" w:eastAsiaTheme="minorEastAsia" w:hAnsiTheme="minorHAnsi" w:cstheme="minorBidi"/>
          <w:noProof/>
          <w:sz w:val="22"/>
          <w:szCs w:val="22"/>
          <w:lang w:val="en-GB" w:eastAsia="en-GB" w:bidi="ar-SA"/>
        </w:rPr>
      </w:pPr>
      <w:r>
        <w:rPr>
          <w:noProof/>
        </w:rPr>
        <w:t>Други въпроси</w:t>
      </w:r>
      <w:r>
        <w:rPr>
          <w:noProof/>
        </w:rPr>
        <w:tab/>
      </w:r>
      <w:r>
        <w:rPr>
          <w:noProof/>
        </w:rPr>
        <w:fldChar w:fldCharType="begin"/>
      </w:r>
      <w:r>
        <w:rPr>
          <w:noProof/>
        </w:rPr>
        <w:instrText xml:space="preserve"> PAGEREF \h _Toc411854645 \* MERGEFORMAT </w:instrText>
      </w:r>
      <w:r>
        <w:rPr>
          <w:noProof/>
        </w:rPr>
      </w:r>
      <w:r>
        <w:rPr>
          <w:noProof/>
        </w:rPr>
        <w:fldChar w:fldCharType="separate"/>
      </w:r>
      <w:r>
        <w:rPr>
          <w:noProof/>
        </w:rPr>
        <w:t>10</w:t>
      </w:r>
      <w:r>
        <w:rPr>
          <w:noProof/>
        </w:rPr>
        <w:fldChar w:fldCharType="end"/>
      </w:r>
    </w:p>
    <w:p w:rsidR="00154FBB" w:rsidRDefault="00154FBB" w:rsidP="00154FBB">
      <w:pPr>
        <w:pStyle w:val="TOC9"/>
        <w:rPr>
          <w:rFonts w:asciiTheme="minorHAnsi" w:eastAsiaTheme="minorEastAsia" w:hAnsiTheme="minorHAnsi" w:cstheme="minorBidi"/>
          <w:noProof/>
          <w:sz w:val="22"/>
          <w:szCs w:val="22"/>
          <w:lang w:val="en-GB" w:eastAsia="en-GB" w:bidi="ar-SA"/>
        </w:rPr>
      </w:pPr>
      <w:r>
        <w:rPr>
          <w:noProof/>
        </w:rPr>
        <w:t>Работна програма на предстоящото председателство</w:t>
      </w:r>
      <w:r>
        <w:rPr>
          <w:noProof/>
        </w:rPr>
        <w:tab/>
      </w:r>
      <w:r>
        <w:rPr>
          <w:noProof/>
        </w:rPr>
        <w:fldChar w:fldCharType="begin"/>
      </w:r>
      <w:r>
        <w:rPr>
          <w:noProof/>
        </w:rPr>
        <w:instrText xml:space="preserve"> PAGEREF \h _Toc411854646 \* MERGEFORMAT </w:instrText>
      </w:r>
      <w:r>
        <w:rPr>
          <w:noProof/>
        </w:rPr>
      </w:r>
      <w:r>
        <w:rPr>
          <w:noProof/>
        </w:rPr>
        <w:fldChar w:fldCharType="separate"/>
      </w:r>
      <w:r>
        <w:rPr>
          <w:noProof/>
        </w:rPr>
        <w:t>10</w:t>
      </w:r>
      <w:r>
        <w:rPr>
          <w:noProof/>
        </w:rPr>
        <w:fldChar w:fldCharType="end"/>
      </w:r>
    </w:p>
    <w:p w:rsidR="00154FBB" w:rsidRDefault="00154FBB" w:rsidP="00154FBB">
      <w:pPr>
        <w:pStyle w:val="TOC6"/>
        <w:keepNext/>
        <w:rPr>
          <w:rFonts w:asciiTheme="minorHAnsi" w:eastAsiaTheme="minorEastAsia" w:hAnsiTheme="minorHAnsi" w:cstheme="minorBidi"/>
          <w:noProof/>
          <w:sz w:val="22"/>
          <w:szCs w:val="22"/>
          <w:lang w:val="en-GB" w:eastAsia="en-GB" w:bidi="ar-SA"/>
        </w:rPr>
      </w:pPr>
      <w:r>
        <w:rPr>
          <w:noProof/>
        </w:rPr>
        <w:t>МЛАДЕЖ</w:t>
      </w:r>
      <w:r>
        <w:rPr>
          <w:noProof/>
        </w:rPr>
        <w:tab/>
      </w:r>
      <w:r>
        <w:rPr>
          <w:noProof/>
        </w:rPr>
        <w:fldChar w:fldCharType="begin"/>
      </w:r>
      <w:r>
        <w:rPr>
          <w:noProof/>
        </w:rPr>
        <w:instrText xml:space="preserve"> PAGEREF \h _Toc411854647 \* MERGEFORMAT </w:instrText>
      </w:r>
      <w:r>
        <w:rPr>
          <w:noProof/>
        </w:rPr>
      </w:r>
      <w:r>
        <w:rPr>
          <w:noProof/>
        </w:rPr>
        <w:fldChar w:fldCharType="separate"/>
      </w:r>
      <w:r>
        <w:rPr>
          <w:noProof/>
        </w:rPr>
        <w:t>10</w:t>
      </w:r>
      <w:r>
        <w:rPr>
          <w:noProof/>
        </w:rPr>
        <w:fldChar w:fldCharType="end"/>
      </w:r>
    </w:p>
    <w:p w:rsidR="00154FBB" w:rsidRDefault="00154FBB" w:rsidP="00154FBB">
      <w:pPr>
        <w:pStyle w:val="TOC7"/>
        <w:keepNext/>
        <w:rPr>
          <w:rFonts w:asciiTheme="minorHAnsi" w:eastAsiaTheme="minorEastAsia" w:hAnsiTheme="minorHAnsi" w:cstheme="minorBidi"/>
          <w:noProof/>
          <w:sz w:val="22"/>
          <w:szCs w:val="22"/>
          <w:lang w:val="en-GB" w:eastAsia="en-GB" w:bidi="ar-SA"/>
        </w:rPr>
      </w:pPr>
      <w:r>
        <w:rPr>
          <w:noProof/>
        </w:rPr>
        <w:t>Достъп на младите хора до права</w:t>
      </w:r>
      <w:r>
        <w:rPr>
          <w:noProof/>
        </w:rPr>
        <w:tab/>
      </w:r>
      <w:r>
        <w:rPr>
          <w:noProof/>
        </w:rPr>
        <w:fldChar w:fldCharType="begin"/>
      </w:r>
      <w:r>
        <w:rPr>
          <w:noProof/>
        </w:rPr>
        <w:instrText xml:space="preserve"> PAGEREF \h _Toc411854648 \* MERGEFORMAT </w:instrText>
      </w:r>
      <w:r>
        <w:rPr>
          <w:noProof/>
        </w:rPr>
      </w:r>
      <w:r>
        <w:rPr>
          <w:noProof/>
        </w:rPr>
        <w:fldChar w:fldCharType="separate"/>
      </w:r>
      <w:r>
        <w:rPr>
          <w:noProof/>
        </w:rPr>
        <w:t>10</w:t>
      </w:r>
      <w:r>
        <w:rPr>
          <w:noProof/>
        </w:rPr>
        <w:fldChar w:fldCharType="end"/>
      </w:r>
    </w:p>
    <w:p w:rsidR="00154FBB" w:rsidRDefault="00154FBB" w:rsidP="00154FBB">
      <w:pPr>
        <w:pStyle w:val="TOC7"/>
        <w:keepNext/>
        <w:rPr>
          <w:rFonts w:asciiTheme="minorHAnsi" w:eastAsiaTheme="minorEastAsia" w:hAnsiTheme="minorHAnsi" w:cstheme="minorBidi"/>
          <w:noProof/>
          <w:sz w:val="22"/>
          <w:szCs w:val="22"/>
          <w:lang w:val="en-GB" w:eastAsia="en-GB" w:bidi="ar-SA"/>
        </w:rPr>
      </w:pPr>
      <w:r>
        <w:rPr>
          <w:noProof/>
        </w:rPr>
        <w:t>Социално-икономически предизвикателства в сферата на младежта</w:t>
      </w:r>
      <w:r>
        <w:rPr>
          <w:noProof/>
        </w:rPr>
        <w:tab/>
      </w:r>
      <w:r>
        <w:rPr>
          <w:noProof/>
        </w:rPr>
        <w:fldChar w:fldCharType="begin"/>
      </w:r>
      <w:r>
        <w:rPr>
          <w:noProof/>
        </w:rPr>
        <w:instrText xml:space="preserve"> PAGEREF \h _Toc411854649 \* MERGEFORMAT </w:instrText>
      </w:r>
      <w:r>
        <w:rPr>
          <w:noProof/>
        </w:rPr>
      </w:r>
      <w:r>
        <w:rPr>
          <w:noProof/>
        </w:rPr>
        <w:fldChar w:fldCharType="separate"/>
      </w:r>
      <w:r>
        <w:rPr>
          <w:noProof/>
        </w:rPr>
        <w:t>11</w:t>
      </w:r>
      <w:r>
        <w:rPr>
          <w:noProof/>
        </w:rPr>
        <w:fldChar w:fldCharType="end"/>
      </w:r>
    </w:p>
    <w:p w:rsidR="00154FBB" w:rsidRDefault="00154FBB" w:rsidP="00154FBB">
      <w:pPr>
        <w:pStyle w:val="TOC7"/>
        <w:rPr>
          <w:rFonts w:asciiTheme="minorHAnsi" w:eastAsiaTheme="minorEastAsia" w:hAnsiTheme="minorHAnsi" w:cstheme="minorBidi"/>
          <w:noProof/>
          <w:sz w:val="22"/>
          <w:szCs w:val="22"/>
          <w:lang w:val="en-GB" w:eastAsia="en-GB" w:bidi="ar-SA"/>
        </w:rPr>
      </w:pPr>
      <w:r>
        <w:rPr>
          <w:noProof/>
        </w:rPr>
        <w:t>Други въпроси</w:t>
      </w:r>
      <w:r>
        <w:rPr>
          <w:noProof/>
        </w:rPr>
        <w:tab/>
      </w:r>
      <w:r>
        <w:rPr>
          <w:noProof/>
        </w:rPr>
        <w:fldChar w:fldCharType="begin"/>
      </w:r>
      <w:r>
        <w:rPr>
          <w:noProof/>
        </w:rPr>
        <w:instrText xml:space="preserve"> PAGEREF \h _Toc411854650 \* MERGEFORMAT </w:instrText>
      </w:r>
      <w:r>
        <w:rPr>
          <w:noProof/>
        </w:rPr>
      </w:r>
      <w:r>
        <w:rPr>
          <w:noProof/>
        </w:rPr>
        <w:fldChar w:fldCharType="separate"/>
      </w:r>
      <w:r>
        <w:rPr>
          <w:noProof/>
        </w:rPr>
        <w:t>12</w:t>
      </w:r>
      <w:r>
        <w:rPr>
          <w:noProof/>
        </w:rPr>
        <w:fldChar w:fldCharType="end"/>
      </w:r>
    </w:p>
    <w:p w:rsidR="00154FBB" w:rsidRDefault="00154FBB" w:rsidP="00154FBB">
      <w:pPr>
        <w:pStyle w:val="TOC9"/>
        <w:rPr>
          <w:rFonts w:asciiTheme="minorHAnsi" w:eastAsiaTheme="minorEastAsia" w:hAnsiTheme="minorHAnsi" w:cstheme="minorBidi"/>
          <w:noProof/>
          <w:sz w:val="22"/>
          <w:szCs w:val="22"/>
          <w:lang w:val="en-GB" w:eastAsia="en-GB" w:bidi="ar-SA"/>
        </w:rPr>
      </w:pPr>
      <w:r>
        <w:rPr>
          <w:noProof/>
        </w:rPr>
        <w:t>Проект на ЕС за младежка демокрация</w:t>
      </w:r>
      <w:r>
        <w:rPr>
          <w:noProof/>
        </w:rPr>
        <w:tab/>
      </w:r>
      <w:r>
        <w:rPr>
          <w:noProof/>
        </w:rPr>
        <w:fldChar w:fldCharType="begin"/>
      </w:r>
      <w:r>
        <w:rPr>
          <w:noProof/>
        </w:rPr>
        <w:instrText xml:space="preserve"> PAGEREF \h _Toc411854651 \* MERGEFORMAT </w:instrText>
      </w:r>
      <w:r>
        <w:rPr>
          <w:noProof/>
        </w:rPr>
      </w:r>
      <w:r>
        <w:rPr>
          <w:noProof/>
        </w:rPr>
        <w:fldChar w:fldCharType="separate"/>
      </w:r>
      <w:r>
        <w:rPr>
          <w:noProof/>
        </w:rPr>
        <w:t>12</w:t>
      </w:r>
      <w:r>
        <w:rPr>
          <w:noProof/>
        </w:rPr>
        <w:fldChar w:fldCharType="end"/>
      </w:r>
    </w:p>
    <w:p w:rsidR="00154FBB" w:rsidRPr="00154FBB" w:rsidRDefault="00154FBB" w:rsidP="00154FBB">
      <w:pPr>
        <w:pStyle w:val="TOC9"/>
      </w:pPr>
      <w:r>
        <w:rPr>
          <w:noProof/>
        </w:rPr>
        <w:t>Работна програма на предстоящото председателство</w:t>
      </w:r>
      <w:r>
        <w:rPr>
          <w:noProof/>
        </w:rPr>
        <w:tab/>
      </w:r>
      <w:r>
        <w:rPr>
          <w:noProof/>
        </w:rPr>
        <w:fldChar w:fldCharType="begin"/>
      </w:r>
      <w:r>
        <w:rPr>
          <w:noProof/>
        </w:rPr>
        <w:instrText xml:space="preserve"> PAGEREF \h _Toc411854652 \* MERGEFORMAT </w:instrText>
      </w:r>
      <w:r>
        <w:rPr>
          <w:noProof/>
        </w:rPr>
      </w:r>
      <w:r>
        <w:rPr>
          <w:noProof/>
        </w:rPr>
        <w:fldChar w:fldCharType="separate"/>
      </w:r>
      <w:r>
        <w:rPr>
          <w:noProof/>
        </w:rPr>
        <w:t>12</w:t>
      </w:r>
      <w:r>
        <w:rPr>
          <w:noProof/>
        </w:rPr>
        <w:fldChar w:fldCharType="end"/>
      </w:r>
    </w:p>
    <w:p w:rsidR="00154FBB" w:rsidRDefault="00154FBB" w:rsidP="00154FBB">
      <w:pPr>
        <w:pStyle w:val="TOC5"/>
      </w:pPr>
      <w:r>
        <w:t>ДРУГИ ОДОБРЕНИ ТОЧКИ</w:t>
      </w:r>
    </w:p>
    <w:p w:rsidR="00154FBB" w:rsidRDefault="00154FBB" w:rsidP="00154FBB">
      <w:pPr>
        <w:pStyle w:val="TOC8"/>
        <w:rPr>
          <w:rFonts w:asciiTheme="minorHAnsi" w:eastAsiaTheme="minorEastAsia" w:hAnsiTheme="minorHAnsi" w:cstheme="minorBidi"/>
          <w:i w:val="0"/>
          <w:noProof/>
          <w:sz w:val="22"/>
          <w:szCs w:val="22"/>
          <w:lang w:val="en-GB" w:eastAsia="en-GB" w:bidi="ar-SA"/>
        </w:rPr>
      </w:pPr>
      <w:r>
        <w:rPr>
          <w:noProof/>
        </w:rPr>
        <w:t>БЮДЖЕТИ</w:t>
      </w:r>
    </w:p>
    <w:p w:rsidR="00154FBB" w:rsidRDefault="00154FBB" w:rsidP="00154FBB">
      <w:pPr>
        <w:pStyle w:val="TOC9"/>
        <w:rPr>
          <w:rFonts w:asciiTheme="minorHAnsi" w:eastAsiaTheme="minorEastAsia" w:hAnsiTheme="minorHAnsi" w:cstheme="minorBidi"/>
          <w:noProof/>
          <w:sz w:val="22"/>
          <w:szCs w:val="22"/>
          <w:lang w:val="en-GB" w:eastAsia="en-GB" w:bidi="ar-SA"/>
        </w:rPr>
      </w:pPr>
      <w:r>
        <w:rPr>
          <w:noProof/>
        </w:rPr>
        <w:t>Одобряване на бюджета на ЕС за 2015 г. и на проектите за коригиращи бюджети за 2014 г.</w:t>
      </w:r>
      <w:r>
        <w:rPr>
          <w:noProof/>
        </w:rPr>
        <w:tab/>
      </w:r>
      <w:r>
        <w:rPr>
          <w:noProof/>
        </w:rPr>
        <w:fldChar w:fldCharType="begin"/>
      </w:r>
      <w:r>
        <w:rPr>
          <w:noProof/>
        </w:rPr>
        <w:instrText xml:space="preserve"> PAGEREF \h _Toc411854654 \* MERGEFORMAT </w:instrText>
      </w:r>
      <w:r>
        <w:rPr>
          <w:noProof/>
        </w:rPr>
      </w:r>
      <w:r>
        <w:rPr>
          <w:noProof/>
        </w:rPr>
        <w:fldChar w:fldCharType="separate"/>
      </w:r>
      <w:r>
        <w:rPr>
          <w:noProof/>
        </w:rPr>
        <w:t>13</w:t>
      </w:r>
      <w:r>
        <w:rPr>
          <w:noProof/>
        </w:rPr>
        <w:fldChar w:fldCharType="end"/>
      </w:r>
    </w:p>
    <w:p w:rsidR="00154FBB" w:rsidRDefault="00154FBB" w:rsidP="00154FBB">
      <w:pPr>
        <w:pStyle w:val="TOC8"/>
        <w:rPr>
          <w:rFonts w:asciiTheme="minorHAnsi" w:eastAsiaTheme="minorEastAsia" w:hAnsiTheme="minorHAnsi" w:cstheme="minorBidi"/>
          <w:i w:val="0"/>
          <w:noProof/>
          <w:sz w:val="22"/>
          <w:szCs w:val="22"/>
          <w:lang w:val="en-GB" w:eastAsia="en-GB" w:bidi="ar-SA"/>
        </w:rPr>
      </w:pPr>
      <w:r>
        <w:rPr>
          <w:noProof/>
        </w:rPr>
        <w:t>ИКОНОМИЧЕСКИ И ФИНАНСОВИ ВЪПРОСИ</w:t>
      </w:r>
    </w:p>
    <w:p w:rsidR="00154FBB" w:rsidRDefault="00154FBB" w:rsidP="00154FBB">
      <w:pPr>
        <w:pStyle w:val="TOC9"/>
        <w:rPr>
          <w:rFonts w:asciiTheme="minorHAnsi" w:eastAsiaTheme="minorEastAsia" w:hAnsiTheme="minorHAnsi" w:cstheme="minorBidi"/>
          <w:noProof/>
          <w:sz w:val="22"/>
          <w:szCs w:val="22"/>
          <w:lang w:val="en-GB" w:eastAsia="en-GB" w:bidi="ar-SA"/>
        </w:rPr>
      </w:pPr>
      <w:r>
        <w:rPr>
          <w:noProof/>
        </w:rPr>
        <w:t>Възстановяване и преструктуриране на банките: налози</w:t>
      </w:r>
      <w:r>
        <w:rPr>
          <w:noProof/>
        </w:rPr>
        <w:tab/>
      </w:r>
      <w:r>
        <w:rPr>
          <w:noProof/>
        </w:rPr>
        <w:fldChar w:fldCharType="begin"/>
      </w:r>
      <w:r>
        <w:rPr>
          <w:noProof/>
        </w:rPr>
        <w:instrText xml:space="preserve"> PAGEREF \h _Toc411854656 \* MERGEFORMAT </w:instrText>
      </w:r>
      <w:r>
        <w:rPr>
          <w:noProof/>
        </w:rPr>
      </w:r>
      <w:r>
        <w:rPr>
          <w:noProof/>
        </w:rPr>
        <w:fldChar w:fldCharType="separate"/>
      </w:r>
      <w:r>
        <w:rPr>
          <w:noProof/>
        </w:rPr>
        <w:t>14</w:t>
      </w:r>
      <w:r>
        <w:rPr>
          <w:noProof/>
        </w:rPr>
        <w:fldChar w:fldCharType="end"/>
      </w:r>
    </w:p>
    <w:p w:rsidR="00154FBB" w:rsidRDefault="00154FBB" w:rsidP="00154FBB">
      <w:pPr>
        <w:pStyle w:val="TOC8"/>
        <w:rPr>
          <w:rFonts w:asciiTheme="minorHAnsi" w:eastAsiaTheme="minorEastAsia" w:hAnsiTheme="minorHAnsi" w:cstheme="minorBidi"/>
          <w:i w:val="0"/>
          <w:noProof/>
          <w:sz w:val="22"/>
          <w:szCs w:val="22"/>
          <w:lang w:val="en-GB" w:eastAsia="en-GB" w:bidi="ar-SA"/>
        </w:rPr>
      </w:pPr>
      <w:r>
        <w:rPr>
          <w:noProof/>
        </w:rPr>
        <w:t>ВЪНШНИ РАБОТИ</w:t>
      </w:r>
    </w:p>
    <w:p w:rsidR="00154FBB" w:rsidRDefault="00154FBB" w:rsidP="00154FBB">
      <w:pPr>
        <w:pStyle w:val="TOC9"/>
        <w:rPr>
          <w:rFonts w:asciiTheme="minorHAnsi" w:eastAsiaTheme="minorEastAsia" w:hAnsiTheme="minorHAnsi" w:cstheme="minorBidi"/>
          <w:noProof/>
          <w:sz w:val="22"/>
          <w:szCs w:val="22"/>
          <w:lang w:val="en-GB" w:eastAsia="en-GB" w:bidi="ar-SA"/>
        </w:rPr>
      </w:pPr>
      <w:r>
        <w:rPr>
          <w:noProof/>
        </w:rPr>
        <w:t>Ограничителни мерки — Сирия</w:t>
      </w:r>
      <w:r>
        <w:rPr>
          <w:noProof/>
        </w:rPr>
        <w:tab/>
      </w:r>
      <w:r>
        <w:rPr>
          <w:noProof/>
        </w:rPr>
        <w:fldChar w:fldCharType="begin"/>
      </w:r>
      <w:r>
        <w:rPr>
          <w:noProof/>
        </w:rPr>
        <w:instrText xml:space="preserve"> PAGEREF \h _Toc411854658 \* MERGEFORMAT </w:instrText>
      </w:r>
      <w:r>
        <w:rPr>
          <w:noProof/>
        </w:rPr>
      </w:r>
      <w:r>
        <w:rPr>
          <w:noProof/>
        </w:rPr>
        <w:fldChar w:fldCharType="separate"/>
      </w:r>
      <w:r>
        <w:rPr>
          <w:noProof/>
        </w:rPr>
        <w:t>14</w:t>
      </w:r>
      <w:r>
        <w:rPr>
          <w:noProof/>
        </w:rPr>
        <w:fldChar w:fldCharType="end"/>
      </w:r>
    </w:p>
    <w:p w:rsidR="00154FBB" w:rsidRDefault="00154FBB" w:rsidP="00154FBB">
      <w:pPr>
        <w:pStyle w:val="TOC8"/>
        <w:rPr>
          <w:rFonts w:asciiTheme="minorHAnsi" w:eastAsiaTheme="minorEastAsia" w:hAnsiTheme="minorHAnsi" w:cstheme="minorBidi"/>
          <w:i w:val="0"/>
          <w:noProof/>
          <w:sz w:val="22"/>
          <w:szCs w:val="22"/>
          <w:lang w:val="en-GB" w:eastAsia="en-GB" w:bidi="ar-SA"/>
        </w:rPr>
      </w:pPr>
      <w:r>
        <w:rPr>
          <w:noProof/>
        </w:rPr>
        <w:t>ПРОЗРАЧНОСТ</w:t>
      </w:r>
    </w:p>
    <w:p w:rsidR="00154FBB" w:rsidRDefault="00154FBB" w:rsidP="00154FBB">
      <w:pPr>
        <w:pStyle w:val="TOC9"/>
      </w:pPr>
      <w:r>
        <w:rPr>
          <w:noProof/>
        </w:rPr>
        <w:t>Публичен достъп до документи</w:t>
      </w:r>
      <w:r>
        <w:rPr>
          <w:noProof/>
        </w:rPr>
        <w:tab/>
      </w:r>
      <w:r>
        <w:rPr>
          <w:noProof/>
        </w:rPr>
        <w:fldChar w:fldCharType="begin"/>
      </w:r>
      <w:r>
        <w:rPr>
          <w:noProof/>
        </w:rPr>
        <w:instrText xml:space="preserve"> PAGEREF \h _Toc411854660 \* MERGEFORMAT </w:instrText>
      </w:r>
      <w:r>
        <w:rPr>
          <w:noProof/>
        </w:rPr>
      </w:r>
      <w:r>
        <w:rPr>
          <w:noProof/>
        </w:rPr>
        <w:fldChar w:fldCharType="separate"/>
      </w:r>
      <w:r>
        <w:rPr>
          <w:noProof/>
        </w:rPr>
        <w:t>15</w:t>
      </w:r>
      <w:r>
        <w:rPr>
          <w:noProof/>
        </w:rPr>
        <w:fldChar w:fldCharType="end"/>
      </w:r>
    </w:p>
    <w:p w:rsidR="00154FBB" w:rsidRPr="00A8177A" w:rsidRDefault="00154FBB" w:rsidP="00F52AC1">
      <w:pPr>
        <w:sectPr w:rsidR="00154FBB" w:rsidRPr="00A8177A" w:rsidSect="008D33D8">
          <w:headerReference w:type="even" r:id="rId21"/>
          <w:footerReference w:type="even" r:id="rId22"/>
          <w:headerReference w:type="first" r:id="rId23"/>
          <w:footerReference w:type="first" r:id="rId24"/>
          <w:footnotePr>
            <w:numRestart w:val="eachPage"/>
          </w:footnotePr>
          <w:pgSz w:w="11907" w:h="16840" w:code="9"/>
          <w:pgMar w:top="1134" w:right="1134" w:bottom="1134" w:left="1134" w:header="567" w:footer="567" w:gutter="0"/>
          <w:cols w:space="708"/>
          <w:docGrid w:linePitch="360"/>
        </w:sectPr>
      </w:pPr>
    </w:p>
    <w:p w:rsidR="00F52AC1" w:rsidRPr="00A8177A" w:rsidRDefault="00F52AC1" w:rsidP="00154FBB">
      <w:pPr>
        <w:pStyle w:val="ParticipantsHeading"/>
        <w:spacing w:before="0"/>
      </w:pPr>
      <w:r w:rsidRPr="00A8177A">
        <w:lastRenderedPageBreak/>
        <w:t>УЧАСТНИЦИ</w:t>
      </w:r>
    </w:p>
    <w:p w:rsidR="00A670A4" w:rsidRPr="00A8177A" w:rsidRDefault="00A670A4" w:rsidP="00154FBB">
      <w:pPr>
        <w:pStyle w:val="ParticipantGroup"/>
        <w:spacing w:before="0"/>
        <w:outlineLvl w:val="0"/>
      </w:pPr>
      <w:r w:rsidRPr="00A8177A">
        <w:t>Белгия:</w:t>
      </w:r>
    </w:p>
    <w:p w:rsidR="00A670A4" w:rsidRPr="00A8177A" w:rsidRDefault="00A670A4" w:rsidP="00154FBB">
      <w:pPr>
        <w:pStyle w:val="Participant"/>
        <w:rPr>
          <w:color w:val="000000"/>
        </w:rPr>
      </w:pPr>
      <w:r w:rsidRPr="00A8177A">
        <w:t xml:space="preserve">Г-жа </w:t>
      </w:r>
      <w:proofErr w:type="spellStart"/>
      <w:r w:rsidRPr="00A8177A">
        <w:t>Isabelle</w:t>
      </w:r>
      <w:proofErr w:type="spellEnd"/>
      <w:r w:rsidRPr="00A8177A">
        <w:t xml:space="preserve"> WEYKMANS</w:t>
      </w:r>
      <w:r w:rsidRPr="00A8177A">
        <w:tab/>
      </w:r>
      <w:r w:rsidRPr="00A8177A">
        <w:rPr>
          <w:color w:val="000000"/>
        </w:rPr>
        <w:t>Заместник министър-председател, министър на културата, заетостта и туризма</w:t>
      </w:r>
    </w:p>
    <w:p w:rsidR="00A670A4" w:rsidRPr="00A8177A" w:rsidRDefault="00A670A4" w:rsidP="00154FBB">
      <w:pPr>
        <w:pStyle w:val="Participant"/>
        <w:rPr>
          <w:color w:val="FF0000"/>
        </w:rPr>
      </w:pPr>
      <w:r w:rsidRPr="00A8177A">
        <w:t>Г-н </w:t>
      </w:r>
      <w:proofErr w:type="spellStart"/>
      <w:r w:rsidRPr="00A8177A">
        <w:t>Olivier</w:t>
      </w:r>
      <w:proofErr w:type="spellEnd"/>
      <w:r w:rsidRPr="00A8177A">
        <w:t xml:space="preserve"> BELLE</w:t>
      </w:r>
      <w:r w:rsidRPr="00A8177A">
        <w:tab/>
        <w:t>Заместник постоянен представител</w:t>
      </w:r>
    </w:p>
    <w:p w:rsidR="00A670A4" w:rsidRPr="00A8177A" w:rsidRDefault="00A670A4" w:rsidP="00154FBB">
      <w:pPr>
        <w:pStyle w:val="ParticipantGroup"/>
        <w:spacing w:before="0"/>
        <w:outlineLvl w:val="0"/>
        <w:rPr>
          <w:b w:val="0"/>
        </w:rPr>
      </w:pPr>
      <w:r w:rsidRPr="00A8177A">
        <w:t>България:</w:t>
      </w:r>
    </w:p>
    <w:p w:rsidR="00A670A4" w:rsidRPr="00A8177A" w:rsidRDefault="00A670A4" w:rsidP="00154FBB">
      <w:pPr>
        <w:pStyle w:val="Participant"/>
        <w:rPr>
          <w:b/>
        </w:rPr>
      </w:pPr>
      <w:r w:rsidRPr="00A8177A">
        <w:t>Г-н Тодор ТАНЕВ</w:t>
      </w:r>
      <w:r w:rsidRPr="00A8177A">
        <w:tab/>
        <w:t>Министър на образованието</w:t>
      </w:r>
    </w:p>
    <w:p w:rsidR="00A670A4" w:rsidRPr="00A8177A" w:rsidRDefault="00A670A4" w:rsidP="00154FBB">
      <w:pPr>
        <w:pStyle w:val="ParticipantGroup"/>
        <w:spacing w:before="0"/>
        <w:outlineLvl w:val="0"/>
      </w:pPr>
      <w:r w:rsidRPr="00A8177A">
        <w:t>Чешка република:</w:t>
      </w:r>
    </w:p>
    <w:p w:rsidR="00A670A4" w:rsidRPr="00A8177A" w:rsidRDefault="00A670A4" w:rsidP="00154FBB">
      <w:pPr>
        <w:pStyle w:val="Participant"/>
        <w:rPr>
          <w:color w:val="FF0000"/>
        </w:rPr>
      </w:pPr>
      <w:r w:rsidRPr="00A8177A">
        <w:t>Г-н </w:t>
      </w:r>
      <w:proofErr w:type="spellStart"/>
      <w:r w:rsidRPr="00A8177A">
        <w:t>Marcel</w:t>
      </w:r>
      <w:proofErr w:type="spellEnd"/>
      <w:r w:rsidRPr="00A8177A">
        <w:t xml:space="preserve"> CHLÁDEK</w:t>
      </w:r>
      <w:r w:rsidRPr="00A8177A">
        <w:tab/>
        <w:t xml:space="preserve">Министър на образованието, </w:t>
      </w:r>
      <w:proofErr w:type="spellStart"/>
      <w:r w:rsidRPr="00A8177A">
        <w:t>младежта</w:t>
      </w:r>
      <w:proofErr w:type="spellEnd"/>
      <w:r w:rsidRPr="00A8177A">
        <w:t xml:space="preserve"> и спорта</w:t>
      </w:r>
    </w:p>
    <w:p w:rsidR="00A670A4" w:rsidRPr="00A8177A" w:rsidRDefault="00A670A4" w:rsidP="00154FBB">
      <w:pPr>
        <w:pStyle w:val="ParticipantGroup"/>
        <w:spacing w:before="0"/>
        <w:outlineLvl w:val="0"/>
      </w:pPr>
      <w:r w:rsidRPr="00A8177A">
        <w:t>Дания:</w:t>
      </w:r>
    </w:p>
    <w:p w:rsidR="00A670A4" w:rsidRPr="00A8177A" w:rsidRDefault="00A670A4" w:rsidP="00154FBB">
      <w:pPr>
        <w:pStyle w:val="Participant"/>
      </w:pPr>
      <w:r w:rsidRPr="00A8177A">
        <w:t>Г-жа </w:t>
      </w:r>
      <w:proofErr w:type="spellStart"/>
      <w:r w:rsidRPr="00A8177A">
        <w:t>Christine</w:t>
      </w:r>
      <w:proofErr w:type="spellEnd"/>
      <w:r w:rsidRPr="00A8177A">
        <w:t xml:space="preserve"> ANTORINI</w:t>
      </w:r>
      <w:r w:rsidRPr="00A8177A">
        <w:tab/>
        <w:t>Министър на образованието</w:t>
      </w:r>
    </w:p>
    <w:p w:rsidR="00A670A4" w:rsidRPr="00A8177A" w:rsidRDefault="00A670A4" w:rsidP="00154FBB">
      <w:pPr>
        <w:pStyle w:val="Participant"/>
        <w:rPr>
          <w:color w:val="FF0000"/>
        </w:rPr>
      </w:pPr>
      <w:r w:rsidRPr="00A8177A">
        <w:t xml:space="preserve">Г-н </w:t>
      </w:r>
      <w:proofErr w:type="spellStart"/>
      <w:r w:rsidRPr="00A8177A">
        <w:t>Ole</w:t>
      </w:r>
      <w:proofErr w:type="spellEnd"/>
      <w:r w:rsidRPr="00A8177A">
        <w:t xml:space="preserve"> TOFT</w:t>
      </w:r>
      <w:r w:rsidRPr="00A8177A">
        <w:tab/>
        <w:t>Заместник постоянен представител</w:t>
      </w:r>
    </w:p>
    <w:p w:rsidR="00A670A4" w:rsidRPr="00A8177A" w:rsidRDefault="00A670A4" w:rsidP="00154FBB">
      <w:pPr>
        <w:pStyle w:val="ParticipantGroup"/>
        <w:spacing w:before="0"/>
        <w:outlineLvl w:val="0"/>
      </w:pPr>
      <w:r w:rsidRPr="00A8177A">
        <w:t>Германия:</w:t>
      </w:r>
    </w:p>
    <w:p w:rsidR="00A670A4" w:rsidRPr="00A8177A" w:rsidRDefault="00A670A4" w:rsidP="00154FBB">
      <w:pPr>
        <w:pStyle w:val="Participant"/>
      </w:pPr>
      <w:r w:rsidRPr="00A8177A">
        <w:t>Г-н </w:t>
      </w:r>
      <w:proofErr w:type="spellStart"/>
      <w:r w:rsidRPr="00A8177A">
        <w:t>Georg</w:t>
      </w:r>
      <w:proofErr w:type="spellEnd"/>
      <w:r w:rsidRPr="00A8177A">
        <w:t xml:space="preserve"> SCHÜTTE</w:t>
      </w:r>
      <w:r w:rsidRPr="00A8177A">
        <w:tab/>
        <w:t>Държавен секретар към Федералното министерство на образованието и научните изследвания</w:t>
      </w:r>
    </w:p>
    <w:p w:rsidR="00A670A4" w:rsidRPr="00A8177A" w:rsidRDefault="00A670A4" w:rsidP="00154FBB">
      <w:pPr>
        <w:pStyle w:val="Participant"/>
      </w:pPr>
      <w:r w:rsidRPr="00A8177A">
        <w:t>Г-н </w:t>
      </w:r>
      <w:proofErr w:type="spellStart"/>
      <w:r w:rsidRPr="00A8177A">
        <w:t>Ralf</w:t>
      </w:r>
      <w:proofErr w:type="spellEnd"/>
      <w:r w:rsidRPr="00A8177A">
        <w:t xml:space="preserve"> KLEINDIEK</w:t>
      </w:r>
      <w:r w:rsidRPr="00A8177A">
        <w:tab/>
      </w:r>
      <w:r w:rsidRPr="00A8177A">
        <w:rPr>
          <w:color w:val="000000"/>
        </w:rPr>
        <w:t xml:space="preserve">Държавен секретар, Федерално министерство по въпросите на семейството, възрастните хора, жените и </w:t>
      </w:r>
      <w:proofErr w:type="spellStart"/>
      <w:r w:rsidRPr="00A8177A">
        <w:rPr>
          <w:color w:val="000000"/>
        </w:rPr>
        <w:t>младежта</w:t>
      </w:r>
      <w:proofErr w:type="spellEnd"/>
    </w:p>
    <w:p w:rsidR="00A670A4" w:rsidRPr="00A8177A" w:rsidRDefault="00A670A4" w:rsidP="00154FBB">
      <w:pPr>
        <w:pStyle w:val="ParticipantGroup"/>
        <w:spacing w:before="0"/>
        <w:outlineLvl w:val="0"/>
        <w:rPr>
          <w:b w:val="0"/>
          <w:u w:val="none"/>
        </w:rPr>
      </w:pPr>
      <w:r w:rsidRPr="00A8177A">
        <w:t>Естония:</w:t>
      </w:r>
    </w:p>
    <w:p w:rsidR="00A670A4" w:rsidRPr="00A8177A" w:rsidRDefault="00A670A4" w:rsidP="00154FBB">
      <w:pPr>
        <w:pStyle w:val="Participant"/>
      </w:pPr>
      <w:r w:rsidRPr="00A8177A">
        <w:t>Г-н </w:t>
      </w:r>
      <w:proofErr w:type="spellStart"/>
      <w:r w:rsidRPr="00A8177A">
        <w:t>Clyde</w:t>
      </w:r>
      <w:proofErr w:type="spellEnd"/>
      <w:r w:rsidRPr="00A8177A">
        <w:t xml:space="preserve"> KULL</w:t>
      </w:r>
      <w:r w:rsidRPr="00A8177A">
        <w:tab/>
        <w:t>Заместник постоянен представител</w:t>
      </w:r>
    </w:p>
    <w:p w:rsidR="00A670A4" w:rsidRPr="00A8177A" w:rsidRDefault="00A670A4" w:rsidP="00154FBB">
      <w:pPr>
        <w:pStyle w:val="ParticipantGroup"/>
        <w:spacing w:before="0"/>
      </w:pPr>
      <w:r w:rsidRPr="00A8177A">
        <w:t>Ирландия:</w:t>
      </w:r>
    </w:p>
    <w:p w:rsidR="00A670A4" w:rsidRPr="00A8177A" w:rsidRDefault="00A670A4" w:rsidP="00154FBB">
      <w:pPr>
        <w:pStyle w:val="Participant"/>
      </w:pPr>
      <w:r w:rsidRPr="00A8177A">
        <w:t>Г-жа Jan O'SULLIVAN</w:t>
      </w:r>
      <w:r w:rsidRPr="00A8177A">
        <w:tab/>
        <w:t>Министър на образованието</w:t>
      </w:r>
    </w:p>
    <w:p w:rsidR="00A670A4" w:rsidRPr="00A8177A" w:rsidRDefault="00A670A4" w:rsidP="00154FBB">
      <w:pPr>
        <w:pStyle w:val="Participant"/>
      </w:pPr>
      <w:r w:rsidRPr="00A8177A">
        <w:t xml:space="preserve">Г-н </w:t>
      </w:r>
      <w:proofErr w:type="spellStart"/>
      <w:r w:rsidRPr="00A8177A">
        <w:t>James</w:t>
      </w:r>
      <w:proofErr w:type="spellEnd"/>
      <w:r w:rsidRPr="00A8177A">
        <w:t xml:space="preserve"> REILLY</w:t>
      </w:r>
      <w:r w:rsidRPr="00A8177A">
        <w:tab/>
      </w:r>
      <w:r w:rsidRPr="00A8177A">
        <w:rPr>
          <w:color w:val="000000"/>
        </w:rPr>
        <w:t>Министър по въпросите на децата и младежите</w:t>
      </w:r>
    </w:p>
    <w:p w:rsidR="00A670A4" w:rsidRPr="00A8177A" w:rsidRDefault="00A670A4" w:rsidP="00154FBB">
      <w:pPr>
        <w:pStyle w:val="ParticipantGroup"/>
        <w:spacing w:before="0"/>
        <w:outlineLvl w:val="0"/>
      </w:pPr>
      <w:r w:rsidRPr="00A8177A">
        <w:t>Гърция:</w:t>
      </w:r>
    </w:p>
    <w:p w:rsidR="00A670A4" w:rsidRPr="00A8177A" w:rsidRDefault="00A670A4" w:rsidP="00154FBB">
      <w:pPr>
        <w:pStyle w:val="Participant"/>
        <w:rPr>
          <w:color w:val="000000"/>
        </w:rPr>
      </w:pPr>
      <w:r w:rsidRPr="00A8177A">
        <w:t xml:space="preserve">Г-н </w:t>
      </w:r>
      <w:proofErr w:type="spellStart"/>
      <w:r w:rsidRPr="00A8177A">
        <w:t>Andreas</w:t>
      </w:r>
      <w:proofErr w:type="spellEnd"/>
      <w:r w:rsidRPr="00A8177A">
        <w:t xml:space="preserve"> LOVERDOS</w:t>
      </w:r>
      <w:r w:rsidRPr="00A8177A">
        <w:tab/>
      </w:r>
      <w:r w:rsidRPr="00A8177A">
        <w:rPr>
          <w:color w:val="000000"/>
        </w:rPr>
        <w:t>Министър на образованието и религиозните въпроси</w:t>
      </w:r>
    </w:p>
    <w:p w:rsidR="00A670A4" w:rsidRPr="00A8177A" w:rsidRDefault="00A670A4" w:rsidP="00154FBB">
      <w:pPr>
        <w:pStyle w:val="Participant"/>
        <w:rPr>
          <w:color w:val="000000"/>
        </w:rPr>
      </w:pPr>
      <w:r w:rsidRPr="00A8177A">
        <w:rPr>
          <w:color w:val="000000"/>
        </w:rPr>
        <w:t>Г-н </w:t>
      </w:r>
      <w:proofErr w:type="spellStart"/>
      <w:r w:rsidRPr="00A8177A">
        <w:rPr>
          <w:color w:val="000000"/>
        </w:rPr>
        <w:t>Gergios</w:t>
      </w:r>
      <w:proofErr w:type="spellEnd"/>
      <w:r w:rsidRPr="00A8177A">
        <w:rPr>
          <w:color w:val="000000"/>
        </w:rPr>
        <w:t xml:space="preserve"> GEORGANTAS</w:t>
      </w:r>
      <w:r w:rsidRPr="00A8177A">
        <w:tab/>
      </w:r>
      <w:r w:rsidRPr="00A8177A">
        <w:rPr>
          <w:color w:val="000000"/>
        </w:rPr>
        <w:t>Държавен секретар за образованието и религиозните въпроси</w:t>
      </w:r>
    </w:p>
    <w:p w:rsidR="00A670A4" w:rsidRPr="00A8177A" w:rsidRDefault="00A670A4" w:rsidP="00154FBB">
      <w:pPr>
        <w:pStyle w:val="ParticipantGroup"/>
        <w:spacing w:before="0"/>
        <w:outlineLvl w:val="0"/>
      </w:pPr>
      <w:r w:rsidRPr="00A8177A">
        <w:t>Испания:</w:t>
      </w:r>
    </w:p>
    <w:p w:rsidR="00A670A4" w:rsidRPr="00A8177A" w:rsidRDefault="00A670A4" w:rsidP="00154FBB">
      <w:pPr>
        <w:pStyle w:val="Participant"/>
        <w:rPr>
          <w:szCs w:val="18"/>
        </w:rPr>
      </w:pPr>
      <w:r w:rsidRPr="00A8177A">
        <w:t>Г-н </w:t>
      </w:r>
      <w:proofErr w:type="spellStart"/>
      <w:r w:rsidRPr="00A8177A">
        <w:t>José</w:t>
      </w:r>
      <w:proofErr w:type="spellEnd"/>
      <w:r w:rsidRPr="00A8177A">
        <w:t xml:space="preserve"> </w:t>
      </w:r>
      <w:proofErr w:type="spellStart"/>
      <w:r w:rsidRPr="00A8177A">
        <w:t>Pascual</w:t>
      </w:r>
      <w:proofErr w:type="spellEnd"/>
      <w:r w:rsidRPr="00A8177A">
        <w:t xml:space="preserve"> MARCO MARTÍNEZ</w:t>
      </w:r>
      <w:r w:rsidRPr="00A8177A">
        <w:tab/>
        <w:t>Заместник постоянен представител</w:t>
      </w:r>
    </w:p>
    <w:p w:rsidR="00A670A4" w:rsidRPr="00A8177A" w:rsidRDefault="00A670A4" w:rsidP="00154FBB">
      <w:pPr>
        <w:pStyle w:val="ParticipantGroup"/>
        <w:spacing w:before="0"/>
        <w:outlineLvl w:val="0"/>
      </w:pPr>
      <w:r w:rsidRPr="00A8177A">
        <w:t>Франция:</w:t>
      </w:r>
    </w:p>
    <w:p w:rsidR="00A670A4" w:rsidRPr="00A8177A" w:rsidRDefault="00A670A4" w:rsidP="00154FBB">
      <w:pPr>
        <w:pStyle w:val="Participant"/>
        <w:rPr>
          <w:color w:val="FF0000"/>
          <w:szCs w:val="18"/>
        </w:rPr>
      </w:pPr>
      <w:r w:rsidRPr="00A8177A">
        <w:t xml:space="preserve">Г-жа </w:t>
      </w:r>
      <w:proofErr w:type="spellStart"/>
      <w:r w:rsidRPr="00A8177A">
        <w:t>Geneviève</w:t>
      </w:r>
      <w:proofErr w:type="spellEnd"/>
      <w:r w:rsidRPr="00A8177A">
        <w:t xml:space="preserve"> FIORASO</w:t>
      </w:r>
      <w:r w:rsidRPr="00A8177A">
        <w:tab/>
      </w:r>
      <w:r w:rsidRPr="00A8177A">
        <w:rPr>
          <w:color w:val="000000"/>
        </w:rPr>
        <w:t>Държавен секретар, отговарящ за висшето образование и научноизследователската дейност</w:t>
      </w:r>
    </w:p>
    <w:p w:rsidR="00A670A4" w:rsidRPr="00A8177A" w:rsidRDefault="00A670A4" w:rsidP="00154FBB">
      <w:pPr>
        <w:pStyle w:val="Participant"/>
        <w:rPr>
          <w:szCs w:val="18"/>
        </w:rPr>
      </w:pPr>
      <w:r w:rsidRPr="00A8177A">
        <w:t>Г-н </w:t>
      </w:r>
      <w:proofErr w:type="spellStart"/>
      <w:r w:rsidRPr="00A8177A">
        <w:t>Alexis</w:t>
      </w:r>
      <w:proofErr w:type="spellEnd"/>
      <w:r w:rsidRPr="00A8177A">
        <w:t xml:space="preserve"> DUTERTRE</w:t>
      </w:r>
      <w:r w:rsidRPr="00A8177A">
        <w:tab/>
        <w:t>Заместник постоянен представител</w:t>
      </w:r>
    </w:p>
    <w:p w:rsidR="00A670A4" w:rsidRPr="00A8177A" w:rsidRDefault="00A670A4" w:rsidP="00154FBB">
      <w:pPr>
        <w:pStyle w:val="ParticipantGroup"/>
        <w:spacing w:before="0"/>
        <w:outlineLvl w:val="0"/>
      </w:pPr>
      <w:r w:rsidRPr="00A8177A">
        <w:t>Хърватия:</w:t>
      </w:r>
    </w:p>
    <w:p w:rsidR="00A670A4" w:rsidRPr="00A8177A" w:rsidRDefault="00A670A4" w:rsidP="00154FBB">
      <w:pPr>
        <w:pStyle w:val="Participant"/>
      </w:pPr>
      <w:r w:rsidRPr="00A8177A">
        <w:t xml:space="preserve">Г-н </w:t>
      </w:r>
      <w:proofErr w:type="spellStart"/>
      <w:r w:rsidRPr="00A8177A">
        <w:t>Vedran</w:t>
      </w:r>
      <w:proofErr w:type="spellEnd"/>
      <w:r w:rsidRPr="00A8177A">
        <w:t xml:space="preserve"> MORNAR</w:t>
      </w:r>
      <w:r w:rsidRPr="00A8177A">
        <w:tab/>
      </w:r>
      <w:r w:rsidRPr="00A8177A">
        <w:rPr>
          <w:color w:val="000000"/>
        </w:rPr>
        <w:t>Министър на науката, образованието и спорта</w:t>
      </w:r>
    </w:p>
    <w:p w:rsidR="00A670A4" w:rsidRPr="00A8177A" w:rsidRDefault="00A670A4" w:rsidP="00154FBB">
      <w:pPr>
        <w:pStyle w:val="Participant"/>
      </w:pPr>
      <w:r w:rsidRPr="00A8177A">
        <w:t>Г-н </w:t>
      </w:r>
      <w:proofErr w:type="spellStart"/>
      <w:r w:rsidRPr="00A8177A">
        <w:t>Goran</w:t>
      </w:r>
      <w:proofErr w:type="spellEnd"/>
      <w:r w:rsidRPr="00A8177A">
        <w:t xml:space="preserve"> </w:t>
      </w:r>
      <w:proofErr w:type="spellStart"/>
      <w:r w:rsidRPr="00A8177A">
        <w:t>ŠTEFANIĆ</w:t>
      </w:r>
      <w:proofErr w:type="spellEnd"/>
      <w:r w:rsidRPr="00A8177A">
        <w:tab/>
        <w:t>Заместник постоянен представител</w:t>
      </w:r>
    </w:p>
    <w:p w:rsidR="00A670A4" w:rsidRPr="00A8177A" w:rsidRDefault="00A670A4" w:rsidP="00154FBB">
      <w:pPr>
        <w:pStyle w:val="ParticipantGroup"/>
        <w:spacing w:before="0"/>
        <w:outlineLvl w:val="0"/>
      </w:pPr>
      <w:r w:rsidRPr="00A8177A">
        <w:t>Италия:</w:t>
      </w:r>
    </w:p>
    <w:p w:rsidR="00A670A4" w:rsidRPr="00A8177A" w:rsidRDefault="00A670A4" w:rsidP="00154FBB">
      <w:pPr>
        <w:pStyle w:val="Participant"/>
        <w:rPr>
          <w:color w:val="000000"/>
        </w:rPr>
      </w:pPr>
      <w:r w:rsidRPr="00A8177A">
        <w:t xml:space="preserve">Г-жа </w:t>
      </w:r>
      <w:proofErr w:type="spellStart"/>
      <w:r w:rsidRPr="00A8177A">
        <w:t>Stefania</w:t>
      </w:r>
      <w:proofErr w:type="spellEnd"/>
      <w:r w:rsidRPr="00A8177A">
        <w:t xml:space="preserve"> GIANNINI</w:t>
      </w:r>
      <w:r w:rsidRPr="00A8177A">
        <w:tab/>
      </w:r>
      <w:r w:rsidRPr="00A8177A">
        <w:rPr>
          <w:color w:val="000000"/>
        </w:rPr>
        <w:t>Министър на образованието, университетите и научноизследователската дейност</w:t>
      </w:r>
    </w:p>
    <w:p w:rsidR="00A670A4" w:rsidRPr="00A8177A" w:rsidRDefault="00A670A4" w:rsidP="00154FBB">
      <w:pPr>
        <w:pStyle w:val="Participant"/>
        <w:rPr>
          <w:color w:val="000000"/>
        </w:rPr>
      </w:pPr>
      <w:r w:rsidRPr="00A8177A">
        <w:t xml:space="preserve">Г-н </w:t>
      </w:r>
      <w:proofErr w:type="spellStart"/>
      <w:r w:rsidRPr="00A8177A">
        <w:t>Luigi</w:t>
      </w:r>
      <w:proofErr w:type="spellEnd"/>
      <w:r w:rsidRPr="00A8177A">
        <w:t xml:space="preserve"> </w:t>
      </w:r>
      <w:proofErr w:type="spellStart"/>
      <w:r w:rsidRPr="00A8177A">
        <w:t>BOBBA</w:t>
      </w:r>
      <w:r w:rsidRPr="00A8177A">
        <w:rPr>
          <w:color w:val="000000"/>
        </w:rPr>
        <w:t>Държавен</w:t>
      </w:r>
      <w:proofErr w:type="spellEnd"/>
      <w:r w:rsidRPr="00A8177A">
        <w:rPr>
          <w:color w:val="000000"/>
        </w:rPr>
        <w:t xml:space="preserve"> секретар по въпросите на труда и социалната политика</w:t>
      </w:r>
    </w:p>
    <w:p w:rsidR="00A670A4" w:rsidRPr="00A8177A" w:rsidRDefault="00A670A4" w:rsidP="00154FBB">
      <w:pPr>
        <w:pStyle w:val="Participant"/>
        <w:rPr>
          <w:color w:val="000000"/>
          <w:szCs w:val="18"/>
        </w:rPr>
      </w:pPr>
      <w:r w:rsidRPr="00A8177A">
        <w:t xml:space="preserve">Г-н </w:t>
      </w:r>
      <w:proofErr w:type="spellStart"/>
      <w:r w:rsidRPr="00A8177A">
        <w:t>Giuliano</w:t>
      </w:r>
      <w:proofErr w:type="spellEnd"/>
      <w:r w:rsidRPr="00A8177A">
        <w:t xml:space="preserve"> </w:t>
      </w:r>
      <w:proofErr w:type="spellStart"/>
      <w:r w:rsidRPr="00A8177A">
        <w:t>POLETTI</w:t>
      </w:r>
      <w:r w:rsidRPr="00A8177A">
        <w:rPr>
          <w:color w:val="000000"/>
        </w:rPr>
        <w:t>Министър</w:t>
      </w:r>
      <w:proofErr w:type="spellEnd"/>
      <w:r w:rsidRPr="00A8177A">
        <w:rPr>
          <w:color w:val="000000"/>
        </w:rPr>
        <w:t xml:space="preserve"> на труда и социалната политика</w:t>
      </w:r>
    </w:p>
    <w:p w:rsidR="00A670A4" w:rsidRPr="00A8177A" w:rsidRDefault="00A670A4" w:rsidP="00154FBB">
      <w:pPr>
        <w:pStyle w:val="ParticipantGroup"/>
        <w:spacing w:before="0"/>
        <w:outlineLvl w:val="0"/>
      </w:pPr>
      <w:r w:rsidRPr="00A8177A">
        <w:t>Кипър:</w:t>
      </w:r>
    </w:p>
    <w:p w:rsidR="00A670A4" w:rsidRPr="00A8177A" w:rsidRDefault="00A670A4" w:rsidP="00154FBB">
      <w:pPr>
        <w:pStyle w:val="Participant"/>
        <w:rPr>
          <w:szCs w:val="18"/>
        </w:rPr>
      </w:pPr>
      <w:r w:rsidRPr="00A8177A">
        <w:t>Г-жа Maria HADJITHEODOSIOU</w:t>
      </w:r>
      <w:r w:rsidRPr="00A8177A">
        <w:tab/>
        <w:t>Заместник постоянен представител</w:t>
      </w:r>
    </w:p>
    <w:p w:rsidR="00A670A4" w:rsidRPr="00A8177A" w:rsidRDefault="00A670A4" w:rsidP="00154FBB">
      <w:pPr>
        <w:pStyle w:val="ParticipantGroup"/>
        <w:spacing w:before="0"/>
        <w:outlineLvl w:val="0"/>
      </w:pPr>
      <w:r w:rsidRPr="00A8177A">
        <w:t>Латвия:</w:t>
      </w:r>
    </w:p>
    <w:p w:rsidR="00A670A4" w:rsidRPr="00A8177A" w:rsidRDefault="00A670A4" w:rsidP="00154FBB">
      <w:pPr>
        <w:pStyle w:val="Participant"/>
        <w:rPr>
          <w:szCs w:val="18"/>
        </w:rPr>
      </w:pPr>
      <w:r w:rsidRPr="00A8177A">
        <w:t xml:space="preserve">Г-жа </w:t>
      </w:r>
      <w:proofErr w:type="spellStart"/>
      <w:r w:rsidRPr="00A8177A">
        <w:t>Mārīte</w:t>
      </w:r>
      <w:proofErr w:type="spellEnd"/>
      <w:r w:rsidRPr="00A8177A">
        <w:t xml:space="preserve"> SEILE</w:t>
      </w:r>
      <w:r w:rsidRPr="00A8177A">
        <w:tab/>
        <w:t>Министър на образованието и науката</w:t>
      </w:r>
    </w:p>
    <w:p w:rsidR="00A670A4" w:rsidRPr="00A8177A" w:rsidRDefault="00A670A4" w:rsidP="00154FBB">
      <w:pPr>
        <w:pStyle w:val="Participant"/>
        <w:rPr>
          <w:szCs w:val="18"/>
        </w:rPr>
      </w:pPr>
      <w:r w:rsidRPr="00A8177A">
        <w:t>Г-н </w:t>
      </w:r>
      <w:proofErr w:type="spellStart"/>
      <w:r w:rsidRPr="00A8177A">
        <w:t>Uldis</w:t>
      </w:r>
      <w:proofErr w:type="spellEnd"/>
      <w:r w:rsidRPr="00A8177A">
        <w:t xml:space="preserve"> AUGULIS</w:t>
      </w:r>
      <w:r w:rsidRPr="00A8177A">
        <w:tab/>
        <w:t>Министър на социалните грижи</w:t>
      </w:r>
    </w:p>
    <w:p w:rsidR="00A670A4" w:rsidRPr="00A8177A" w:rsidRDefault="00A670A4" w:rsidP="00154FBB">
      <w:pPr>
        <w:pStyle w:val="ParticipantGroup"/>
        <w:spacing w:before="0"/>
        <w:outlineLvl w:val="0"/>
      </w:pPr>
      <w:r w:rsidRPr="00A8177A">
        <w:t>Литва:</w:t>
      </w:r>
    </w:p>
    <w:p w:rsidR="00A670A4" w:rsidRPr="00A8177A" w:rsidRDefault="00A670A4" w:rsidP="00154FBB">
      <w:pPr>
        <w:pStyle w:val="Participant"/>
        <w:rPr>
          <w:szCs w:val="18"/>
        </w:rPr>
      </w:pPr>
      <w:r w:rsidRPr="00A8177A">
        <w:t>Г-н </w:t>
      </w:r>
      <w:proofErr w:type="spellStart"/>
      <w:r w:rsidRPr="00A8177A">
        <w:t>Dainius</w:t>
      </w:r>
      <w:proofErr w:type="spellEnd"/>
      <w:r w:rsidRPr="00A8177A">
        <w:t xml:space="preserve"> PAVALKIS</w:t>
      </w:r>
      <w:r w:rsidRPr="00A8177A">
        <w:tab/>
        <w:t>Министър на образованието и науката</w:t>
      </w:r>
    </w:p>
    <w:p w:rsidR="00A670A4" w:rsidRPr="00A8177A" w:rsidRDefault="00A670A4" w:rsidP="00154FBB">
      <w:pPr>
        <w:pStyle w:val="Participant"/>
        <w:rPr>
          <w:szCs w:val="18"/>
        </w:rPr>
      </w:pPr>
      <w:r w:rsidRPr="00A8177A">
        <w:t>Г-н </w:t>
      </w:r>
      <w:proofErr w:type="spellStart"/>
      <w:r w:rsidRPr="00A8177A">
        <w:t>Albinas</w:t>
      </w:r>
      <w:proofErr w:type="spellEnd"/>
      <w:r w:rsidRPr="00A8177A">
        <w:t xml:space="preserve"> ZANANAVIČIUS</w:t>
      </w:r>
      <w:r w:rsidRPr="00A8177A">
        <w:tab/>
        <w:t>Заместник постоянен представител</w:t>
      </w:r>
    </w:p>
    <w:p w:rsidR="00A670A4" w:rsidRPr="00A8177A" w:rsidRDefault="00A670A4" w:rsidP="00154FBB">
      <w:pPr>
        <w:pStyle w:val="ParticipantGroup"/>
        <w:spacing w:before="0"/>
        <w:outlineLvl w:val="0"/>
      </w:pPr>
      <w:r w:rsidRPr="00A8177A">
        <w:t>Люксембург:</w:t>
      </w:r>
    </w:p>
    <w:p w:rsidR="00A670A4" w:rsidRPr="00A8177A" w:rsidRDefault="00A670A4" w:rsidP="00154FBB">
      <w:pPr>
        <w:pStyle w:val="Participant"/>
        <w:rPr>
          <w:color w:val="FF0000"/>
          <w:szCs w:val="18"/>
        </w:rPr>
      </w:pPr>
      <w:r w:rsidRPr="00A8177A">
        <w:t xml:space="preserve">Г-н </w:t>
      </w:r>
      <w:proofErr w:type="spellStart"/>
      <w:r w:rsidRPr="00A8177A">
        <w:t>Claude</w:t>
      </w:r>
      <w:proofErr w:type="spellEnd"/>
      <w:r w:rsidRPr="00A8177A">
        <w:t xml:space="preserve"> MEISCH</w:t>
      </w:r>
      <w:r w:rsidRPr="00A8177A">
        <w:tab/>
        <w:t>Министър на националното образование, по въпросите на децата и младите хора</w:t>
      </w:r>
    </w:p>
    <w:p w:rsidR="00A670A4" w:rsidRPr="00A8177A" w:rsidRDefault="00A670A4" w:rsidP="00154FBB">
      <w:pPr>
        <w:pStyle w:val="Participant"/>
        <w:rPr>
          <w:szCs w:val="18"/>
        </w:rPr>
      </w:pPr>
      <w:r w:rsidRPr="00A8177A">
        <w:t>Г-н </w:t>
      </w:r>
      <w:proofErr w:type="spellStart"/>
      <w:r w:rsidRPr="00A8177A">
        <w:t>Nicolas</w:t>
      </w:r>
      <w:proofErr w:type="spellEnd"/>
      <w:r w:rsidRPr="00A8177A">
        <w:t xml:space="preserve"> SCHMIT</w:t>
      </w:r>
      <w:r w:rsidRPr="00A8177A">
        <w:tab/>
      </w:r>
      <w:r w:rsidRPr="00A8177A">
        <w:rPr>
          <w:color w:val="000000"/>
        </w:rPr>
        <w:t>Министър на труда, заетостта и на социалната икономика и солидарността</w:t>
      </w:r>
    </w:p>
    <w:p w:rsidR="00A670A4" w:rsidRPr="00A8177A" w:rsidRDefault="00A670A4" w:rsidP="00154FBB">
      <w:pPr>
        <w:pStyle w:val="ParticipantGroup"/>
        <w:spacing w:before="0"/>
        <w:outlineLvl w:val="0"/>
      </w:pPr>
      <w:r w:rsidRPr="00A8177A">
        <w:t>Унгария:</w:t>
      </w:r>
    </w:p>
    <w:p w:rsidR="00A670A4" w:rsidRPr="00A8177A" w:rsidRDefault="00A670A4" w:rsidP="00154FBB">
      <w:pPr>
        <w:pStyle w:val="Participant"/>
      </w:pPr>
      <w:r w:rsidRPr="00A8177A">
        <w:t>Г-н </w:t>
      </w:r>
      <w:proofErr w:type="spellStart"/>
      <w:r w:rsidRPr="00A8177A">
        <w:t>László</w:t>
      </w:r>
      <w:proofErr w:type="spellEnd"/>
      <w:r w:rsidRPr="00A8177A">
        <w:t xml:space="preserve"> PALKOVICS</w:t>
      </w:r>
      <w:r w:rsidRPr="00A8177A">
        <w:tab/>
      </w:r>
      <w:r w:rsidRPr="00A8177A">
        <w:rPr>
          <w:color w:val="000000"/>
        </w:rPr>
        <w:t>Държавен секретар, отговарящ за висшето образование, Министерство на човешките ресурси</w:t>
      </w:r>
    </w:p>
    <w:p w:rsidR="00A670A4" w:rsidRPr="00A8177A" w:rsidRDefault="00A670A4" w:rsidP="00154FBB">
      <w:pPr>
        <w:pStyle w:val="ParticipantGroup"/>
        <w:spacing w:before="0"/>
        <w:outlineLvl w:val="0"/>
      </w:pPr>
      <w:r w:rsidRPr="00A8177A">
        <w:t>Малта:</w:t>
      </w:r>
    </w:p>
    <w:p w:rsidR="00A670A4" w:rsidRPr="00A8177A" w:rsidRDefault="00A670A4" w:rsidP="00154FBB">
      <w:pPr>
        <w:pStyle w:val="Participant"/>
        <w:rPr>
          <w:szCs w:val="18"/>
        </w:rPr>
      </w:pPr>
      <w:r w:rsidRPr="00A8177A">
        <w:t xml:space="preserve">Г-н </w:t>
      </w:r>
      <w:proofErr w:type="spellStart"/>
      <w:r w:rsidRPr="00A8177A">
        <w:t>Neil</w:t>
      </w:r>
      <w:proofErr w:type="spellEnd"/>
      <w:r w:rsidRPr="00A8177A">
        <w:t xml:space="preserve"> KERR</w:t>
      </w:r>
      <w:r w:rsidRPr="00A8177A">
        <w:tab/>
        <w:t>Заместник постоянен представител</w:t>
      </w:r>
    </w:p>
    <w:p w:rsidR="00A670A4" w:rsidRPr="00A8177A" w:rsidRDefault="00A670A4" w:rsidP="00424B68">
      <w:pPr>
        <w:pStyle w:val="ParticipantGroup"/>
        <w:pageBreakBefore/>
        <w:outlineLvl w:val="0"/>
      </w:pPr>
      <w:r w:rsidRPr="00A8177A">
        <w:lastRenderedPageBreak/>
        <w:t>Нидерландия:</w:t>
      </w:r>
    </w:p>
    <w:p w:rsidR="00A670A4" w:rsidRPr="00A8177A" w:rsidRDefault="00A670A4" w:rsidP="00A670A4">
      <w:pPr>
        <w:pStyle w:val="Participant"/>
        <w:rPr>
          <w:color w:val="FF0000"/>
          <w:szCs w:val="18"/>
        </w:rPr>
      </w:pPr>
      <w:r w:rsidRPr="00A8177A">
        <w:t xml:space="preserve">Г-жа </w:t>
      </w:r>
      <w:proofErr w:type="spellStart"/>
      <w:r w:rsidRPr="00A8177A">
        <w:t>Jet</w:t>
      </w:r>
      <w:proofErr w:type="spellEnd"/>
      <w:r w:rsidRPr="00A8177A">
        <w:t xml:space="preserve"> BUSSEMAKER</w:t>
      </w:r>
      <w:r w:rsidRPr="00A8177A">
        <w:tab/>
        <w:t>Министър на образованието, културата и науката</w:t>
      </w:r>
    </w:p>
    <w:p w:rsidR="00A670A4" w:rsidRPr="00A8177A" w:rsidRDefault="00A670A4" w:rsidP="00A670A4">
      <w:pPr>
        <w:pStyle w:val="ParticipantGroup"/>
        <w:outlineLvl w:val="0"/>
      </w:pPr>
      <w:r w:rsidRPr="00A8177A">
        <w:t>Австрия:</w:t>
      </w:r>
    </w:p>
    <w:p w:rsidR="00A670A4" w:rsidRPr="00A8177A" w:rsidRDefault="00A670A4" w:rsidP="00A670A4">
      <w:pPr>
        <w:pStyle w:val="Participant"/>
        <w:rPr>
          <w:color w:val="FF0000"/>
          <w:szCs w:val="18"/>
        </w:rPr>
      </w:pPr>
      <w:r w:rsidRPr="00A8177A">
        <w:t>Г-жа </w:t>
      </w:r>
      <w:proofErr w:type="spellStart"/>
      <w:r w:rsidRPr="00A8177A">
        <w:t>Gabriele</w:t>
      </w:r>
      <w:proofErr w:type="spellEnd"/>
      <w:r w:rsidRPr="00A8177A">
        <w:t xml:space="preserve"> HEINISCH-HOSEK</w:t>
      </w:r>
      <w:r w:rsidRPr="00A8177A">
        <w:tab/>
        <w:t>Федерален министър по въпросите на образованието и жените</w:t>
      </w:r>
    </w:p>
    <w:p w:rsidR="00A670A4" w:rsidRPr="00A8177A" w:rsidRDefault="00A670A4" w:rsidP="00A670A4">
      <w:pPr>
        <w:pStyle w:val="Participant"/>
      </w:pPr>
      <w:r w:rsidRPr="00A8177A">
        <w:t xml:space="preserve">Г-н </w:t>
      </w:r>
      <w:proofErr w:type="spellStart"/>
      <w:r w:rsidRPr="00A8177A">
        <w:t>Gregor</w:t>
      </w:r>
      <w:proofErr w:type="spellEnd"/>
      <w:r w:rsidRPr="00A8177A">
        <w:t xml:space="preserve"> SCHUSTERSCHITZ</w:t>
      </w:r>
      <w:r w:rsidRPr="00A8177A">
        <w:tab/>
        <w:t>Заместник постоянен представител</w:t>
      </w:r>
    </w:p>
    <w:p w:rsidR="00A670A4" w:rsidRPr="00A8177A" w:rsidRDefault="00A670A4" w:rsidP="00A670A4">
      <w:pPr>
        <w:pStyle w:val="ParticipantGroup"/>
        <w:outlineLvl w:val="0"/>
      </w:pPr>
      <w:r w:rsidRPr="00A8177A">
        <w:t>Полша:</w:t>
      </w:r>
    </w:p>
    <w:p w:rsidR="00A670A4" w:rsidRPr="00A8177A" w:rsidRDefault="00A670A4" w:rsidP="00A670A4">
      <w:pPr>
        <w:pStyle w:val="Participant"/>
      </w:pPr>
      <w:r w:rsidRPr="00A8177A">
        <w:t xml:space="preserve">Г-жа </w:t>
      </w:r>
      <w:proofErr w:type="spellStart"/>
      <w:r w:rsidRPr="00A8177A">
        <w:t>Ewa</w:t>
      </w:r>
      <w:proofErr w:type="spellEnd"/>
      <w:r w:rsidRPr="00A8177A">
        <w:t xml:space="preserve"> DUDEK</w:t>
      </w:r>
      <w:r w:rsidRPr="00A8177A">
        <w:tab/>
        <w:t>Заместник държавен секретар, Министерство на образованието</w:t>
      </w:r>
    </w:p>
    <w:p w:rsidR="00A670A4" w:rsidRPr="00A8177A" w:rsidRDefault="00A670A4" w:rsidP="00A670A4">
      <w:pPr>
        <w:pStyle w:val="ParticipantGroup"/>
        <w:outlineLvl w:val="0"/>
      </w:pPr>
      <w:r w:rsidRPr="00A8177A">
        <w:t>Португалия:</w:t>
      </w:r>
    </w:p>
    <w:p w:rsidR="00A670A4" w:rsidRPr="00A8177A" w:rsidRDefault="00A670A4" w:rsidP="00A670A4">
      <w:pPr>
        <w:pStyle w:val="Participant"/>
      </w:pPr>
      <w:r w:rsidRPr="00A8177A">
        <w:t>Г-н </w:t>
      </w:r>
      <w:proofErr w:type="spellStart"/>
      <w:r w:rsidRPr="00A8177A">
        <w:t>Nuno</w:t>
      </w:r>
      <w:proofErr w:type="spellEnd"/>
      <w:r w:rsidRPr="00A8177A">
        <w:t xml:space="preserve"> CRATO</w:t>
      </w:r>
      <w:r w:rsidRPr="00A8177A">
        <w:tab/>
        <w:t>Министър на образованието и науката</w:t>
      </w:r>
    </w:p>
    <w:p w:rsidR="00A670A4" w:rsidRPr="00A8177A" w:rsidRDefault="00A670A4" w:rsidP="00A670A4">
      <w:pPr>
        <w:pStyle w:val="Participant"/>
      </w:pPr>
      <w:r w:rsidRPr="00A8177A">
        <w:t xml:space="preserve">Г-н </w:t>
      </w:r>
      <w:proofErr w:type="spellStart"/>
      <w:r w:rsidRPr="00A8177A">
        <w:t>Emídio</w:t>
      </w:r>
      <w:proofErr w:type="spellEnd"/>
      <w:r w:rsidRPr="00A8177A">
        <w:t xml:space="preserve"> GUERREIRO</w:t>
      </w:r>
      <w:r w:rsidRPr="00A8177A">
        <w:tab/>
        <w:t xml:space="preserve">Държавен секретар по въпросите на спорта и </w:t>
      </w:r>
      <w:proofErr w:type="spellStart"/>
      <w:r w:rsidRPr="00A8177A">
        <w:t>младежта</w:t>
      </w:r>
      <w:proofErr w:type="spellEnd"/>
    </w:p>
    <w:p w:rsidR="00A670A4" w:rsidRPr="00A8177A" w:rsidRDefault="00A670A4" w:rsidP="00A670A4">
      <w:pPr>
        <w:pStyle w:val="ParticipantGroup"/>
        <w:outlineLvl w:val="0"/>
      </w:pPr>
      <w:r w:rsidRPr="00A8177A">
        <w:t>Румъния:</w:t>
      </w:r>
    </w:p>
    <w:p w:rsidR="00A670A4" w:rsidRPr="00A8177A" w:rsidRDefault="00A670A4" w:rsidP="00A670A4">
      <w:pPr>
        <w:pStyle w:val="Participant"/>
      </w:pPr>
      <w:r w:rsidRPr="00A8177A">
        <w:t xml:space="preserve">Г-н </w:t>
      </w:r>
      <w:proofErr w:type="spellStart"/>
      <w:r w:rsidRPr="00A8177A">
        <w:t>Cristian</w:t>
      </w:r>
      <w:proofErr w:type="spellEnd"/>
      <w:r w:rsidRPr="00A8177A">
        <w:t xml:space="preserve"> COSMIN</w:t>
      </w:r>
      <w:r w:rsidRPr="00A8177A">
        <w:tab/>
        <w:t xml:space="preserve">Държавен секретар, Министерство на </w:t>
      </w:r>
      <w:proofErr w:type="spellStart"/>
      <w:r w:rsidRPr="00A8177A">
        <w:t>младежта</w:t>
      </w:r>
      <w:proofErr w:type="spellEnd"/>
      <w:r w:rsidRPr="00A8177A">
        <w:t xml:space="preserve"> и спорта</w:t>
      </w:r>
    </w:p>
    <w:p w:rsidR="00A670A4" w:rsidRPr="00A8177A" w:rsidRDefault="00A670A4" w:rsidP="00A670A4">
      <w:pPr>
        <w:pStyle w:val="Participant"/>
      </w:pPr>
      <w:r w:rsidRPr="00A8177A">
        <w:t>Г-н </w:t>
      </w:r>
      <w:proofErr w:type="spellStart"/>
      <w:r w:rsidRPr="00A8177A">
        <w:t>Cristian</w:t>
      </w:r>
      <w:proofErr w:type="spellEnd"/>
      <w:r w:rsidRPr="00A8177A">
        <w:t xml:space="preserve"> BADESCU</w:t>
      </w:r>
      <w:r w:rsidRPr="00A8177A">
        <w:tab/>
        <w:t>Заместник постоянен представител</w:t>
      </w:r>
    </w:p>
    <w:p w:rsidR="00A670A4" w:rsidRPr="00A8177A" w:rsidRDefault="00A670A4" w:rsidP="00A670A4">
      <w:pPr>
        <w:pStyle w:val="ParticipantGroup"/>
        <w:outlineLvl w:val="0"/>
      </w:pPr>
      <w:r w:rsidRPr="00A8177A">
        <w:t>Словения:</w:t>
      </w:r>
    </w:p>
    <w:p w:rsidR="00A670A4" w:rsidRPr="00A8177A" w:rsidRDefault="00A670A4" w:rsidP="00A670A4">
      <w:pPr>
        <w:pStyle w:val="Participant"/>
        <w:rPr>
          <w:szCs w:val="18"/>
        </w:rPr>
      </w:pPr>
      <w:r w:rsidRPr="00A8177A">
        <w:t>Г-жа </w:t>
      </w:r>
      <w:proofErr w:type="spellStart"/>
      <w:r w:rsidRPr="00A8177A">
        <w:t>Stanka</w:t>
      </w:r>
      <w:proofErr w:type="spellEnd"/>
      <w:r w:rsidRPr="00A8177A">
        <w:t xml:space="preserve"> SETNIKAR CANKAR</w:t>
      </w:r>
      <w:r w:rsidRPr="00A8177A">
        <w:tab/>
      </w:r>
      <w:r w:rsidRPr="00A8177A">
        <w:rPr>
          <w:color w:val="000000"/>
        </w:rPr>
        <w:t>Министър на образованието, науката и спорта</w:t>
      </w:r>
    </w:p>
    <w:p w:rsidR="00A670A4" w:rsidRPr="00A8177A" w:rsidRDefault="00A670A4" w:rsidP="00A670A4">
      <w:pPr>
        <w:pStyle w:val="ParticipantGroup"/>
        <w:outlineLvl w:val="0"/>
      </w:pPr>
      <w:r w:rsidRPr="00A8177A">
        <w:t>Словакия:</w:t>
      </w:r>
    </w:p>
    <w:p w:rsidR="00A670A4" w:rsidRPr="00A8177A" w:rsidRDefault="00A670A4" w:rsidP="00A670A4">
      <w:pPr>
        <w:pStyle w:val="Participant"/>
        <w:rPr>
          <w:szCs w:val="18"/>
        </w:rPr>
      </w:pPr>
      <w:r w:rsidRPr="00A8177A">
        <w:t>Г-н Alexander MICOVČIN</w:t>
      </w:r>
      <w:r w:rsidRPr="00A8177A">
        <w:tab/>
        <w:t>Заместник постоянен представител</w:t>
      </w:r>
    </w:p>
    <w:p w:rsidR="00A670A4" w:rsidRPr="00A8177A" w:rsidRDefault="00A670A4" w:rsidP="00A670A4">
      <w:pPr>
        <w:pStyle w:val="ParticipantGroup"/>
        <w:outlineLvl w:val="0"/>
      </w:pPr>
      <w:r w:rsidRPr="00A8177A">
        <w:t>Финландия:</w:t>
      </w:r>
    </w:p>
    <w:p w:rsidR="00A670A4" w:rsidRPr="00A8177A" w:rsidRDefault="00A670A4" w:rsidP="00A670A4">
      <w:pPr>
        <w:pStyle w:val="Participant"/>
      </w:pPr>
      <w:r w:rsidRPr="00A8177A">
        <w:t>Г-жа Marianne HUUSKO-LAMPONEN</w:t>
      </w:r>
      <w:r w:rsidRPr="00A8177A">
        <w:tab/>
        <w:t>Заместник постоянен представител</w:t>
      </w:r>
    </w:p>
    <w:p w:rsidR="00A670A4" w:rsidRPr="00A8177A" w:rsidRDefault="00A670A4" w:rsidP="00A670A4">
      <w:pPr>
        <w:pStyle w:val="Participant"/>
        <w:rPr>
          <w:b/>
          <w:u w:val="single"/>
        </w:rPr>
      </w:pPr>
      <w:r w:rsidRPr="00A8177A">
        <w:rPr>
          <w:b/>
          <w:u w:val="single"/>
        </w:rPr>
        <w:t>Швеция:</w:t>
      </w:r>
    </w:p>
    <w:p w:rsidR="00A670A4" w:rsidRPr="00A8177A" w:rsidRDefault="00A670A4" w:rsidP="00A670A4">
      <w:pPr>
        <w:pStyle w:val="Participant"/>
      </w:pPr>
      <w:r w:rsidRPr="00A8177A">
        <w:t>Г-жа </w:t>
      </w:r>
      <w:proofErr w:type="spellStart"/>
      <w:r w:rsidRPr="00A8177A">
        <w:t>Aida</w:t>
      </w:r>
      <w:proofErr w:type="spellEnd"/>
      <w:r w:rsidRPr="00A8177A">
        <w:t xml:space="preserve"> HADZIALIC</w:t>
      </w:r>
      <w:r w:rsidRPr="00A8177A">
        <w:tab/>
        <w:t>Министър на средното образование и образованието и обучението за възрастни</w:t>
      </w:r>
    </w:p>
    <w:p w:rsidR="00A670A4" w:rsidRPr="00A8177A" w:rsidRDefault="00A670A4" w:rsidP="00A670A4">
      <w:pPr>
        <w:pStyle w:val="Participant"/>
      </w:pPr>
      <w:r w:rsidRPr="00A8177A">
        <w:t>Г-н </w:t>
      </w:r>
      <w:proofErr w:type="spellStart"/>
      <w:r w:rsidRPr="00A8177A">
        <w:t>Gustav</w:t>
      </w:r>
      <w:proofErr w:type="spellEnd"/>
      <w:r w:rsidRPr="00A8177A">
        <w:t xml:space="preserve"> FRIDOLIN</w:t>
      </w:r>
      <w:r w:rsidRPr="00A8177A">
        <w:tab/>
        <w:t>Министър на образованието</w:t>
      </w:r>
    </w:p>
    <w:p w:rsidR="00A670A4" w:rsidRPr="00A8177A" w:rsidRDefault="00A670A4" w:rsidP="00A670A4">
      <w:pPr>
        <w:pStyle w:val="ParticipantGroup"/>
      </w:pPr>
      <w:r w:rsidRPr="00A8177A">
        <w:t>Обединено кралство:</w:t>
      </w:r>
    </w:p>
    <w:p w:rsidR="00A670A4" w:rsidRPr="00A8177A" w:rsidRDefault="00A670A4" w:rsidP="00A670A4">
      <w:pPr>
        <w:pStyle w:val="Participant"/>
        <w:rPr>
          <w:szCs w:val="18"/>
        </w:rPr>
      </w:pPr>
      <w:r w:rsidRPr="00A8177A">
        <w:t xml:space="preserve">Г-жа </w:t>
      </w:r>
      <w:proofErr w:type="spellStart"/>
      <w:r w:rsidRPr="00A8177A">
        <w:t>Angela</w:t>
      </w:r>
      <w:proofErr w:type="spellEnd"/>
      <w:r w:rsidRPr="00A8177A">
        <w:t xml:space="preserve"> CONSTANCE</w:t>
      </w:r>
      <w:r w:rsidRPr="00A8177A">
        <w:tab/>
        <w:t>Министър по въпросите на образованието, младежката и женската заетост (Правителство на Шотландия)</w:t>
      </w:r>
    </w:p>
    <w:p w:rsidR="00A670A4" w:rsidRPr="00A8177A" w:rsidRDefault="00A670A4" w:rsidP="00A670A4">
      <w:pPr>
        <w:pStyle w:val="Participant"/>
        <w:rPr>
          <w:szCs w:val="18"/>
        </w:rPr>
      </w:pPr>
      <w:r w:rsidRPr="00A8177A">
        <w:t>Г-жа </w:t>
      </w:r>
      <w:proofErr w:type="spellStart"/>
      <w:r w:rsidRPr="00A8177A">
        <w:t>Shan</w:t>
      </w:r>
      <w:proofErr w:type="spellEnd"/>
      <w:r w:rsidRPr="00A8177A">
        <w:t xml:space="preserve"> MORGAN</w:t>
      </w:r>
      <w:r w:rsidRPr="00A8177A">
        <w:tab/>
        <w:t>Заместник постоянен представител</w:t>
      </w:r>
    </w:p>
    <w:p w:rsidR="00A670A4" w:rsidRPr="00A8177A" w:rsidRDefault="00A670A4" w:rsidP="00A670A4">
      <w:pPr>
        <w:pStyle w:val="ParticipantsSeparator"/>
      </w:pPr>
    </w:p>
    <w:p w:rsidR="00A670A4" w:rsidRPr="00A8177A" w:rsidRDefault="00A670A4" w:rsidP="00A670A4">
      <w:pPr>
        <w:pStyle w:val="ParticipantGroup"/>
        <w:outlineLvl w:val="0"/>
      </w:pPr>
      <w:r w:rsidRPr="00A8177A">
        <w:t>Комисия:</w:t>
      </w:r>
    </w:p>
    <w:p w:rsidR="00A670A4" w:rsidRPr="00A8177A" w:rsidRDefault="00A670A4" w:rsidP="00A670A4">
      <w:pPr>
        <w:pStyle w:val="Participant"/>
      </w:pPr>
      <w:r w:rsidRPr="00A8177A">
        <w:t>г-н </w:t>
      </w:r>
      <w:proofErr w:type="spellStart"/>
      <w:r w:rsidRPr="00A8177A">
        <w:t>Тибор</w:t>
      </w:r>
      <w:proofErr w:type="spellEnd"/>
      <w:r w:rsidRPr="00A8177A">
        <w:t xml:space="preserve"> НАВРАЧИЧ</w:t>
      </w:r>
      <w:r w:rsidRPr="00A8177A">
        <w:tab/>
        <w:t>Член</w:t>
      </w:r>
    </w:p>
    <w:p w:rsidR="00F52AC1" w:rsidRPr="00A8177A" w:rsidRDefault="00F52AC1" w:rsidP="00F52AC1">
      <w:pPr>
        <w:sectPr w:rsidR="00F52AC1" w:rsidRPr="00A8177A" w:rsidSect="008D33D8">
          <w:headerReference w:type="even" r:id="rId25"/>
          <w:footerReference w:type="even" r:id="rId26"/>
          <w:headerReference w:type="first" r:id="rId27"/>
          <w:footerReference w:type="first" r:id="rId28"/>
          <w:footnotePr>
            <w:numRestart w:val="eachPage"/>
          </w:footnotePr>
          <w:pgSz w:w="11907" w:h="16840" w:code="9"/>
          <w:pgMar w:top="1134" w:right="1134" w:bottom="1134" w:left="1134" w:header="567" w:footer="567" w:gutter="0"/>
          <w:cols w:space="708"/>
          <w:docGrid w:linePitch="360"/>
        </w:sectPr>
      </w:pPr>
    </w:p>
    <w:p w:rsidR="00F52AC1" w:rsidRPr="00A8177A" w:rsidRDefault="002B43CC" w:rsidP="002B43CC">
      <w:pPr>
        <w:pStyle w:val="ItemsDebatedHeading"/>
      </w:pPr>
      <w:r w:rsidRPr="00A8177A">
        <w:lastRenderedPageBreak/>
        <w:t>ОБСЪДЕНИ ТОЧКИ ОТ ДНЕВНИЯ РЕД</w:t>
      </w:r>
    </w:p>
    <w:p w:rsidR="00032C50" w:rsidRPr="00A8177A" w:rsidRDefault="00032C50" w:rsidP="00032C50">
      <w:pPr>
        <w:pStyle w:val="ItemDebated"/>
      </w:pPr>
      <w:bookmarkStart w:id="6" w:name="_Toc411854642"/>
      <w:r w:rsidRPr="00A8177A">
        <w:t>ОБРАЗОВАНИЕ</w:t>
      </w:r>
      <w:bookmarkEnd w:id="6"/>
    </w:p>
    <w:p w:rsidR="00032C50" w:rsidRPr="00A8177A" w:rsidRDefault="00032C50" w:rsidP="00032C50">
      <w:pPr>
        <w:pStyle w:val="Sub-itemDebated"/>
      </w:pPr>
      <w:bookmarkStart w:id="7" w:name="_Toc411854643"/>
      <w:r w:rsidRPr="00A8177A">
        <w:t>Предприемачество в образованието и обучението</w:t>
      </w:r>
      <w:bookmarkEnd w:id="7"/>
    </w:p>
    <w:p w:rsidR="00032C50" w:rsidRPr="00A8177A" w:rsidRDefault="00032C50" w:rsidP="00032C50">
      <w:pPr>
        <w:rPr>
          <w:bCs/>
          <w:iCs/>
        </w:rPr>
      </w:pPr>
      <w:r w:rsidRPr="00A8177A">
        <w:t>Съветът прие заключения относно предприемачеството в образованието и обучението (</w:t>
      </w:r>
      <w:hyperlink r:id="rId29" w:tooltip="http://register.consilium.europa.eu/pdf/en/14/st14/st14402.en14.pdf">
        <w:r w:rsidRPr="002A398B">
          <w:rPr>
            <w:rStyle w:val="Hyperlink"/>
            <w:i/>
          </w:rPr>
          <w:t>14402/14</w:t>
        </w:r>
      </w:hyperlink>
      <w:r w:rsidRPr="00A8177A">
        <w:t>), в които се изтъква значението на развитието на предприемачески умения от ранна възраст и укрепването на връзките между образователната система и света на бизнеса, в съответствие с призива на Европейския съвет през юни за „насърчаване на благоприятна среда за предприемачество и създаване на работни места“</w:t>
      </w:r>
      <w:r w:rsidRPr="00A8177A">
        <w:rPr>
          <w:rStyle w:val="FootnoteReference"/>
        </w:rPr>
        <w:footnoteReference w:id="1"/>
      </w:r>
      <w:r w:rsidRPr="00A8177A">
        <w:t xml:space="preserve"> в рамките на стратегията „Европа 2020“.</w:t>
      </w:r>
    </w:p>
    <w:p w:rsidR="00032C50" w:rsidRPr="00A8177A" w:rsidRDefault="00032C50" w:rsidP="00032C50">
      <w:pPr>
        <w:rPr>
          <w:bCs/>
          <w:iCs/>
        </w:rPr>
      </w:pPr>
      <w:r w:rsidRPr="00A8177A">
        <w:t>В заключенията държавите членки се приканват да използват пълноценно потенциала, който предлага „</w:t>
      </w:r>
      <w:proofErr w:type="spellStart"/>
      <w:r w:rsidRPr="00A8177A">
        <w:t>Еразъм+</w:t>
      </w:r>
      <w:proofErr w:type="spellEnd"/>
      <w:r w:rsidRPr="00A8177A">
        <w:t>“ в подкрепа на обучението по предприемачество, по-специално чрез алианси на знанието за висшето образование и секторни алианси на уменията за професионално образование и обучение</w:t>
      </w:r>
      <w:r w:rsidRPr="00A8177A">
        <w:rPr>
          <w:rStyle w:val="FootnoteReference"/>
        </w:rPr>
        <w:footnoteReference w:id="2"/>
      </w:r>
      <w:r w:rsidRPr="00A8177A">
        <w:t>, както и други европейски ресурси, например Европейския социален фонд.</w:t>
      </w:r>
    </w:p>
    <w:p w:rsidR="00032C50" w:rsidRPr="00A8177A" w:rsidRDefault="00032C50" w:rsidP="00C058D1">
      <w:pPr>
        <w:rPr>
          <w:bCs/>
          <w:iCs/>
        </w:rPr>
      </w:pPr>
      <w:r w:rsidRPr="00A8177A">
        <w:t>Предприемачеството изисква разбиране на икономиката и функционирането на предприятията, но наред с това то изисква и набор от интердисциплинарни умения и компетентности (като инициативност и способност за поемане на рискове, за критично и творческо мислене, организираност и лидерски умения, както и способност за комуникация и убеждаване на другите), които образователните институции следва да се стремят да развиват у обучаващите се, като част от постепенен и непрекъснат процес, обхващащ всички нива и, доколкото е възможно, в учебните програми.</w:t>
      </w:r>
    </w:p>
    <w:p w:rsidR="00032C50" w:rsidRPr="00A8177A" w:rsidRDefault="00032C50" w:rsidP="00331480">
      <w:pPr>
        <w:rPr>
          <w:bCs/>
          <w:iCs/>
        </w:rPr>
      </w:pPr>
      <w:r w:rsidRPr="00A8177A">
        <w:t>Няколко държави членки представиха накратко примери от националния си опит в тази област. Те изтъкнаха необходимостта да се улесни достъпът до финансиране и да се намалят бюрократичните формалности за младите предприемачи, като се насърчи поемането на рискове и разработването на специфични подходи.</w:t>
      </w:r>
    </w:p>
    <w:p w:rsidR="00032C50" w:rsidRPr="00A8177A" w:rsidRDefault="00032C50" w:rsidP="00331480">
      <w:pPr>
        <w:rPr>
          <w:bCs/>
          <w:iCs/>
        </w:rPr>
      </w:pPr>
      <w:r w:rsidRPr="00A8177A">
        <w:t xml:space="preserve">Комисар </w:t>
      </w:r>
      <w:proofErr w:type="spellStart"/>
      <w:r w:rsidRPr="00A8177A">
        <w:t>Наврачич</w:t>
      </w:r>
      <w:proofErr w:type="spellEnd"/>
      <w:r w:rsidRPr="00A8177A">
        <w:t xml:space="preserve"> заяви, че новата Комисия е изцяло ангажирана с развитието на предприемачеството в образованието, като припомни, че МСП са в основата на европейската икономика. Той обърна внимание на двата нови инструмента, които Комисията е разработила в този сектор: инструментът за новаторски висши училища </w:t>
      </w:r>
      <w:proofErr w:type="spellStart"/>
      <w:r w:rsidRPr="00A8177A">
        <w:t>HEInnovate</w:t>
      </w:r>
      <w:proofErr w:type="spellEnd"/>
      <w:r w:rsidRPr="00A8177A">
        <w:t xml:space="preserve"> </w:t>
      </w:r>
      <w:r w:rsidRPr="00A8177A">
        <w:rPr>
          <w:i/>
        </w:rPr>
        <w:t>(</w:t>
      </w:r>
      <w:hyperlink r:id="rId30">
        <w:r w:rsidRPr="002A398B">
          <w:rPr>
            <w:rStyle w:val="Hyperlink"/>
            <w:i/>
          </w:rPr>
          <w:t>https://heinnovate.eu/intranet/main/index.php</w:t>
        </w:r>
      </w:hyperlink>
      <w:r w:rsidRPr="00A8177A">
        <w:rPr>
          <w:i/>
        </w:rPr>
        <w:t>),</w:t>
      </w:r>
      <w:r w:rsidRPr="00A8177A">
        <w:t xml:space="preserve"> който беше приет много добре от университетите, и инициативата за предприемачество в образованието Entrepreneurship360, която ще бъде лансирана през следващата година за училищата и институциите за професионално образование и обучение.</w:t>
      </w:r>
    </w:p>
    <w:p w:rsidR="00032C50" w:rsidRPr="00A8177A" w:rsidRDefault="00032C50" w:rsidP="00032C50">
      <w:pPr>
        <w:pStyle w:val="Sub-itemDebated"/>
      </w:pPr>
      <w:r w:rsidRPr="00A8177A">
        <w:br w:type="page"/>
      </w:r>
      <w:bookmarkStart w:id="8" w:name="_Toc411854644"/>
      <w:r w:rsidRPr="00A8177A">
        <w:lastRenderedPageBreak/>
        <w:t>Икономически аргументи в полза на образованието и обучението</w:t>
      </w:r>
      <w:bookmarkEnd w:id="8"/>
    </w:p>
    <w:p w:rsidR="00032C50" w:rsidRPr="00A8177A" w:rsidRDefault="00032C50" w:rsidP="00020ED4">
      <w:pPr>
        <w:rPr>
          <w:bCs/>
          <w:iCs/>
        </w:rPr>
      </w:pPr>
      <w:r w:rsidRPr="00A8177A">
        <w:t>В контекста на междинния преглед на стратегията „Европа 2020“ министрите проведоха открит дебат на тема „Икономически аргументи в полза на образованието и обучението“. Министрите на заетостта от сегашната тройка председателства също взеха участие в дебата като принос на сектора на образованието към обобщаващия доклад относно прегледа на стратегията „Европа 2020“, който да бъде предаден на заседанието на Европейския съвет през декември.</w:t>
      </w:r>
    </w:p>
    <w:p w:rsidR="00032C50" w:rsidRPr="00A8177A" w:rsidRDefault="00032C50" w:rsidP="00331480">
      <w:pPr>
        <w:rPr>
          <w:bCs/>
          <w:iCs/>
        </w:rPr>
      </w:pPr>
      <w:r w:rsidRPr="00A8177A">
        <w:t xml:space="preserve">Председателството информира Съвета за дискусията от предишния ден в Съвета по заетостта на тема „Инвестиране в младежката заетост“. Министърът подчерта също, че дебатът се провежда в много подходящ момент, в който се </w:t>
      </w:r>
      <w:proofErr w:type="spellStart"/>
      <w:r w:rsidRPr="00A8177A">
        <w:t>предефинира</w:t>
      </w:r>
      <w:proofErr w:type="spellEnd"/>
      <w:r w:rsidRPr="00A8177A">
        <w:t xml:space="preserve"> стратегическата посока на европейската политическа програма.</w:t>
      </w:r>
    </w:p>
    <w:p w:rsidR="00032C50" w:rsidRPr="00A8177A" w:rsidRDefault="00032C50" w:rsidP="00331480">
      <w:pPr>
        <w:rPr>
          <w:bCs/>
          <w:iCs/>
        </w:rPr>
      </w:pPr>
      <w:r w:rsidRPr="00A8177A">
        <w:t xml:space="preserve">Министрите на заетостта от Италия, Латвия и Люксембург приветстваха инициативата на председателството да ги покани да участват, тъй като това подчертава значението на </w:t>
      </w:r>
      <w:proofErr w:type="spellStart"/>
      <w:r w:rsidRPr="00A8177A">
        <w:t>междусекторния</w:t>
      </w:r>
      <w:proofErr w:type="spellEnd"/>
      <w:r w:rsidRPr="00A8177A">
        <w:t xml:space="preserve"> подход към възстановяването на конкурентоспособността и потенциала за растеж на Европа на основата на стратегически инвестиции в образованието.</w:t>
      </w:r>
    </w:p>
    <w:p w:rsidR="00032C50" w:rsidRPr="00A8177A" w:rsidRDefault="00032C50" w:rsidP="00331480">
      <w:pPr>
        <w:rPr>
          <w:bCs/>
          <w:iCs/>
        </w:rPr>
      </w:pPr>
      <w:r w:rsidRPr="00A8177A">
        <w:t xml:space="preserve">Те призоваха също така за бързото и ефикасно изпълнение на гаранцията за </w:t>
      </w:r>
      <w:proofErr w:type="spellStart"/>
      <w:r w:rsidRPr="00A8177A">
        <w:t>младежта</w:t>
      </w:r>
      <w:proofErr w:type="spellEnd"/>
      <w:r w:rsidRPr="00A8177A">
        <w:t>, по-конкретно с оглед да се спомогне за намаляването на дела на преждевременното напусналите училище и на сегашния висок процент на младите хора, които не работят или не участват във форма на образование или обучение (NEET).</w:t>
      </w:r>
    </w:p>
    <w:p w:rsidR="00032C50" w:rsidRPr="00A8177A" w:rsidRDefault="00032C50" w:rsidP="00CB09AB">
      <w:pPr>
        <w:rPr>
          <w:bCs/>
          <w:iCs/>
        </w:rPr>
      </w:pPr>
      <w:r w:rsidRPr="00A8177A">
        <w:t xml:space="preserve">Комисар </w:t>
      </w:r>
      <w:proofErr w:type="spellStart"/>
      <w:r w:rsidRPr="00A8177A">
        <w:t>Наврачич</w:t>
      </w:r>
      <w:proofErr w:type="spellEnd"/>
      <w:r w:rsidRPr="00A8177A">
        <w:t xml:space="preserve"> също приветства сътрудничеството „рамо до рамо“ със Съвета EPSCO и изрази надежда, че това сътрудничество ще продължи и в бъдеще.</w:t>
      </w:r>
    </w:p>
    <w:p w:rsidR="00032C50" w:rsidRPr="00A8177A" w:rsidRDefault="00032C50" w:rsidP="005365D7">
      <w:pPr>
        <w:rPr>
          <w:bCs/>
          <w:iCs/>
        </w:rPr>
      </w:pPr>
      <w:r w:rsidRPr="00A8177A">
        <w:t>Той потвърди, че образованието е главен приоритет за новата Комисия и изрази съжаление, че много държави членки са намалили бюджетите си за образование през 2012 г., при все че си дава сметка за икономическите трудности, пред които някои от тях са изправени. Комисарят призова държавите членки да отдадат приоритет на инвестициите в тази област, тъй като образованието винаги се изплаща в средносрочен и дългосрочен план.</w:t>
      </w:r>
    </w:p>
    <w:p w:rsidR="00032C50" w:rsidRPr="00A8177A" w:rsidRDefault="00032C50" w:rsidP="00BE4FA3">
      <w:pPr>
        <w:rPr>
          <w:bCs/>
          <w:iCs/>
        </w:rPr>
      </w:pPr>
      <w:r w:rsidRPr="00A8177A">
        <w:t>Комисията изтъкна и факта, че две от водещите цели на стратегията по отношение на образованието са на път да бъдат постигнати през 2020 г., въпреки че са налице значителни различия между държавите членки:</w:t>
      </w:r>
    </w:p>
    <w:p w:rsidR="00032C50" w:rsidRPr="00A8177A" w:rsidRDefault="00032C50" w:rsidP="005365D7">
      <w:pPr>
        <w:pStyle w:val="Tiret0"/>
        <w:numPr>
          <w:ilvl w:val="0"/>
          <w:numId w:val="18"/>
        </w:numPr>
      </w:pPr>
      <w:r w:rsidRPr="00A8177A">
        <w:t>делът на преждевременно напускащите училище (12 % през 2013 г., 10 % през 2020 г.)</w:t>
      </w:r>
    </w:p>
    <w:p w:rsidR="00032C50" w:rsidRPr="00A8177A" w:rsidRDefault="00032C50" w:rsidP="005365D7">
      <w:pPr>
        <w:pStyle w:val="Tiret0"/>
        <w:rPr>
          <w:bCs/>
          <w:iCs/>
        </w:rPr>
      </w:pPr>
      <w:r w:rsidRPr="00A8177A">
        <w:t>делът на 30—34 годишните със завършено висше или равностойно на висше образование (36,9 % през 2013 г., 40 % през 2020 г.)</w:t>
      </w:r>
    </w:p>
    <w:p w:rsidR="00032C50" w:rsidRPr="00A8177A" w:rsidRDefault="004F4A19" w:rsidP="004F4A19">
      <w:pPr>
        <w:rPr>
          <w:bCs/>
          <w:iCs/>
        </w:rPr>
      </w:pPr>
      <w:r w:rsidRPr="00A8177A">
        <w:br w:type="page"/>
      </w:r>
      <w:r w:rsidRPr="00A8177A">
        <w:lastRenderedPageBreak/>
        <w:t>Той призна, че образованието не следва да бъде само средство за навлизане на пазара на труда, но предвид тревожно високите равнища на безработицата следва да бъде осигурен плавен преход между двата етапа.</w:t>
      </w:r>
    </w:p>
    <w:p w:rsidR="00032C50" w:rsidRPr="00A8177A" w:rsidRDefault="00032C50" w:rsidP="00C83A32">
      <w:pPr>
        <w:rPr>
          <w:bCs/>
          <w:iCs/>
        </w:rPr>
      </w:pPr>
      <w:r w:rsidRPr="00A8177A">
        <w:t>По време на дебата министрите подчертаха, че образованието е играло и ще продължи да играе ключова роля за успеха на стратегията „Европа 2020“, тъй като висококачественото образование и развитието на умения са предпоставка за повишаването на растежа, иновациите, конкурентоспособността и създаването на работни места, от което се нуждае Европа.</w:t>
      </w:r>
    </w:p>
    <w:p w:rsidR="00032C50" w:rsidRPr="00A8177A" w:rsidRDefault="00032C50" w:rsidP="00032C50">
      <w:pPr>
        <w:rPr>
          <w:bCs/>
          <w:iCs/>
        </w:rPr>
      </w:pPr>
      <w:r w:rsidRPr="00A8177A">
        <w:t>Редица държави членки припомниха обаче, че образованието е ценно само по себе си и не следва да се разглежда само като средство за намиране на работа, но също така и като основа за развитието на личността, гражданството и социалното приобщаване.</w:t>
      </w:r>
    </w:p>
    <w:p w:rsidR="00032C50" w:rsidRPr="00A8177A" w:rsidRDefault="00032C50" w:rsidP="00032C50">
      <w:pPr>
        <w:jc w:val="both"/>
        <w:rPr>
          <w:bCs/>
          <w:iCs/>
        </w:rPr>
      </w:pPr>
      <w:r w:rsidRPr="00A8177A">
        <w:t>Основните въпроси, на които беше поставен акцент, бяха следните:</w:t>
      </w:r>
    </w:p>
    <w:p w:rsidR="00032C50" w:rsidRPr="00A8177A" w:rsidRDefault="00032C50" w:rsidP="00C83A32">
      <w:pPr>
        <w:pStyle w:val="Tiret0"/>
        <w:rPr>
          <w:bCs/>
          <w:iCs/>
        </w:rPr>
      </w:pPr>
      <w:r w:rsidRPr="00A8177A">
        <w:t>двойната водеща цел за образованието следва да бъде запазена, по-специално по отношение на намаляването на дела на преждевременното напусналите училище</w:t>
      </w:r>
    </w:p>
    <w:p w:rsidR="00032C50" w:rsidRPr="00A8177A" w:rsidRDefault="00032C50" w:rsidP="00C83A32">
      <w:pPr>
        <w:pStyle w:val="Tiret0"/>
        <w:rPr>
          <w:bCs/>
          <w:iCs/>
        </w:rPr>
      </w:pPr>
      <w:r w:rsidRPr="00A8177A">
        <w:t>следва да бъдат подобрени основните умения, да се направи по-привлекателно професионалното образование и да се насърчават възможностите за обучение за възрастни и за втори шанс за образование</w:t>
      </w:r>
    </w:p>
    <w:p w:rsidR="00032C50" w:rsidRPr="00A8177A" w:rsidRDefault="00032C50" w:rsidP="00C83A32">
      <w:pPr>
        <w:pStyle w:val="Tiret0"/>
        <w:rPr>
          <w:bCs/>
          <w:iCs/>
        </w:rPr>
      </w:pPr>
      <w:r w:rsidRPr="00A8177A">
        <w:t>необходими са постоянни инвестиции, като ефикасното разпределение на ресурсите е от съществено значение</w:t>
      </w:r>
    </w:p>
    <w:p w:rsidR="00032C50" w:rsidRPr="00A8177A" w:rsidRDefault="00032C50" w:rsidP="004F4A19">
      <w:pPr>
        <w:pStyle w:val="Tiret0"/>
        <w:rPr>
          <w:bCs/>
          <w:iCs/>
        </w:rPr>
      </w:pPr>
      <w:r w:rsidRPr="00A8177A">
        <w:t>следва да бъдат положени усилия за доразвиване и разширяване на достъпа до онлайн учебни средства и за насърчаване на ученето с помощта на цифровите технологии</w:t>
      </w:r>
    </w:p>
    <w:p w:rsidR="00032C50" w:rsidRPr="00A8177A" w:rsidRDefault="00032C50" w:rsidP="004F4A19">
      <w:pPr>
        <w:pStyle w:val="Tiret0"/>
        <w:rPr>
          <w:bCs/>
          <w:iCs/>
        </w:rPr>
      </w:pPr>
      <w:r w:rsidRPr="00A8177A">
        <w:t>за да се предотврати нарастващото разминаване между разработването на учебните програми и бързо променящите се потребности на пазарите на труда, иновационния сектор и обществото, е важно да се укрепят връзките между света на бизнеса и образованието на ниво средно и висше образование</w:t>
      </w:r>
    </w:p>
    <w:p w:rsidR="00032C50" w:rsidRPr="00A8177A" w:rsidRDefault="00032C50" w:rsidP="00E238B0">
      <w:pPr>
        <w:pStyle w:val="Tiret0"/>
        <w:rPr>
          <w:bCs/>
          <w:iCs/>
        </w:rPr>
      </w:pPr>
      <w:r w:rsidRPr="00A8177A">
        <w:t>следва да се поддържа всеобхватен подход към образованието и обучението, който да включва всички нива на образование от ранна детска възраст до висшето образование, професионалното образование и обучение и ученето за възрастни</w:t>
      </w:r>
    </w:p>
    <w:p w:rsidR="00032C50" w:rsidRPr="00A8177A" w:rsidRDefault="00032C50" w:rsidP="00640089">
      <w:pPr>
        <w:pStyle w:val="Sub-itemDebated"/>
      </w:pPr>
      <w:r w:rsidRPr="00A8177A">
        <w:br w:type="page"/>
      </w:r>
      <w:bookmarkStart w:id="9" w:name="_Toc411854645"/>
      <w:r w:rsidRPr="00A8177A">
        <w:lastRenderedPageBreak/>
        <w:t>Други въпроси</w:t>
      </w:r>
      <w:bookmarkEnd w:id="9"/>
    </w:p>
    <w:p w:rsidR="00032C50" w:rsidRPr="00A8177A" w:rsidRDefault="00032C50" w:rsidP="000E33AB">
      <w:pPr>
        <w:pStyle w:val="Sub-sub-itemDebated"/>
        <w:numPr>
          <w:ilvl w:val="0"/>
          <w:numId w:val="19"/>
        </w:numPr>
      </w:pPr>
      <w:bookmarkStart w:id="10" w:name="_Toc411854646"/>
      <w:r w:rsidRPr="00A8177A">
        <w:t>Работна програма на предстоящото председателство</w:t>
      </w:r>
      <w:bookmarkEnd w:id="10"/>
    </w:p>
    <w:p w:rsidR="00032C50" w:rsidRPr="00A8177A" w:rsidRDefault="00032C50" w:rsidP="004F4A19">
      <w:pPr>
        <w:jc w:val="both"/>
      </w:pPr>
      <w:r w:rsidRPr="00A8177A">
        <w:t>Делегацията на Латвия представи приоритетите си за следващия семестър:</w:t>
      </w:r>
    </w:p>
    <w:p w:rsidR="00032C50" w:rsidRPr="00A8177A" w:rsidRDefault="006B21DA" w:rsidP="006B21DA">
      <w:pPr>
        <w:pStyle w:val="Tiret0"/>
      </w:pPr>
      <w:r w:rsidRPr="00A8177A">
        <w:t>междинен преглед на рамката ЕТ 2020 и подготовка на съвместния доклад за 2015 г.</w:t>
      </w:r>
    </w:p>
    <w:p w:rsidR="00032C50" w:rsidRPr="00A8177A" w:rsidRDefault="002A1705" w:rsidP="00BE4FA3">
      <w:pPr>
        <w:pStyle w:val="Tiret0"/>
      </w:pPr>
      <w:r w:rsidRPr="00A8177A">
        <w:t>укрепване на връзките между стратегията „Европа 2020“ и ET 2020</w:t>
      </w:r>
    </w:p>
    <w:p w:rsidR="00032C50" w:rsidRPr="00A8177A" w:rsidRDefault="002A1705" w:rsidP="004F4A19">
      <w:pPr>
        <w:pStyle w:val="Tiret0"/>
      </w:pPr>
      <w:r w:rsidRPr="00A8177A">
        <w:t>подготовка за министерската конференция във връзка с процеса от Болоня, която ще се проведе през месец май в Ереван, Армения</w:t>
      </w:r>
    </w:p>
    <w:p w:rsidR="00032C50" w:rsidRPr="00A8177A" w:rsidRDefault="002A1705" w:rsidP="004F4A19">
      <w:pPr>
        <w:pStyle w:val="Tiret0"/>
      </w:pPr>
      <w:r w:rsidRPr="00A8177A">
        <w:t>признаване на умения и дипломи</w:t>
      </w:r>
    </w:p>
    <w:p w:rsidR="00640089" w:rsidRPr="00A8177A" w:rsidRDefault="00640089" w:rsidP="00640089">
      <w:pPr>
        <w:pStyle w:val="ItemDebated"/>
      </w:pPr>
      <w:bookmarkStart w:id="11" w:name="_Toc411854647"/>
      <w:r w:rsidRPr="00A8177A">
        <w:t>МЛАДЕЖ</w:t>
      </w:r>
      <w:bookmarkEnd w:id="11"/>
    </w:p>
    <w:p w:rsidR="00640089" w:rsidRPr="00A8177A" w:rsidRDefault="00640089" w:rsidP="009C46BF">
      <w:pPr>
        <w:tabs>
          <w:tab w:val="left" w:pos="1843"/>
        </w:tabs>
        <w:rPr>
          <w:bCs/>
        </w:rPr>
      </w:pPr>
      <w:r w:rsidRPr="00A8177A">
        <w:t xml:space="preserve">Преди да започнат да обсъждат официалните точки от дневния ред държавният секретар </w:t>
      </w:r>
      <w:proofErr w:type="spellStart"/>
      <w:r w:rsidRPr="00A8177A">
        <w:t>Луиджи</w:t>
      </w:r>
      <w:proofErr w:type="spellEnd"/>
      <w:r w:rsidRPr="00A8177A">
        <w:t xml:space="preserve"> Боба информира министрите за резултатите от неформалния форум с представители на </w:t>
      </w:r>
      <w:proofErr w:type="spellStart"/>
      <w:r w:rsidRPr="00A8177A">
        <w:t>младежта</w:t>
      </w:r>
      <w:proofErr w:type="spellEnd"/>
      <w:r w:rsidRPr="00A8177A">
        <w:t xml:space="preserve"> („структурирания диалог“), на който бяха разгледани </w:t>
      </w:r>
      <w:r w:rsidRPr="00A8177A">
        <w:rPr>
          <w:b/>
        </w:rPr>
        <w:t>доброволческите дейности и гражданската служба</w:t>
      </w:r>
      <w:r w:rsidRPr="00A8177A">
        <w:t>. В този контекст председателството представи проекта си за създаване на европейска гражданска служба, който отчита различните практики в държавите членки и е насочен към разширяване на основата на европейското гражданство и по-голямо участие на младите хора в демократичните процеси.</w:t>
      </w:r>
    </w:p>
    <w:p w:rsidR="00640089" w:rsidRPr="00A8177A" w:rsidRDefault="00640089" w:rsidP="00640089">
      <w:pPr>
        <w:pStyle w:val="Sub-itemDebated"/>
      </w:pPr>
      <w:bookmarkStart w:id="12" w:name="_Toc411854648"/>
      <w:r w:rsidRPr="00A8177A">
        <w:t>Достъп на младите хора до права</w:t>
      </w:r>
      <w:bookmarkEnd w:id="12"/>
    </w:p>
    <w:p w:rsidR="00640089" w:rsidRPr="00A8177A" w:rsidRDefault="00640089" w:rsidP="0071771F">
      <w:r w:rsidRPr="00A8177A">
        <w:t xml:space="preserve">Съветът прие заключения на относно достъпа на младите хора до права с цел стимулиране на тяхната независимост и на участието им в гражданското общество </w:t>
      </w:r>
      <w:r w:rsidRPr="00A8177A">
        <w:rPr>
          <w:i/>
        </w:rPr>
        <w:t>(</w:t>
      </w:r>
      <w:hyperlink r:id="rId31" w:tooltip="http://register.consilium.europa.eu/pdf/en/14/st15/st15613.en14.pdf">
        <w:r w:rsidRPr="002A398B">
          <w:rPr>
            <w:rStyle w:val="Hyperlink"/>
            <w:i/>
          </w:rPr>
          <w:t>15613/14</w:t>
        </w:r>
      </w:hyperlink>
      <w:r w:rsidRPr="00A8177A">
        <w:rPr>
          <w:i/>
        </w:rPr>
        <w:t>)</w:t>
      </w:r>
      <w:r w:rsidRPr="00A8177A">
        <w:t>. В тях се разглеждат предизвикателствата пред сегашното поколение млади хора, които трябва да понасят последиците от финансовата криза, и по-специално трудностите пред тяхното превръщане в самостоятелни възрастни, които да имат активен и ключов принос в социалния, политическия и икономическия живот на своите общности.</w:t>
      </w:r>
    </w:p>
    <w:p w:rsidR="00640089" w:rsidRPr="00A8177A" w:rsidRDefault="00640089" w:rsidP="00640089">
      <w:r w:rsidRPr="00A8177A">
        <w:t>В заключенията се признава, че комбинираното въздействие на факторите, породени от икономическата криза, като ограничения достъп до кредитиране, спада на доходите и по-голямата нестабилност на работното място, често без да бъдат осигурени подходящи социални мерки, отслаби способността на младите хора за самостоятелност.</w:t>
      </w:r>
    </w:p>
    <w:p w:rsidR="00640089" w:rsidRPr="00A8177A" w:rsidRDefault="00640089" w:rsidP="0071771F">
      <w:r w:rsidRPr="00A8177A">
        <w:br w:type="page"/>
      </w:r>
      <w:r w:rsidRPr="00A8177A">
        <w:lastRenderedPageBreak/>
        <w:t>В тях също се подчертава необходимостта от разработване на стратегии и политики, които не само да благоприятстват прехода от училище към работа, но и да се отнасят до свързани области като достъп до кредитиране, жилищно настаняване, здравеопазване, достъп до услуги и образование, така че да се осигурят необходимите инструменти за подкрепа на преминаването на младите хора към самостоятелност и гражданство.</w:t>
      </w:r>
    </w:p>
    <w:p w:rsidR="00640089" w:rsidRPr="00A8177A" w:rsidRDefault="00640089" w:rsidP="0071771F">
      <w:pPr>
        <w:pStyle w:val="Sub-itemDebated"/>
      </w:pPr>
      <w:bookmarkStart w:id="13" w:name="_Toc411854649"/>
      <w:r w:rsidRPr="00A8177A">
        <w:t xml:space="preserve">Социално-икономически предизвикателства в сферата на </w:t>
      </w:r>
      <w:proofErr w:type="spellStart"/>
      <w:r w:rsidRPr="00A8177A">
        <w:t>младежта</w:t>
      </w:r>
      <w:bookmarkEnd w:id="13"/>
      <w:proofErr w:type="spellEnd"/>
    </w:p>
    <w:p w:rsidR="00640089" w:rsidRPr="00A8177A" w:rsidRDefault="00640089" w:rsidP="0071771F">
      <w:pPr>
        <w:rPr>
          <w:i/>
          <w:iCs/>
        </w:rPr>
      </w:pPr>
      <w:r w:rsidRPr="00A8177A">
        <w:t xml:space="preserve">Като </w:t>
      </w:r>
      <w:proofErr w:type="spellStart"/>
      <w:r w:rsidRPr="00A8177A">
        <w:t>последващи</w:t>
      </w:r>
      <w:proofErr w:type="spellEnd"/>
      <w:r w:rsidRPr="00A8177A">
        <w:t xml:space="preserve"> действия във връзка със заключенията министрите обсъдиха и </w:t>
      </w:r>
      <w:proofErr w:type="spellStart"/>
      <w:r w:rsidRPr="00A8177A">
        <w:t>междусекторен</w:t>
      </w:r>
      <w:proofErr w:type="spellEnd"/>
      <w:r w:rsidRPr="00A8177A">
        <w:t xml:space="preserve"> подход към политиките за </w:t>
      </w:r>
      <w:proofErr w:type="spellStart"/>
      <w:r w:rsidRPr="00A8177A">
        <w:t>младежта</w:t>
      </w:r>
      <w:proofErr w:type="spellEnd"/>
      <w:r w:rsidRPr="00A8177A">
        <w:t xml:space="preserve"> като средство за по-успешно преодоляване на социално-икономическите предизвикателства в тази област.</w:t>
      </w:r>
      <w:r w:rsidRPr="00A8177A">
        <w:rPr>
          <w:i/>
        </w:rPr>
        <w:t xml:space="preserve"> </w:t>
      </w:r>
      <w:proofErr w:type="spellStart"/>
      <w:r w:rsidRPr="00A8177A">
        <w:t>Междусекторното</w:t>
      </w:r>
      <w:proofErr w:type="spellEnd"/>
      <w:r w:rsidRPr="00A8177A">
        <w:t xml:space="preserve"> политическо сътрудничество е също така един от ключовите приоритети на приетия неотдавна работен план на ЕС за </w:t>
      </w:r>
      <w:proofErr w:type="spellStart"/>
      <w:r w:rsidRPr="00A8177A">
        <w:t>младежта</w:t>
      </w:r>
      <w:proofErr w:type="spellEnd"/>
      <w:r w:rsidRPr="00A8177A">
        <w:rPr>
          <w:rStyle w:val="FootnoteReference"/>
        </w:rPr>
        <w:footnoteReference w:id="3"/>
      </w:r>
      <w:r w:rsidRPr="00A8177A">
        <w:t>.</w:t>
      </w:r>
    </w:p>
    <w:p w:rsidR="00640089" w:rsidRPr="00A8177A" w:rsidRDefault="00640089" w:rsidP="0071771F">
      <w:r w:rsidRPr="00A8177A">
        <w:t xml:space="preserve">Министрите признаха, че въпреки високия политически приоритет за справянето с безработицата сред младите хора и последиците от нея на национално равнище и на равнище ЕС, политиката за </w:t>
      </w:r>
      <w:proofErr w:type="spellStart"/>
      <w:r w:rsidRPr="00A8177A">
        <w:t>младежта</w:t>
      </w:r>
      <w:proofErr w:type="spellEnd"/>
      <w:r w:rsidRPr="00A8177A">
        <w:t xml:space="preserve"> не допринесе в достатъчна степен за работата на други сектори. Освен това различните области на политиката, които са от решаващо значение за подобряването на перспективите на младите хора, а именно заетостта, образованието, социалните въпроси и здравеопазването, не винаги работят заедно по най-ефикасния начин.</w:t>
      </w:r>
    </w:p>
    <w:p w:rsidR="00640089" w:rsidRPr="00A8177A" w:rsidRDefault="00640089" w:rsidP="00640089">
      <w:r w:rsidRPr="00A8177A">
        <w:t>Министрите подчертаха значението на мерките, насочени към насърчаване на приобщаването на младите хора чрез образование, обучение и свързани дейности, които предлагат на младите хора възможности за натрупване на опит и учене чрез практиката, което подобрява техния живот, знания и умения.</w:t>
      </w:r>
    </w:p>
    <w:p w:rsidR="00640089" w:rsidRPr="00A8177A" w:rsidRDefault="00640089" w:rsidP="00640089">
      <w:pPr>
        <w:rPr>
          <w:bCs/>
        </w:rPr>
      </w:pPr>
      <w:r w:rsidRPr="00A8177A">
        <w:t>Държавите членки вече са въвели или са в процес на разработване на редица проекти и програми на национално равнище за борба с младежката безработица и социалното изключване.</w:t>
      </w:r>
    </w:p>
    <w:p w:rsidR="00640089" w:rsidRPr="00A8177A" w:rsidRDefault="00640089" w:rsidP="00640089">
      <w:pPr>
        <w:rPr>
          <w:bCs/>
        </w:rPr>
      </w:pPr>
      <w:r w:rsidRPr="00A8177A">
        <w:t>Основните въпроси, на които беше поставен акцент по време на дебата, бяха следните:</w:t>
      </w:r>
    </w:p>
    <w:p w:rsidR="00640089" w:rsidRPr="00A8177A" w:rsidRDefault="00640089" w:rsidP="006B21DA">
      <w:pPr>
        <w:pStyle w:val="Tiret0"/>
      </w:pPr>
      <w:r w:rsidRPr="00A8177A">
        <w:t>интердисциплинарните умения на младите хора трябва да бъдат подобрени чрез неформално и самостоятелно учене и гражданско участие</w:t>
      </w:r>
    </w:p>
    <w:p w:rsidR="00640089" w:rsidRPr="00A8177A" w:rsidRDefault="00640089" w:rsidP="006B21DA">
      <w:pPr>
        <w:pStyle w:val="Tiret0"/>
        <w:rPr>
          <w:b/>
          <w:bCs/>
          <w:u w:val="single"/>
        </w:rPr>
      </w:pPr>
      <w:r w:rsidRPr="00A8177A">
        <w:t xml:space="preserve">възможностите, предлагани от европейските фондове и програми, по-специално „Еразъм +“ и гаранцията за </w:t>
      </w:r>
      <w:proofErr w:type="spellStart"/>
      <w:r w:rsidRPr="00A8177A">
        <w:t>младежта</w:t>
      </w:r>
      <w:proofErr w:type="spellEnd"/>
      <w:r w:rsidRPr="00A8177A">
        <w:t>, следва да бъдат подробно изследвани</w:t>
      </w:r>
    </w:p>
    <w:p w:rsidR="00640089" w:rsidRPr="00A8177A" w:rsidRDefault="00640089" w:rsidP="00935D58">
      <w:pPr>
        <w:pStyle w:val="Tiret0"/>
        <w:rPr>
          <w:bCs/>
        </w:rPr>
      </w:pPr>
      <w:r w:rsidRPr="00A8177A">
        <w:br w:type="page"/>
      </w:r>
      <w:r w:rsidRPr="00A8177A">
        <w:lastRenderedPageBreak/>
        <w:t xml:space="preserve">от решаващо значение е участието на самите млади хора, по-специално на NEET, които да повлияят на изготвянето на политиките за </w:t>
      </w:r>
      <w:proofErr w:type="spellStart"/>
      <w:r w:rsidRPr="00A8177A">
        <w:t>младежта</w:t>
      </w:r>
      <w:proofErr w:type="spellEnd"/>
      <w:r w:rsidRPr="00A8177A">
        <w:t xml:space="preserve"> на всички равнища и да спомогнат за прилагането на специфични подходи</w:t>
      </w:r>
    </w:p>
    <w:p w:rsidR="00640089" w:rsidRPr="00A8177A" w:rsidRDefault="00640089" w:rsidP="00935D58">
      <w:pPr>
        <w:pStyle w:val="Tiret0"/>
        <w:rPr>
          <w:b/>
          <w:bCs/>
          <w:u w:val="single"/>
        </w:rPr>
      </w:pPr>
      <w:r w:rsidRPr="00A8177A">
        <w:t xml:space="preserve">сътрудничеството и полезното взаимодействие между местните, националните и европейските органи във всички свързани с </w:t>
      </w:r>
      <w:proofErr w:type="spellStart"/>
      <w:r w:rsidRPr="00A8177A">
        <w:t>младежта</w:t>
      </w:r>
      <w:proofErr w:type="spellEnd"/>
      <w:r w:rsidRPr="00A8177A">
        <w:t xml:space="preserve"> сектори трябва да бъдат подобрени</w:t>
      </w:r>
    </w:p>
    <w:p w:rsidR="00640089" w:rsidRPr="00A8177A" w:rsidRDefault="00935D58" w:rsidP="00935D58">
      <w:pPr>
        <w:pStyle w:val="Tiret0"/>
        <w:rPr>
          <w:b/>
          <w:bCs/>
          <w:u w:val="single"/>
        </w:rPr>
      </w:pPr>
      <w:r w:rsidRPr="00A8177A">
        <w:t>редовният обмен на най-добрите практики между държавите членки следва да се увеличи</w:t>
      </w:r>
    </w:p>
    <w:p w:rsidR="00640089" w:rsidRPr="00A8177A" w:rsidRDefault="00640089" w:rsidP="00640089">
      <w:pPr>
        <w:pStyle w:val="Sub-itemDebated"/>
      </w:pPr>
      <w:bookmarkStart w:id="14" w:name="_Toc411854650"/>
      <w:r w:rsidRPr="00A8177A">
        <w:t>Други въпроси</w:t>
      </w:r>
      <w:bookmarkEnd w:id="14"/>
    </w:p>
    <w:p w:rsidR="00640089" w:rsidRPr="00A8177A" w:rsidRDefault="00640089" w:rsidP="00640089">
      <w:pPr>
        <w:pStyle w:val="Sub-sub-itemDebated"/>
      </w:pPr>
      <w:bookmarkStart w:id="15" w:name="_Toc411854651"/>
      <w:r w:rsidRPr="00A8177A">
        <w:t>Проект на ЕС за младежка демокрация</w:t>
      </w:r>
      <w:bookmarkEnd w:id="15"/>
    </w:p>
    <w:p w:rsidR="00640089" w:rsidRPr="00A8177A" w:rsidRDefault="00640089" w:rsidP="00055D62">
      <w:r w:rsidRPr="00A8177A">
        <w:t xml:space="preserve">Съветът взе под внимание информацията от делегацията на Германия относно проекта „Европа на младите — преосмисляне на демокрацията“ </w:t>
      </w:r>
      <w:r w:rsidRPr="00A8177A">
        <w:rPr>
          <w:i/>
        </w:rPr>
        <w:t>(</w:t>
      </w:r>
      <w:hyperlink r:id="rId32" w:tooltip="http://register.consilium.europa.eu/pdf/en/14/st16/st16189.en14.pdf">
        <w:r w:rsidRPr="002A398B">
          <w:rPr>
            <w:rStyle w:val="Hyperlink"/>
            <w:i/>
          </w:rPr>
          <w:t>16189/14</w:t>
        </w:r>
      </w:hyperlink>
      <w:r w:rsidRPr="00A8177A">
        <w:rPr>
          <w:i/>
        </w:rPr>
        <w:t>)</w:t>
      </w:r>
      <w:r w:rsidRPr="00A8177A">
        <w:t>. В контекста на 25-ата годишнина от падането на Берлинската стена 120 млади хора на възраст между 18 и 30 години от всичките 28 държави — членки на ЕС, направиха 5-дневно пътуване с влак от Берлин до Виена и обратно с цел да обсъдят кризата на идентичността сред на младите хора във и спрямо Европа. В края на проекта, финансиран с германски национални средства и чрез „Еразъм +“, беше направена декларация.</w:t>
      </w:r>
    </w:p>
    <w:p w:rsidR="00640089" w:rsidRPr="00A8177A" w:rsidRDefault="00640089" w:rsidP="00640089">
      <w:pPr>
        <w:pStyle w:val="Sub-sub-itemDebated"/>
      </w:pPr>
      <w:bookmarkStart w:id="16" w:name="_Toc411854652"/>
      <w:r w:rsidRPr="00A8177A">
        <w:t>Работна програма на предстоящото председателство</w:t>
      </w:r>
      <w:bookmarkEnd w:id="16"/>
    </w:p>
    <w:p w:rsidR="00640089" w:rsidRPr="00A8177A" w:rsidRDefault="00640089" w:rsidP="00640089">
      <w:r w:rsidRPr="00A8177A">
        <w:t>Делегацията на Латвия представи основните си приоритети за следващия семестър:</w:t>
      </w:r>
    </w:p>
    <w:p w:rsidR="00640089" w:rsidRPr="00A8177A" w:rsidRDefault="00640089" w:rsidP="00640089">
      <w:pPr>
        <w:pStyle w:val="Tiret0"/>
      </w:pPr>
      <w:r w:rsidRPr="00A8177A">
        <w:t xml:space="preserve">изпълнение на работния план на ЕС за </w:t>
      </w:r>
      <w:proofErr w:type="spellStart"/>
      <w:r w:rsidRPr="00A8177A">
        <w:t>младежта</w:t>
      </w:r>
      <w:proofErr w:type="spellEnd"/>
    </w:p>
    <w:p w:rsidR="00640089" w:rsidRPr="00A8177A" w:rsidRDefault="00640089" w:rsidP="00640089">
      <w:pPr>
        <w:pStyle w:val="Tiret0"/>
      </w:pPr>
      <w:r w:rsidRPr="00A8177A">
        <w:t xml:space="preserve">принос на политиките за </w:t>
      </w:r>
      <w:proofErr w:type="spellStart"/>
      <w:r w:rsidRPr="00A8177A">
        <w:t>младежта</w:t>
      </w:r>
      <w:proofErr w:type="spellEnd"/>
      <w:r w:rsidRPr="00A8177A">
        <w:t xml:space="preserve"> в стратегията „Европа 2020“</w:t>
      </w:r>
    </w:p>
    <w:p w:rsidR="00F52AC1" w:rsidRPr="00A8177A" w:rsidRDefault="00F52AC1" w:rsidP="00F52AC1">
      <w:pPr>
        <w:sectPr w:rsidR="00F52AC1" w:rsidRPr="00A8177A" w:rsidSect="008D33D8">
          <w:headerReference w:type="even" r:id="rId33"/>
          <w:footerReference w:type="even" r:id="rId34"/>
          <w:headerReference w:type="first" r:id="rId35"/>
          <w:footerReference w:type="first" r:id="rId36"/>
          <w:footnotePr>
            <w:numRestart w:val="eachPage"/>
          </w:footnotePr>
          <w:pgSz w:w="11907" w:h="16840" w:code="9"/>
          <w:pgMar w:top="1134" w:right="1134" w:bottom="1134" w:left="1134" w:header="567" w:footer="567" w:gutter="0"/>
          <w:cols w:space="708"/>
          <w:docGrid w:linePitch="360"/>
        </w:sectPr>
      </w:pPr>
    </w:p>
    <w:p w:rsidR="00F52AC1" w:rsidRPr="00A8177A" w:rsidRDefault="002B43CC" w:rsidP="00154FBB">
      <w:pPr>
        <w:pStyle w:val="ItemsApprovedHeading"/>
        <w:spacing w:after="120"/>
      </w:pPr>
      <w:r w:rsidRPr="00A8177A">
        <w:lastRenderedPageBreak/>
        <w:t>ДРУГИ ОДОБРЕНИ ТОЧКИ</w:t>
      </w:r>
    </w:p>
    <w:p w:rsidR="00834965" w:rsidRPr="00A8177A" w:rsidRDefault="00834965" w:rsidP="00154FBB">
      <w:pPr>
        <w:pStyle w:val="ItemApproved"/>
        <w:spacing w:after="120"/>
      </w:pPr>
      <w:r w:rsidRPr="00A8177A">
        <w:t>БЮДЖЕТИ</w:t>
      </w:r>
    </w:p>
    <w:p w:rsidR="00834965" w:rsidRPr="00A8177A" w:rsidRDefault="00834965" w:rsidP="00154FBB">
      <w:pPr>
        <w:pStyle w:val="Sub-itemApproved"/>
        <w:spacing w:after="120"/>
      </w:pPr>
      <w:bookmarkStart w:id="17" w:name="_Toc411854654"/>
      <w:r w:rsidRPr="00A8177A">
        <w:t>Одобряване на бюджета на ЕС за 2015 г. и на проектите за коригиращи бюджети за 2014 г.</w:t>
      </w:r>
      <w:bookmarkEnd w:id="17"/>
    </w:p>
    <w:p w:rsidR="00834965" w:rsidRPr="00A8177A" w:rsidRDefault="00834965" w:rsidP="00154FBB">
      <w:pPr>
        <w:spacing w:after="120"/>
      </w:pPr>
      <w:r w:rsidRPr="00A8177A">
        <w:t>Съветът потвърди политическото споразумение, постигнато по бюджета на ЕС за 2015 г. и проектите за коригиращи бюджети за 2014 г.</w:t>
      </w:r>
    </w:p>
    <w:p w:rsidR="00834965" w:rsidRPr="00A8177A" w:rsidRDefault="00834965" w:rsidP="00154FBB">
      <w:pPr>
        <w:spacing w:after="120"/>
      </w:pPr>
      <w:r w:rsidRPr="00A8177A">
        <w:t>Споразумението, постигнато с Европейския парламент, се състои от следните елементи:</w:t>
      </w:r>
    </w:p>
    <w:p w:rsidR="00834965" w:rsidRPr="00A8177A" w:rsidRDefault="00834965" w:rsidP="00154FBB">
      <w:pPr>
        <w:pStyle w:val="Tiret0"/>
        <w:spacing w:after="120"/>
      </w:pPr>
      <w:r w:rsidRPr="00A8177A">
        <w:t>бюджет на ЕС за 2015 г. с плащания, възлизащи на общо 141,2 млрд. евро, и поети задължения на обща стойност 145,3 млрд. евро; делегацията на Обединеното кралство гласува „въздържал се“</w:t>
      </w:r>
    </w:p>
    <w:p w:rsidR="00834965" w:rsidRPr="00A8177A" w:rsidRDefault="00834965" w:rsidP="00154FBB">
      <w:pPr>
        <w:pStyle w:val="Tiret0"/>
        <w:spacing w:after="120"/>
      </w:pPr>
      <w:r w:rsidRPr="00A8177A">
        <w:t>проект за коригиращ бюджет № 3/2014, който добавя 3,5 млрд. евро под формата на плащания към бюджета за 2014 г., от които 3,2 млрд. евро са финансирани от маржа за непредвидени обстоятелства, а 361 млн. евро са под тавана на многогодишната финансова рамка за периода 2014—2020 г.; този проект за коригиращ бюджет включва също допълнителни приходи в размер на 1,6 млрд. евро от глоби; делегациите на Нидерландия, Швеция и Обединеното кралство гласуваха против</w:t>
      </w:r>
    </w:p>
    <w:p w:rsidR="00834965" w:rsidRPr="00A8177A" w:rsidRDefault="00834965" w:rsidP="00154FBB">
      <w:pPr>
        <w:pStyle w:val="Tiret0"/>
        <w:spacing w:after="120"/>
      </w:pPr>
      <w:r w:rsidRPr="00A8177A">
        <w:t>проект за коригиращ бюджет № 4/2014 с промените, нанесени в него съгласно писмото за внасяне на корекции, включващ в бюджета за 2014 г. допълнителни приходи в размер на 2,4 млрд. евро главно от глоби</w:t>
      </w:r>
    </w:p>
    <w:p w:rsidR="00834965" w:rsidRPr="00A8177A" w:rsidRDefault="00834965" w:rsidP="00154FBB">
      <w:pPr>
        <w:pStyle w:val="Tiret0"/>
        <w:spacing w:after="120"/>
      </w:pPr>
      <w:r w:rsidRPr="00A8177A">
        <w:t>проект за коригиращ бюджет № 5/2014, с който се мобилизират 47 млн. евро под формата на поети задължения от Фонда за солидарност на ЕС през 2014 г., за щетите, причинени от наводненията в Италия (16,3 млн. евро), земетресението в Гърция (3,7 млн. евро), както и ледените бури в Словения (18,4 млн. евро) и в Хърватия (8,6 млн. евро); делегацията на Обединеното кралство гласува „въздържал се“</w:t>
      </w:r>
    </w:p>
    <w:p w:rsidR="00834965" w:rsidRPr="00A8177A" w:rsidRDefault="00834965" w:rsidP="00154FBB">
      <w:pPr>
        <w:pStyle w:val="Tiret0"/>
        <w:spacing w:after="120"/>
      </w:pPr>
      <w:r w:rsidRPr="00A8177A">
        <w:t>проект за коригиращ бюджет № 6/2014 с промените, нанесени в него съгласно писмото за внасяне на корекции, с който в бюджета на ЕС за 2014 г. се внася сумата от 4,5 млрд. евро, в резултат на преразгледаната прогноза за приходите на ЕС и съответното намаляване на вноските на основата на БНД; делегацията на Обединеното кралство гласува „въздържал се“</w:t>
      </w:r>
    </w:p>
    <w:p w:rsidR="00834965" w:rsidRPr="00A8177A" w:rsidRDefault="00834965" w:rsidP="00154FBB">
      <w:pPr>
        <w:pStyle w:val="Tiret0"/>
        <w:spacing w:after="120"/>
      </w:pPr>
      <w:r w:rsidRPr="00A8177A">
        <w:t>проект за коригиращ бюджет № 7/2014, с който се мобилизират 79,7 млн. евро под формата на поети задължения за 2014 г. от Фонда за солидарност на ЕС, за щетите, причинени от наводненията в Сърбия (60,2 млн. евро), България (10,5 млн. евро) и Хърватия (9,0 млн. евро); делегацията на Обединеното кралство гласува „въздържал се“</w:t>
      </w:r>
    </w:p>
    <w:p w:rsidR="00834965" w:rsidRPr="00A8177A" w:rsidRDefault="00834965" w:rsidP="00154FBB">
      <w:pPr>
        <w:pStyle w:val="Tiret0"/>
        <w:spacing w:after="120"/>
      </w:pPr>
      <w:r w:rsidRPr="00A8177A">
        <w:t>проект за коригиращ бюджет № 8/2014, включващ финансовия излишък от 2013 г. в размер на 1,01 млрд. евро в бюджета за 2014 г.; делегацията на Обединеното кралство гласува „въздържал се“</w:t>
      </w:r>
    </w:p>
    <w:p w:rsidR="00834965" w:rsidRPr="00A8177A" w:rsidRDefault="007437AA" w:rsidP="00834965">
      <w:r w:rsidRPr="00A8177A">
        <w:br w:type="page"/>
      </w:r>
      <w:r w:rsidRPr="00A8177A">
        <w:lastRenderedPageBreak/>
        <w:t>Очаква се Европейският парламент да одобри официално тези елементи на 17 декември.</w:t>
      </w:r>
    </w:p>
    <w:p w:rsidR="00834965" w:rsidRPr="00A8177A" w:rsidRDefault="002A398B" w:rsidP="000E33AB">
      <w:pPr>
        <w:numPr>
          <w:ilvl w:val="0"/>
          <w:numId w:val="1"/>
        </w:numPr>
        <w:spacing w:before="0" w:after="0" w:line="360" w:lineRule="auto"/>
        <w:ind w:left="567" w:hanging="567"/>
        <w:rPr>
          <w:i/>
          <w:iCs/>
        </w:rPr>
      </w:pPr>
      <w:hyperlink r:id="rId37" w:tooltip="http://register.consilium.europa.eu/pdf/en/14/st16/st16707-re01.en14.pdf">
        <w:r w:rsidR="00082020" w:rsidRPr="002A398B">
          <w:rPr>
            <w:rStyle w:val="Hyperlink"/>
          </w:rPr>
          <w:t>Подробности на споразумението — преглед</w:t>
        </w:r>
      </w:hyperlink>
    </w:p>
    <w:p w:rsidR="00834965" w:rsidRPr="00A8177A" w:rsidRDefault="002A398B" w:rsidP="000E33AB">
      <w:pPr>
        <w:numPr>
          <w:ilvl w:val="0"/>
          <w:numId w:val="1"/>
        </w:numPr>
        <w:spacing w:before="0" w:after="0" w:line="360" w:lineRule="auto"/>
        <w:ind w:left="567" w:hanging="567"/>
      </w:pPr>
      <w:hyperlink r:id="rId38">
        <w:r w:rsidR="00082020" w:rsidRPr="002A398B">
          <w:rPr>
            <w:rStyle w:val="Hyperlink"/>
          </w:rPr>
          <w:t>Допълнителна информация</w:t>
        </w:r>
      </w:hyperlink>
    </w:p>
    <w:p w:rsidR="00F52AC1" w:rsidRPr="00A8177A" w:rsidRDefault="002A398B" w:rsidP="000E33AB">
      <w:pPr>
        <w:numPr>
          <w:ilvl w:val="0"/>
          <w:numId w:val="1"/>
        </w:numPr>
        <w:spacing w:before="0" w:after="0" w:line="360" w:lineRule="auto"/>
        <w:ind w:left="567" w:hanging="567"/>
      </w:pPr>
      <w:hyperlink r:id="rId39">
        <w:r w:rsidR="00082020" w:rsidRPr="002A398B">
          <w:rPr>
            <w:rStyle w:val="Hyperlink"/>
          </w:rPr>
          <w:t>Съобщение за печата от 9 декември 2014 г. с пълни подробности за споразумението</w:t>
        </w:r>
      </w:hyperlink>
    </w:p>
    <w:p w:rsidR="00834965" w:rsidRPr="00A8177A" w:rsidRDefault="00834965" w:rsidP="00B67E7A">
      <w:pPr>
        <w:pStyle w:val="ItemApproved"/>
      </w:pPr>
      <w:r w:rsidRPr="00A8177A">
        <w:t>ИКОНОМИЧЕСКИ И ФИНАНСОВИ ВЪПРОСИ</w:t>
      </w:r>
    </w:p>
    <w:p w:rsidR="00834965" w:rsidRPr="00A8177A" w:rsidRDefault="00834965" w:rsidP="00B67E7A">
      <w:pPr>
        <w:pStyle w:val="Sub-itemApproved"/>
      </w:pPr>
      <w:bookmarkStart w:id="18" w:name="_Toc411854656"/>
      <w:r w:rsidRPr="00A8177A">
        <w:t>Възстановяване и преструктуриране на банките: налози</w:t>
      </w:r>
      <w:bookmarkEnd w:id="18"/>
    </w:p>
    <w:p w:rsidR="00834965" w:rsidRPr="00A8177A" w:rsidRDefault="00834965" w:rsidP="00834965">
      <w:r w:rsidRPr="00A8177A">
        <w:t>Съветът реши да не се противопоставя на приемането от Комисията на регламент за допълване на Директивата за възстановяване и преструктуриране на банките (2014/59/ЕС) във връзка с метода на изчисляване на предварителните вноски на банките в механизмите за финансиране на преструктурирането (</w:t>
      </w:r>
      <w:hyperlink r:id="rId40" w:tooltip="http://register.consilium.europa.eu/pdf/en/14/st14/st14545.en14.pdf">
        <w:r w:rsidRPr="002A398B">
          <w:rPr>
            <w:rStyle w:val="Hyperlink"/>
            <w:i/>
          </w:rPr>
          <w:t>14545/14</w:t>
        </w:r>
      </w:hyperlink>
      <w:r w:rsidRPr="00A8177A">
        <w:rPr>
          <w:b/>
        </w:rPr>
        <w:t xml:space="preserve"> </w:t>
      </w:r>
      <w:r w:rsidRPr="00A8177A">
        <w:rPr>
          <w:i/>
        </w:rPr>
        <w:t xml:space="preserve">+ </w:t>
      </w:r>
      <w:hyperlink r:id="rId41" w:tooltip="http://register.consilium.europa.eu/pdf/en/14/st14/st14545-ad01.en14.pdf">
        <w:r w:rsidRPr="002A398B">
          <w:rPr>
            <w:rStyle w:val="Hyperlink"/>
            <w:i/>
          </w:rPr>
          <w:t>14545/14 ADD1</w:t>
        </w:r>
      </w:hyperlink>
      <w:r w:rsidRPr="00A8177A">
        <w:rPr>
          <w:i/>
        </w:rPr>
        <w:t>+</w:t>
      </w:r>
      <w:hyperlink r:id="rId42" w:tooltip="http://register.consilium.europa.eu/pdf/en/14/st14/st14545-ad02.en14.pdf">
        <w:r w:rsidRPr="002A398B">
          <w:rPr>
            <w:rStyle w:val="Hyperlink"/>
            <w:i/>
          </w:rPr>
          <w:t>14545/14 ADD2</w:t>
        </w:r>
      </w:hyperlink>
      <w:r w:rsidRPr="00A8177A">
        <w:rPr>
          <w:i/>
        </w:rPr>
        <w:t>+</w:t>
      </w:r>
      <w:hyperlink r:id="rId43" w:tooltip="http://register.consilium.europa.eu/pdf/en/14/st14/st14545-ad03.en14.pdf">
        <w:r w:rsidRPr="002A398B">
          <w:rPr>
            <w:rStyle w:val="Hyperlink"/>
            <w:i/>
          </w:rPr>
          <w:t>14545/14 ADD3</w:t>
        </w:r>
      </w:hyperlink>
      <w:r w:rsidRPr="00A8177A">
        <w:rPr>
          <w:i/>
        </w:rPr>
        <w:t>+</w:t>
      </w:r>
      <w:hyperlink r:id="rId44" w:tooltip="http://register.consilium.europa.eu/pdf/en/14/st14/st14545-ad04.en14.pdf">
        <w:r w:rsidRPr="002A398B">
          <w:rPr>
            <w:rStyle w:val="Hyperlink"/>
            <w:i/>
          </w:rPr>
          <w:t>14545/14 ADD4</w:t>
        </w:r>
      </w:hyperlink>
      <w:r w:rsidRPr="00A8177A">
        <w:rPr>
          <w:i/>
        </w:rPr>
        <w:t>+</w:t>
      </w:r>
      <w:hyperlink r:id="rId45" w:tooltip="http://register.consilium.europa.eu/pdf/en/14/st14/st14545-ad05.en14.pdf">
        <w:r w:rsidRPr="002A398B">
          <w:rPr>
            <w:rStyle w:val="Hyperlink"/>
            <w:i/>
          </w:rPr>
          <w:t>14545/14 ADD5</w:t>
        </w:r>
      </w:hyperlink>
      <w:r w:rsidRPr="00A8177A">
        <w:t>).</w:t>
      </w:r>
    </w:p>
    <w:p w:rsidR="00834965" w:rsidRPr="00A8177A" w:rsidRDefault="00834965" w:rsidP="00834965">
      <w:r w:rsidRPr="00A8177A">
        <w:t>Регламентът е делегиран акт по смисъла на член 290 от Договора за функционирането на ЕС. Той вече може да влезе в сила, освен ако Европейският парламент не се противопостави.</w:t>
      </w:r>
    </w:p>
    <w:p w:rsidR="00834965" w:rsidRPr="00A8177A" w:rsidRDefault="00834965" w:rsidP="0038781A">
      <w:r w:rsidRPr="00A8177A">
        <w:t xml:space="preserve">Банките ще трябва да правят годишни вноски в националните фондове за преструктуриране. Вноските ще се изчисляват на базата на задълженията на банките, без собствения капитал и гарантираните депозити, като ще бъдат съобразени с техния рисков профил. Делегираният акт определя как да се отчита рискът и какво следва да бъде съотношението между фиксираната вноска (т.е. тази, която всички банки трябва да платят) и коригираните спрямо риска вноски, което ще </w:t>
      </w:r>
      <w:r w:rsidRPr="00A8177A">
        <w:rPr>
          <w:rStyle w:val="at11"/>
        </w:rPr>
        <w:t>варира между 0,8 и 1,5</w:t>
      </w:r>
      <w:r w:rsidRPr="00A8177A">
        <w:t>.</w:t>
      </w:r>
    </w:p>
    <w:p w:rsidR="00834965" w:rsidRPr="00A8177A" w:rsidRDefault="00834965" w:rsidP="00834965">
      <w:r w:rsidRPr="00A8177A">
        <w:rPr>
          <w:rStyle w:val="at241"/>
        </w:rPr>
        <w:t xml:space="preserve">Съветът от 9 декември също </w:t>
      </w:r>
      <w:r w:rsidRPr="00A8177A">
        <w:t xml:space="preserve">постигна политическо споразумение по регламент за изпълнение за определяне на вноските, които трябва да бъдат платени от банките в Единния фонд на ЕС за преструктуриране (за повече подробности вж. </w:t>
      </w:r>
      <w:hyperlink r:id="rId46">
        <w:r w:rsidRPr="002A398B">
          <w:rPr>
            <w:rStyle w:val="Hyperlink"/>
            <w:i/>
          </w:rPr>
          <w:t>16645/14</w:t>
        </w:r>
      </w:hyperlink>
      <w:r w:rsidRPr="00A8177A">
        <w:t>).</w:t>
      </w:r>
    </w:p>
    <w:p w:rsidR="00A964AF" w:rsidRPr="00A8177A" w:rsidRDefault="00A964AF" w:rsidP="00A964AF">
      <w:pPr>
        <w:pStyle w:val="ItemApproved"/>
      </w:pPr>
      <w:r w:rsidRPr="00A8177A">
        <w:t>ВЪНШНИ РАБОТИ</w:t>
      </w:r>
    </w:p>
    <w:p w:rsidR="00A964AF" w:rsidRPr="00A8177A" w:rsidRDefault="00A964AF" w:rsidP="00A964AF">
      <w:pPr>
        <w:pStyle w:val="Sub-itemApproved"/>
      </w:pPr>
      <w:bookmarkStart w:id="19" w:name="_Toc411854658"/>
      <w:r w:rsidRPr="00A8177A">
        <w:t>Ограничителни мерки — Сирия</w:t>
      </w:r>
      <w:bookmarkEnd w:id="19"/>
    </w:p>
    <w:p w:rsidR="00A964AF" w:rsidRPr="00A8177A" w:rsidRDefault="00A964AF" w:rsidP="00A964AF">
      <w:pPr>
        <w:pStyle w:val="Default"/>
        <w:spacing w:before="40"/>
        <w:rPr>
          <w:rFonts w:ascii="Times New Roman" w:hAnsi="Times New Roman" w:cs="Times New Roman"/>
        </w:rPr>
      </w:pPr>
      <w:r w:rsidRPr="00A8177A">
        <w:rPr>
          <w:rFonts w:ascii="Times New Roman" w:hAnsi="Times New Roman"/>
        </w:rPr>
        <w:t>Съветът забрани износа за Сирия  на гориво за реактивни двигатели и добавки за него, тъй като те се използват в произволни въздушни нападения срещу цивилно население. Това решение придава правна сила на политическото споразумение, постигнато на заседанието на Съвета по външни работи на 20 октомври.</w:t>
      </w:r>
    </w:p>
    <w:p w:rsidR="00202288" w:rsidRPr="00A8177A" w:rsidRDefault="007437AA" w:rsidP="00202288">
      <w:pPr>
        <w:pStyle w:val="ItemApproved"/>
      </w:pPr>
      <w:r w:rsidRPr="00A8177A">
        <w:br w:type="page"/>
      </w:r>
      <w:r w:rsidRPr="00A8177A">
        <w:lastRenderedPageBreak/>
        <w:t>ПРОЗРАЧНОСТ</w:t>
      </w:r>
    </w:p>
    <w:p w:rsidR="00202288" w:rsidRPr="00A8177A" w:rsidRDefault="00202288" w:rsidP="00202288">
      <w:pPr>
        <w:pStyle w:val="Sub-itemApproved"/>
      </w:pPr>
      <w:bookmarkStart w:id="20" w:name="_Toc411854660"/>
      <w:r w:rsidRPr="00A8177A">
        <w:t>Публичен достъп до документи</w:t>
      </w:r>
      <w:bookmarkEnd w:id="20"/>
    </w:p>
    <w:p w:rsidR="00202288" w:rsidRPr="00A8177A" w:rsidRDefault="00202288" w:rsidP="00202288">
      <w:pPr>
        <w:pStyle w:val="EndnoteText"/>
        <w:suppressAutoHyphens/>
      </w:pPr>
      <w:r w:rsidRPr="00A8177A">
        <w:t>На 12 декември 2014 г. Съветът одобри:</w:t>
      </w:r>
    </w:p>
    <w:p w:rsidR="00202288" w:rsidRPr="00A8177A" w:rsidRDefault="00202288" w:rsidP="0038781A">
      <w:pPr>
        <w:pStyle w:val="Tiret0"/>
      </w:pPr>
      <w:r w:rsidRPr="00A8177A">
        <w:t xml:space="preserve">отговора на </w:t>
      </w:r>
      <w:proofErr w:type="spellStart"/>
      <w:r w:rsidRPr="00A8177A">
        <w:t>потвърдително</w:t>
      </w:r>
      <w:proofErr w:type="spellEnd"/>
      <w:r w:rsidRPr="00A8177A">
        <w:t xml:space="preserve"> заявление № 32/c/01/14 (</w:t>
      </w:r>
      <w:hyperlink r:id="rId47" w:tooltip="http://register.consilium.europa.eu/pdf/en/14/st15/st15354.en14.pdf">
        <w:r w:rsidRPr="002A398B">
          <w:rPr>
            <w:rStyle w:val="Hyperlink"/>
            <w:i/>
          </w:rPr>
          <w:t>15354/14</w:t>
        </w:r>
      </w:hyperlink>
      <w:r w:rsidRPr="00A8177A">
        <w:t>)</w:t>
      </w:r>
    </w:p>
    <w:p w:rsidR="00F52AC1" w:rsidRPr="008D33D8" w:rsidRDefault="00F52AC1" w:rsidP="00F52AC1">
      <w:pPr>
        <w:pStyle w:val="FinalLine"/>
      </w:pPr>
    </w:p>
    <w:sectPr w:rsidR="00F52AC1" w:rsidRPr="008D33D8" w:rsidSect="008D33D8">
      <w:headerReference w:type="even" r:id="rId48"/>
      <w:footerReference w:type="even" r:id="rId49"/>
      <w:headerReference w:type="first" r:id="rId50"/>
      <w:footerReference w:type="first" r:id="rId5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AF" w:rsidRDefault="005B27AF">
      <w:pPr>
        <w:spacing w:before="0" w:after="0"/>
      </w:pPr>
      <w:r>
        <w:separator/>
      </w:r>
    </w:p>
  </w:endnote>
  <w:endnote w:type="continuationSeparator" w:id="0">
    <w:p w:rsidR="005B27AF" w:rsidRDefault="005B2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D8" w:rsidRPr="008D33D8" w:rsidRDefault="008D33D8" w:rsidP="008D33D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D33D8" w:rsidRPr="007410E8" w:rsidTr="008D33D8">
      <w:trPr>
        <w:jc w:val="center"/>
      </w:trPr>
      <w:tc>
        <w:tcPr>
          <w:tcW w:w="2604" w:type="pct"/>
          <w:shd w:val="clear" w:color="auto" w:fill="auto"/>
        </w:tcPr>
        <w:p w:rsidR="008D33D8" w:rsidRPr="007410E8" w:rsidRDefault="008D33D8" w:rsidP="0035025C">
          <w:pPr>
            <w:pStyle w:val="FooterText"/>
            <w:rPr>
              <w:sz w:val="16"/>
              <w:szCs w:val="16"/>
            </w:rPr>
          </w:pPr>
          <w:bookmarkStart w:id="2" w:name="FOOTER_PR_STANDARD"/>
        </w:p>
      </w:tc>
      <w:tc>
        <w:tcPr>
          <w:tcW w:w="1319" w:type="pct"/>
          <w:shd w:val="clear" w:color="auto" w:fill="auto"/>
        </w:tcPr>
        <w:p w:rsidR="008D33D8" w:rsidRPr="007410E8" w:rsidRDefault="008D33D8" w:rsidP="0035025C">
          <w:pPr>
            <w:pStyle w:val="FooterText"/>
            <w:rPr>
              <w:sz w:val="16"/>
              <w:szCs w:val="16"/>
            </w:rPr>
          </w:pPr>
        </w:p>
      </w:tc>
      <w:tc>
        <w:tcPr>
          <w:tcW w:w="1077" w:type="pct"/>
          <w:shd w:val="clear" w:color="auto" w:fill="auto"/>
        </w:tcPr>
        <w:p w:rsidR="008D33D8" w:rsidRPr="007410E8" w:rsidRDefault="008D33D8" w:rsidP="0035025C">
          <w:pPr>
            <w:pStyle w:val="FooterText"/>
            <w:jc w:val="right"/>
            <w:rPr>
              <w:sz w:val="16"/>
              <w:szCs w:val="16"/>
            </w:rPr>
          </w:pPr>
        </w:p>
      </w:tc>
    </w:tr>
    <w:tr w:rsidR="008D33D8" w:rsidRPr="007410E8" w:rsidTr="008D33D8">
      <w:trPr>
        <w:jc w:val="center"/>
      </w:trPr>
      <w:tc>
        <w:tcPr>
          <w:tcW w:w="2604" w:type="pct"/>
          <w:shd w:val="clear" w:color="auto" w:fill="auto"/>
        </w:tcPr>
        <w:p w:rsidR="008D33D8" w:rsidRPr="007410E8" w:rsidRDefault="008D33D8" w:rsidP="0035025C">
          <w:pPr>
            <w:pStyle w:val="FooterText"/>
            <w:rPr>
              <w:sz w:val="16"/>
            </w:rPr>
          </w:pPr>
          <w:r>
            <w:t>16853/14</w:t>
          </w:r>
          <w:r w:rsidRPr="002511D8">
            <w:t xml:space="preserve"> </w:t>
          </w:r>
        </w:p>
      </w:tc>
      <w:tc>
        <w:tcPr>
          <w:tcW w:w="1319" w:type="pct"/>
          <w:shd w:val="clear" w:color="auto" w:fill="auto"/>
        </w:tcPr>
        <w:p w:rsidR="008D33D8" w:rsidRPr="007410E8" w:rsidRDefault="008D33D8" w:rsidP="0035025C">
          <w:pPr>
            <w:pStyle w:val="FooterText"/>
            <w:rPr>
              <w:sz w:val="16"/>
            </w:rPr>
          </w:pPr>
        </w:p>
      </w:tc>
      <w:tc>
        <w:tcPr>
          <w:tcW w:w="1077" w:type="pct"/>
          <w:shd w:val="clear" w:color="auto" w:fill="auto"/>
        </w:tcPr>
        <w:p w:rsidR="008D33D8" w:rsidRPr="007410E8" w:rsidRDefault="008D33D8" w:rsidP="0035025C">
          <w:pPr>
            <w:pStyle w:val="FooterText"/>
            <w:jc w:val="right"/>
            <w:rPr>
              <w:sz w:val="16"/>
            </w:rPr>
          </w:pPr>
          <w:r>
            <w:fldChar w:fldCharType="begin"/>
          </w:r>
          <w:r>
            <w:instrText xml:space="preserve"> PAGE  \* MERGEFORMAT </w:instrText>
          </w:r>
          <w:r>
            <w:fldChar w:fldCharType="separate"/>
          </w:r>
          <w:r w:rsidR="002A398B">
            <w:rPr>
              <w:noProof/>
            </w:rPr>
            <w:t>15</w:t>
          </w:r>
          <w:r>
            <w:fldChar w:fldCharType="end"/>
          </w:r>
        </w:p>
      </w:tc>
    </w:tr>
    <w:tr w:rsidR="008D33D8" w:rsidRPr="007410E8" w:rsidTr="008D33D8">
      <w:trPr>
        <w:jc w:val="center"/>
      </w:trPr>
      <w:tc>
        <w:tcPr>
          <w:tcW w:w="2604" w:type="pct"/>
          <w:shd w:val="clear" w:color="auto" w:fill="auto"/>
        </w:tcPr>
        <w:p w:rsidR="008D33D8" w:rsidRPr="007410E8" w:rsidRDefault="008D33D8" w:rsidP="0035025C">
          <w:pPr>
            <w:pStyle w:val="FooterText"/>
            <w:rPr>
              <w:sz w:val="16"/>
            </w:rPr>
          </w:pPr>
        </w:p>
      </w:tc>
      <w:tc>
        <w:tcPr>
          <w:tcW w:w="1319" w:type="pct"/>
          <w:shd w:val="clear" w:color="auto" w:fill="auto"/>
        </w:tcPr>
        <w:p w:rsidR="008D33D8" w:rsidRPr="007410E8" w:rsidRDefault="008D33D8" w:rsidP="0035025C">
          <w:pPr>
            <w:pStyle w:val="FooterText"/>
            <w:rPr>
              <w:sz w:val="16"/>
            </w:rPr>
          </w:pPr>
        </w:p>
      </w:tc>
      <w:tc>
        <w:tcPr>
          <w:tcW w:w="1077" w:type="pct"/>
          <w:shd w:val="clear" w:color="auto" w:fill="auto"/>
        </w:tcPr>
        <w:p w:rsidR="008D33D8" w:rsidRPr="007410E8" w:rsidRDefault="008D33D8" w:rsidP="0035025C">
          <w:pPr>
            <w:pStyle w:val="FooterText"/>
            <w:jc w:val="right"/>
            <w:rPr>
              <w:sz w:val="16"/>
            </w:rPr>
          </w:pPr>
          <w:r>
            <w:rPr>
              <w:b/>
              <w:position w:val="-4"/>
              <w:sz w:val="36"/>
            </w:rPr>
            <w:t>BG</w:t>
          </w:r>
        </w:p>
      </w:tc>
    </w:tr>
    <w:bookmarkEnd w:id="2"/>
  </w:tbl>
  <w:p w:rsidR="00926EAF" w:rsidRPr="008D33D8" w:rsidRDefault="00926EAF" w:rsidP="008D33D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8D33D8" w:rsidRPr="009C2FB3" w:rsidTr="008D33D8">
      <w:trPr>
        <w:jc w:val="center"/>
      </w:trPr>
      <w:tc>
        <w:tcPr>
          <w:tcW w:w="569" w:type="pct"/>
          <w:shd w:val="clear" w:color="auto" w:fill="auto"/>
        </w:tcPr>
        <w:p w:rsidR="008D33D8" w:rsidRPr="009C2FB3" w:rsidRDefault="008D33D8" w:rsidP="0035025C">
          <w:pPr>
            <w:pStyle w:val="FooterText"/>
          </w:pPr>
          <w:bookmarkStart w:id="3" w:name="FOOTER_PR_COVERPAGE"/>
        </w:p>
      </w:tc>
      <w:tc>
        <w:tcPr>
          <w:tcW w:w="3760" w:type="pct"/>
          <w:gridSpan w:val="3"/>
          <w:shd w:val="clear" w:color="auto" w:fill="auto"/>
          <w:noWrap/>
        </w:tcPr>
        <w:p w:rsidR="008D33D8" w:rsidRPr="00F37CD6" w:rsidRDefault="008D33D8" w:rsidP="00CA18CB">
          <w:pPr>
            <w:pStyle w:val="FooterText"/>
            <w:pBdr>
              <w:bottom w:val="single" w:sz="24" w:space="1" w:color="2C4491"/>
            </w:pBdr>
            <w:spacing w:line="276" w:lineRule="auto"/>
            <w:jc w:val="center"/>
            <w:rPr>
              <w:b/>
              <w:color w:val="2C4491"/>
              <w:spacing w:val="200"/>
              <w:sz w:val="56"/>
            </w:rPr>
          </w:pPr>
          <w:r>
            <w:rPr>
              <w:b/>
              <w:color w:val="2C4491"/>
              <w:spacing w:val="200"/>
              <w:sz w:val="56"/>
            </w:rPr>
            <w:t>ЗА ПЕЧАТА</w:t>
          </w:r>
        </w:p>
      </w:tc>
      <w:tc>
        <w:tcPr>
          <w:tcW w:w="670" w:type="pct"/>
          <w:shd w:val="clear" w:color="auto" w:fill="auto"/>
        </w:tcPr>
        <w:p w:rsidR="008D33D8" w:rsidRPr="009C2FB3" w:rsidRDefault="008D33D8" w:rsidP="0035025C">
          <w:pPr>
            <w:pStyle w:val="FooterText"/>
          </w:pPr>
        </w:p>
      </w:tc>
    </w:tr>
    <w:tr w:rsidR="008D33D8" w:rsidRPr="007410E8" w:rsidTr="008D33D8">
      <w:trPr>
        <w:jc w:val="center"/>
      </w:trPr>
      <w:tc>
        <w:tcPr>
          <w:tcW w:w="5000" w:type="pct"/>
          <w:gridSpan w:val="5"/>
          <w:shd w:val="clear" w:color="auto" w:fill="auto"/>
        </w:tcPr>
        <w:p w:rsidR="008D33D8" w:rsidRPr="00827A78" w:rsidRDefault="008D33D8" w:rsidP="0035025C">
          <w:pPr>
            <w:pStyle w:val="FooterAddressText"/>
          </w:pPr>
        </w:p>
        <w:p w:rsidR="008D33D8" w:rsidRPr="007410E8" w:rsidRDefault="008D33D8" w:rsidP="0035025C">
          <w:pPr>
            <w:pStyle w:val="FooterAddressText"/>
          </w:pPr>
          <w:proofErr w:type="spellStart"/>
          <w:r>
            <w:t>Rue</w:t>
          </w:r>
          <w:proofErr w:type="spellEnd"/>
          <w:r>
            <w:t xml:space="preserve"> </w:t>
          </w:r>
          <w:proofErr w:type="spellStart"/>
          <w:r>
            <w:t>de</w:t>
          </w:r>
          <w:proofErr w:type="spellEnd"/>
          <w:r>
            <w:t xml:space="preserve"> </w:t>
          </w:r>
          <w:proofErr w:type="spellStart"/>
          <w:r>
            <w:t>la</w:t>
          </w:r>
          <w:proofErr w:type="spellEnd"/>
          <w:r>
            <w:t xml:space="preserve"> </w:t>
          </w:r>
          <w:proofErr w:type="spellStart"/>
          <w:r>
            <w:t>Loi</w:t>
          </w:r>
          <w:proofErr w:type="spellEnd"/>
          <w:r>
            <w:t>, 175  B – 1048 BRUXELLES Тел.: +32 (0)2 281 6319  Факс: +32 (0)2 281 8026</w:t>
          </w:r>
        </w:p>
      </w:tc>
    </w:tr>
    <w:tr w:rsidR="008D33D8" w:rsidRPr="007410E8" w:rsidTr="008D33D8">
      <w:trPr>
        <w:jc w:val="center"/>
      </w:trPr>
      <w:tc>
        <w:tcPr>
          <w:tcW w:w="5000" w:type="pct"/>
          <w:gridSpan w:val="5"/>
          <w:shd w:val="clear" w:color="auto" w:fill="auto"/>
        </w:tcPr>
        <w:p w:rsidR="008D33D8" w:rsidRPr="007410E8" w:rsidRDefault="008D33D8" w:rsidP="0035025C">
          <w:pPr>
            <w:pStyle w:val="FooterText"/>
            <w:jc w:val="center"/>
            <w:rPr>
              <w:sz w:val="20"/>
              <w:szCs w:val="20"/>
            </w:rPr>
          </w:pPr>
          <w:hyperlink r:id="rId1" w:history="1">
            <w:r w:rsidRPr="008D33D8">
              <w:rPr>
                <w:rStyle w:val="Hyperlink"/>
                <w:sz w:val="20"/>
              </w:rPr>
              <w:t>press.office@consilium.europa.eu</w:t>
            </w:r>
          </w:hyperlink>
          <w:r w:rsidRPr="007410E8">
            <w:rPr>
              <w:sz w:val="20"/>
              <w:szCs w:val="20"/>
            </w:rPr>
            <w:t xml:space="preserve">  </w:t>
          </w:r>
          <w:hyperlink r:id="rId2" w:history="1">
            <w:r w:rsidRPr="008D33D8">
              <w:rPr>
                <w:rStyle w:val="Hyperlink"/>
                <w:sz w:val="20"/>
              </w:rPr>
              <w:t>http://www.consilium.europa.eu/press</w:t>
            </w:r>
          </w:hyperlink>
        </w:p>
      </w:tc>
    </w:tr>
    <w:tr w:rsidR="008D33D8" w:rsidRPr="007410E8" w:rsidTr="008D33D8">
      <w:trPr>
        <w:jc w:val="center"/>
      </w:trPr>
      <w:tc>
        <w:tcPr>
          <w:tcW w:w="2604" w:type="pct"/>
          <w:gridSpan w:val="2"/>
          <w:shd w:val="clear" w:color="auto" w:fill="auto"/>
        </w:tcPr>
        <w:p w:rsidR="008D33D8" w:rsidRPr="007410E8" w:rsidRDefault="008D33D8" w:rsidP="0035025C">
          <w:pPr>
            <w:pStyle w:val="FooterText"/>
            <w:spacing w:before="60"/>
            <w:rPr>
              <w:sz w:val="16"/>
            </w:rPr>
          </w:pPr>
          <w:r>
            <w:t>16853/14</w:t>
          </w:r>
          <w:r w:rsidRPr="002511D8">
            <w:t xml:space="preserve"> </w:t>
          </w:r>
        </w:p>
      </w:tc>
      <w:tc>
        <w:tcPr>
          <w:tcW w:w="1319" w:type="pct"/>
          <w:shd w:val="clear" w:color="auto" w:fill="auto"/>
        </w:tcPr>
        <w:p w:rsidR="008D33D8" w:rsidRPr="007410E8" w:rsidRDefault="008D33D8" w:rsidP="0035025C">
          <w:pPr>
            <w:pStyle w:val="FooterText"/>
            <w:spacing w:before="120"/>
            <w:rPr>
              <w:sz w:val="16"/>
            </w:rPr>
          </w:pPr>
        </w:p>
      </w:tc>
      <w:tc>
        <w:tcPr>
          <w:tcW w:w="1077" w:type="pct"/>
          <w:gridSpan w:val="2"/>
          <w:shd w:val="clear" w:color="auto" w:fill="auto"/>
        </w:tcPr>
        <w:p w:rsidR="008D33D8" w:rsidRPr="007410E8" w:rsidRDefault="008D33D8" w:rsidP="0035025C">
          <w:pPr>
            <w:pStyle w:val="FooterText"/>
            <w:spacing w:before="60"/>
            <w:jc w:val="right"/>
            <w:rPr>
              <w:sz w:val="16"/>
            </w:rPr>
          </w:pPr>
          <w:r>
            <w:fldChar w:fldCharType="begin"/>
          </w:r>
          <w:r>
            <w:instrText xml:space="preserve"> PAGE  \* MERGEFORMAT </w:instrText>
          </w:r>
          <w:r>
            <w:fldChar w:fldCharType="separate"/>
          </w:r>
          <w:r w:rsidR="002A398B">
            <w:rPr>
              <w:noProof/>
            </w:rPr>
            <w:t>1</w:t>
          </w:r>
          <w:r>
            <w:fldChar w:fldCharType="end"/>
          </w:r>
        </w:p>
      </w:tc>
    </w:tr>
    <w:tr w:rsidR="008D33D8" w:rsidRPr="007410E8" w:rsidTr="008D33D8">
      <w:trPr>
        <w:jc w:val="center"/>
      </w:trPr>
      <w:tc>
        <w:tcPr>
          <w:tcW w:w="2604" w:type="pct"/>
          <w:gridSpan w:val="2"/>
          <w:shd w:val="clear" w:color="auto" w:fill="auto"/>
        </w:tcPr>
        <w:p w:rsidR="008D33D8" w:rsidRPr="007410E8" w:rsidRDefault="008D33D8" w:rsidP="0035025C">
          <w:pPr>
            <w:pStyle w:val="FooterText"/>
            <w:rPr>
              <w:sz w:val="16"/>
            </w:rPr>
          </w:pPr>
        </w:p>
      </w:tc>
      <w:tc>
        <w:tcPr>
          <w:tcW w:w="1319" w:type="pct"/>
          <w:shd w:val="clear" w:color="auto" w:fill="auto"/>
        </w:tcPr>
        <w:p w:rsidR="008D33D8" w:rsidRPr="007410E8" w:rsidRDefault="008D33D8" w:rsidP="0035025C">
          <w:pPr>
            <w:pStyle w:val="FooterText"/>
            <w:rPr>
              <w:sz w:val="16"/>
            </w:rPr>
          </w:pPr>
        </w:p>
      </w:tc>
      <w:tc>
        <w:tcPr>
          <w:tcW w:w="1077" w:type="pct"/>
          <w:gridSpan w:val="2"/>
          <w:shd w:val="clear" w:color="auto" w:fill="auto"/>
        </w:tcPr>
        <w:p w:rsidR="008D33D8" w:rsidRPr="007410E8" w:rsidRDefault="008D33D8" w:rsidP="0035025C">
          <w:pPr>
            <w:pStyle w:val="FooterText"/>
            <w:jc w:val="right"/>
            <w:rPr>
              <w:sz w:val="16"/>
            </w:rPr>
          </w:pPr>
          <w:r>
            <w:rPr>
              <w:b/>
              <w:position w:val="-4"/>
              <w:sz w:val="36"/>
            </w:rPr>
            <w:t>BG</w:t>
          </w:r>
        </w:p>
      </w:tc>
    </w:tr>
    <w:bookmarkEnd w:id="3"/>
  </w:tbl>
  <w:p w:rsidR="00926EAF" w:rsidRPr="008D33D8" w:rsidRDefault="00926EAF" w:rsidP="008D33D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D33D8" w:rsidRPr="007410E8" w:rsidTr="008D33D8">
      <w:trPr>
        <w:jc w:val="center"/>
      </w:trPr>
      <w:tc>
        <w:tcPr>
          <w:tcW w:w="5000" w:type="pct"/>
          <w:gridSpan w:val="3"/>
          <w:shd w:val="clear" w:color="auto" w:fill="auto"/>
        </w:tcPr>
        <w:p w:rsidR="008D33D8" w:rsidRPr="007410E8" w:rsidRDefault="008D33D8"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В случаите, когато Съветът официално е приел декларации, заключения или резолюции, това се отбелязва в заглавието на съответната точка и текстът се поставя в кавички.</w:t>
          </w:r>
        </w:p>
        <w:p w:rsidR="008D33D8" w:rsidRPr="007410E8" w:rsidRDefault="008D33D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Документите, които се посочват в текста, се намират на уебсайта на Съвета (http://www.consilium.europa.eu).</w:t>
          </w:r>
        </w:p>
        <w:p w:rsidR="008D33D8" w:rsidRPr="007410E8" w:rsidRDefault="008D33D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Актовете, съдържащи изявления за протоколите от заседанията на Съвета, до които може да се предостави публичен достъп, са обозначени със звездичка. Тези изявления се намират на посочения по-горе уебсайт на Съвета или могат да бъдат получени от службата по печата.</w:t>
          </w:r>
        </w:p>
        <w:p w:rsidR="008D33D8" w:rsidRPr="007410E8" w:rsidRDefault="008D33D8" w:rsidP="0035025C">
          <w:pPr>
            <w:pStyle w:val="FooterText"/>
            <w:tabs>
              <w:tab w:val="left" w:pos="285"/>
              <w:tab w:val="left" w:pos="585"/>
            </w:tabs>
            <w:rPr>
              <w:sz w:val="21"/>
              <w:szCs w:val="21"/>
            </w:rPr>
          </w:pPr>
        </w:p>
      </w:tc>
    </w:tr>
    <w:tr w:rsidR="008D33D8" w:rsidRPr="007410E8" w:rsidTr="008D33D8">
      <w:trPr>
        <w:jc w:val="center"/>
      </w:trPr>
      <w:tc>
        <w:tcPr>
          <w:tcW w:w="2604" w:type="pct"/>
          <w:shd w:val="clear" w:color="auto" w:fill="auto"/>
        </w:tcPr>
        <w:p w:rsidR="008D33D8" w:rsidRPr="007410E8" w:rsidRDefault="008D33D8" w:rsidP="0035025C">
          <w:pPr>
            <w:pStyle w:val="FooterText"/>
            <w:rPr>
              <w:sz w:val="16"/>
            </w:rPr>
          </w:pPr>
          <w:r>
            <w:t>16853/14</w:t>
          </w:r>
          <w:r w:rsidRPr="002511D8">
            <w:t xml:space="preserve"> </w:t>
          </w:r>
        </w:p>
      </w:tc>
      <w:tc>
        <w:tcPr>
          <w:tcW w:w="1319" w:type="pct"/>
          <w:shd w:val="clear" w:color="auto" w:fill="auto"/>
        </w:tcPr>
        <w:p w:rsidR="008D33D8" w:rsidRPr="007410E8" w:rsidRDefault="008D33D8" w:rsidP="0035025C">
          <w:pPr>
            <w:pStyle w:val="FooterText"/>
            <w:rPr>
              <w:sz w:val="16"/>
            </w:rPr>
          </w:pPr>
        </w:p>
      </w:tc>
      <w:tc>
        <w:tcPr>
          <w:tcW w:w="1077" w:type="pct"/>
          <w:shd w:val="clear" w:color="auto" w:fill="auto"/>
        </w:tcPr>
        <w:p w:rsidR="008D33D8" w:rsidRPr="007410E8" w:rsidRDefault="008D33D8" w:rsidP="0035025C">
          <w:pPr>
            <w:pStyle w:val="FooterText"/>
            <w:jc w:val="right"/>
            <w:rPr>
              <w:sz w:val="16"/>
            </w:rPr>
          </w:pPr>
          <w:r>
            <w:fldChar w:fldCharType="begin"/>
          </w:r>
          <w:r>
            <w:instrText xml:space="preserve"> PAGE  \* MERGEFORMAT </w:instrText>
          </w:r>
          <w:r>
            <w:fldChar w:fldCharType="separate"/>
          </w:r>
          <w:r w:rsidR="002A398B">
            <w:rPr>
              <w:noProof/>
            </w:rPr>
            <w:t>2</w:t>
          </w:r>
          <w:r>
            <w:fldChar w:fldCharType="end"/>
          </w:r>
        </w:p>
      </w:tc>
    </w:tr>
    <w:tr w:rsidR="008D33D8" w:rsidRPr="007410E8" w:rsidTr="008D33D8">
      <w:trPr>
        <w:jc w:val="center"/>
      </w:trPr>
      <w:tc>
        <w:tcPr>
          <w:tcW w:w="2604" w:type="pct"/>
          <w:shd w:val="clear" w:color="auto" w:fill="auto"/>
        </w:tcPr>
        <w:p w:rsidR="008D33D8" w:rsidRPr="007410E8" w:rsidRDefault="008D33D8" w:rsidP="0035025C">
          <w:pPr>
            <w:pStyle w:val="FooterText"/>
            <w:rPr>
              <w:sz w:val="16"/>
            </w:rPr>
          </w:pPr>
        </w:p>
      </w:tc>
      <w:tc>
        <w:tcPr>
          <w:tcW w:w="1319" w:type="pct"/>
          <w:shd w:val="clear" w:color="auto" w:fill="auto"/>
        </w:tcPr>
        <w:p w:rsidR="008D33D8" w:rsidRPr="007410E8" w:rsidRDefault="008D33D8" w:rsidP="0035025C">
          <w:pPr>
            <w:pStyle w:val="FooterText"/>
            <w:rPr>
              <w:sz w:val="16"/>
            </w:rPr>
          </w:pPr>
        </w:p>
      </w:tc>
      <w:tc>
        <w:tcPr>
          <w:tcW w:w="1077" w:type="pct"/>
          <w:shd w:val="clear" w:color="auto" w:fill="auto"/>
        </w:tcPr>
        <w:p w:rsidR="008D33D8" w:rsidRPr="007410E8" w:rsidRDefault="008D33D8" w:rsidP="0035025C">
          <w:pPr>
            <w:pStyle w:val="FooterText"/>
            <w:jc w:val="right"/>
            <w:rPr>
              <w:sz w:val="16"/>
            </w:rPr>
          </w:pPr>
          <w:r>
            <w:rPr>
              <w:b/>
              <w:position w:val="-4"/>
              <w:sz w:val="36"/>
            </w:rPr>
            <w:t>BG</w:t>
          </w:r>
        </w:p>
      </w:tc>
    </w:tr>
    <w:bookmarkEnd w:id="5"/>
  </w:tbl>
  <w:p w:rsidR="002E17BB" w:rsidRPr="008D33D8" w:rsidRDefault="002E17BB" w:rsidP="008D33D8">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AF" w:rsidRDefault="005B27AF">
      <w:pPr>
        <w:spacing w:before="0" w:after="0"/>
      </w:pPr>
      <w:r>
        <w:separator/>
      </w:r>
    </w:p>
  </w:footnote>
  <w:footnote w:type="continuationSeparator" w:id="0">
    <w:p w:rsidR="005B27AF" w:rsidRDefault="005B27AF">
      <w:pPr>
        <w:spacing w:before="0" w:after="0"/>
      </w:pPr>
      <w:r>
        <w:continuationSeparator/>
      </w:r>
    </w:p>
  </w:footnote>
  <w:footnote w:id="1">
    <w:p w:rsidR="00032C50" w:rsidRPr="00A73B77" w:rsidRDefault="00032C50" w:rsidP="00032C50">
      <w:pPr>
        <w:pStyle w:val="FootnoteText"/>
        <w:rPr>
          <w:lang w:val="pt-PT"/>
        </w:rPr>
      </w:pPr>
      <w:r>
        <w:rPr>
          <w:rStyle w:val="FootnoteReference"/>
          <w:rFonts w:ascii="Arial" w:hAnsi="Arial"/>
        </w:rPr>
        <w:footnoteRef/>
      </w:r>
      <w:r>
        <w:tab/>
      </w:r>
      <w:r>
        <w:rPr>
          <w:i/>
        </w:rPr>
        <w:t>EUCO 79/14, стр. 15.</w:t>
      </w:r>
    </w:p>
  </w:footnote>
  <w:footnote w:id="2">
    <w:p w:rsidR="00032C50" w:rsidRPr="00A73B77" w:rsidRDefault="00032C50" w:rsidP="00032C50">
      <w:pPr>
        <w:pStyle w:val="FootnoteText"/>
        <w:rPr>
          <w:lang w:val="pt-PT"/>
        </w:rPr>
      </w:pPr>
      <w:r>
        <w:rPr>
          <w:rStyle w:val="FootnoteReference"/>
        </w:rPr>
        <w:footnoteRef/>
      </w:r>
      <w:r>
        <w:tab/>
      </w:r>
      <w:r>
        <w:rPr>
          <w:i/>
        </w:rPr>
        <w:t>https://eacea.ec.europa.eu/erasmus-plus/funding/knowledge-alliances-sector-skills-alliances-eacs1113_en</w:t>
      </w:r>
    </w:p>
  </w:footnote>
  <w:footnote w:id="3">
    <w:p w:rsidR="00640089" w:rsidRPr="001460AC" w:rsidRDefault="00640089" w:rsidP="00640089">
      <w:pPr>
        <w:pStyle w:val="FootnoteText"/>
        <w:rPr>
          <w:rFonts w:ascii="Arial" w:hAnsi="Arial"/>
          <w:lang w:val="pt-PT"/>
        </w:rPr>
      </w:pPr>
      <w:r>
        <w:rPr>
          <w:rStyle w:val="FootnoteReference"/>
        </w:rPr>
        <w:footnoteRef/>
      </w:r>
      <w:r>
        <w:tab/>
        <w:t>OВ C 183, 2014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D8" w:rsidRPr="008D33D8" w:rsidRDefault="008D33D8" w:rsidP="008D33D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D8" w:rsidRPr="008D33D8" w:rsidRDefault="008D33D8" w:rsidP="008D33D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D8" w:rsidRPr="008D33D8" w:rsidRDefault="008D33D8" w:rsidP="008D33D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D33D8" w:rsidRPr="007410E8" w:rsidTr="008D33D8">
      <w:trPr>
        <w:jc w:val="center"/>
      </w:trPr>
      <w:tc>
        <w:tcPr>
          <w:tcW w:w="2500" w:type="pct"/>
          <w:shd w:val="clear" w:color="auto" w:fill="auto"/>
        </w:tcPr>
        <w:p w:rsidR="008D33D8" w:rsidRPr="007410E8" w:rsidRDefault="008D33D8" w:rsidP="0035025C">
          <w:pPr>
            <w:pStyle w:val="HeaderText"/>
            <w:rPr>
              <w:b/>
              <w:i/>
              <w:sz w:val="16"/>
              <w:u w:val="single"/>
            </w:rPr>
          </w:pPr>
          <w:bookmarkStart w:id="4" w:name="HEADER_PRMEET"/>
        </w:p>
      </w:tc>
      <w:tc>
        <w:tcPr>
          <w:tcW w:w="2500" w:type="pct"/>
          <w:shd w:val="clear" w:color="auto" w:fill="auto"/>
        </w:tcPr>
        <w:p w:rsidR="008D33D8" w:rsidRPr="007410E8" w:rsidRDefault="008D33D8" w:rsidP="008D33D8">
          <w:pPr>
            <w:pStyle w:val="HeaderText"/>
            <w:jc w:val="right"/>
            <w:rPr>
              <w:sz w:val="16"/>
            </w:rPr>
          </w:pPr>
          <w:r w:rsidRPr="008D33D8">
            <w:t>12 декември 2014 г.</w:t>
          </w:r>
        </w:p>
      </w:tc>
    </w:tr>
    <w:bookmarkEnd w:id="4"/>
  </w:tbl>
  <w:p w:rsidR="002E17BB" w:rsidRPr="008D33D8" w:rsidRDefault="002E17BB" w:rsidP="008D33D8">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D33D8" w:rsidRPr="007410E8" w:rsidTr="008D33D8">
      <w:trPr>
        <w:jc w:val="center"/>
      </w:trPr>
      <w:tc>
        <w:tcPr>
          <w:tcW w:w="2500" w:type="pct"/>
          <w:shd w:val="clear" w:color="auto" w:fill="auto"/>
        </w:tcPr>
        <w:p w:rsidR="008D33D8" w:rsidRPr="007410E8" w:rsidRDefault="008D33D8" w:rsidP="0035025C">
          <w:pPr>
            <w:pStyle w:val="HeaderText"/>
            <w:rPr>
              <w:b/>
              <w:i/>
              <w:sz w:val="16"/>
              <w:u w:val="single"/>
            </w:rPr>
          </w:pPr>
        </w:p>
      </w:tc>
      <w:tc>
        <w:tcPr>
          <w:tcW w:w="2500" w:type="pct"/>
          <w:shd w:val="clear" w:color="auto" w:fill="auto"/>
        </w:tcPr>
        <w:p w:rsidR="008D33D8" w:rsidRPr="007410E8" w:rsidRDefault="008D33D8" w:rsidP="008D33D8">
          <w:pPr>
            <w:pStyle w:val="HeaderText"/>
            <w:jc w:val="right"/>
            <w:rPr>
              <w:sz w:val="16"/>
            </w:rPr>
          </w:pPr>
          <w:r w:rsidRPr="008D33D8">
            <w:t>12 декември 2014 г.</w:t>
          </w:r>
        </w:p>
      </w:tc>
    </w:tr>
  </w:tbl>
  <w:p w:rsidR="002E17BB" w:rsidRPr="008D33D8" w:rsidRDefault="002E17BB" w:rsidP="008D33D8">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8D33D8" w:rsidRDefault="002E17BB" w:rsidP="008D3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1E9E06"/>
    <w:lvl w:ilvl="0">
      <w:start w:val="1"/>
      <w:numFmt w:val="decimal"/>
      <w:lvlText w:val="%1."/>
      <w:lvlJc w:val="left"/>
      <w:pPr>
        <w:tabs>
          <w:tab w:val="num" w:pos="1492"/>
        </w:tabs>
        <w:ind w:left="1492" w:hanging="360"/>
      </w:pPr>
    </w:lvl>
  </w:abstractNum>
  <w:abstractNum w:abstractNumId="1">
    <w:nsid w:val="FFFFFF7D"/>
    <w:multiLevelType w:val="singleLevel"/>
    <w:tmpl w:val="79368886"/>
    <w:lvl w:ilvl="0">
      <w:start w:val="1"/>
      <w:numFmt w:val="decimal"/>
      <w:lvlText w:val="%1."/>
      <w:lvlJc w:val="left"/>
      <w:pPr>
        <w:tabs>
          <w:tab w:val="num" w:pos="1209"/>
        </w:tabs>
        <w:ind w:left="1209" w:hanging="360"/>
      </w:pPr>
    </w:lvl>
  </w:abstractNum>
  <w:abstractNum w:abstractNumId="2">
    <w:nsid w:val="FFFFFF7E"/>
    <w:multiLevelType w:val="singleLevel"/>
    <w:tmpl w:val="1558270C"/>
    <w:lvl w:ilvl="0">
      <w:start w:val="1"/>
      <w:numFmt w:val="decimal"/>
      <w:lvlText w:val="%1."/>
      <w:lvlJc w:val="left"/>
      <w:pPr>
        <w:tabs>
          <w:tab w:val="num" w:pos="926"/>
        </w:tabs>
        <w:ind w:left="926" w:hanging="360"/>
      </w:pPr>
    </w:lvl>
  </w:abstractNum>
  <w:abstractNum w:abstractNumId="3">
    <w:nsid w:val="FFFFFF7F"/>
    <w:multiLevelType w:val="singleLevel"/>
    <w:tmpl w:val="2FBA5062"/>
    <w:lvl w:ilvl="0">
      <w:start w:val="1"/>
      <w:numFmt w:val="decimal"/>
      <w:lvlText w:val="%1."/>
      <w:lvlJc w:val="left"/>
      <w:pPr>
        <w:tabs>
          <w:tab w:val="num" w:pos="643"/>
        </w:tabs>
        <w:ind w:left="643" w:hanging="360"/>
      </w:pPr>
    </w:lvl>
  </w:abstractNum>
  <w:abstractNum w:abstractNumId="4">
    <w:nsid w:val="FFFFFF80"/>
    <w:multiLevelType w:val="singleLevel"/>
    <w:tmpl w:val="5802AE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8EFE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3EB7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D833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F63E"/>
    <w:lvl w:ilvl="0">
      <w:start w:val="1"/>
      <w:numFmt w:val="decimal"/>
      <w:lvlText w:val="%1."/>
      <w:lvlJc w:val="left"/>
      <w:pPr>
        <w:tabs>
          <w:tab w:val="num" w:pos="360"/>
        </w:tabs>
        <w:ind w:left="360" w:hanging="360"/>
      </w:pPr>
    </w:lvl>
  </w:abstractNum>
  <w:abstractNum w:abstractNumId="9">
    <w:nsid w:val="FFFFFF89"/>
    <w:multiLevelType w:val="singleLevel"/>
    <w:tmpl w:val="2BBC1978"/>
    <w:lvl w:ilvl="0">
      <w:start w:val="1"/>
      <w:numFmt w:val="bullet"/>
      <w:lvlText w:val=""/>
      <w:lvlJc w:val="left"/>
      <w:pPr>
        <w:tabs>
          <w:tab w:val="num" w:pos="360"/>
        </w:tabs>
        <w:ind w:left="360" w:hanging="360"/>
      </w:pPr>
      <w:rPr>
        <w:rFonts w:ascii="Symbol" w:hAnsi="Symbol" w:hint="default"/>
      </w:rPr>
    </w:lvl>
  </w:abstractNum>
  <w:abstractNum w:abstractNumId="1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1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FD7BFD"/>
    <w:multiLevelType w:val="hybridMultilevel"/>
    <w:tmpl w:val="E26A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6">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7">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2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4">
    <w:nsid w:val="5A412BC3"/>
    <w:multiLevelType w:val="hybridMultilevel"/>
    <w:tmpl w:val="1466D2F2"/>
    <w:lvl w:ilvl="0" w:tplc="E6D2AB58">
      <w:numFmt w:val="bullet"/>
      <w:lvlText w:val="‒"/>
      <w:lvlJc w:val="left"/>
      <w:pPr>
        <w:ind w:left="720" w:hanging="360"/>
      </w:pPr>
      <w:rPr>
        <w:rFonts w:ascii="Arial" w:eastAsia="Calibr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24"/>
  </w:num>
  <w:num w:numId="2">
    <w:abstractNumId w:val="15"/>
  </w:num>
  <w:num w:numId="3">
    <w:abstractNumId w:val="23"/>
  </w:num>
  <w:num w:numId="4">
    <w:abstractNumId w:val="17"/>
  </w:num>
  <w:num w:numId="5">
    <w:abstractNumId w:val="16"/>
  </w:num>
  <w:num w:numId="6">
    <w:abstractNumId w:val="11"/>
  </w:num>
  <w:num w:numId="7">
    <w:abstractNumId w:val="25"/>
  </w:num>
  <w:num w:numId="8">
    <w:abstractNumId w:val="12"/>
  </w:num>
  <w:num w:numId="9">
    <w:abstractNumId w:val="14"/>
  </w:num>
  <w:num w:numId="10">
    <w:abstractNumId w:val="22"/>
  </w:num>
  <w:num w:numId="11">
    <w:abstractNumId w:val="19"/>
  </w:num>
  <w:num w:numId="12">
    <w:abstractNumId w:val="10"/>
  </w:num>
  <w:num w:numId="13">
    <w:abstractNumId w:val="26"/>
  </w:num>
  <w:num w:numId="14">
    <w:abstractNumId w:val="21"/>
  </w:num>
  <w:num w:numId="15">
    <w:abstractNumId w:val="20"/>
  </w:num>
  <w:num w:numId="16">
    <w:abstractNumId w:val="18"/>
  </w:num>
  <w:num w:numId="17">
    <w:abstractNumId w:val="18"/>
    <w:lvlOverride w:ilvl="0">
      <w:startOverride w:val="1"/>
    </w:lvlOverride>
  </w:num>
  <w:num w:numId="18">
    <w:abstractNumId w:val="15"/>
    <w:lvlOverride w:ilvl="0">
      <w:startOverride w:val="1"/>
    </w:lvlOverride>
  </w:num>
  <w:num w:numId="19">
    <w:abstractNumId w:val="20"/>
    <w:lvlOverride w:ilvl="0">
      <w:startOverride w:val="1"/>
    </w:lvlOverride>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1e9d7fff-c6ff-4547-b9f6-0304b14751c4&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amp;#1056;&amp;#1045;&amp;#1047;&amp;#1059;&amp;#1051;&amp;#1058;&amp;#1040;&amp;#1058;&amp;#1048; &amp;#1054;&amp;#1058; &amp;#1047;&amp;#1040;&amp;#1057;&amp;#1045;&amp;#1044;&amp;#1040;&amp;#1053;&amp;#1048;&amp;#1045;&amp;#1058;&amp;#1054; &amp;#1053;&amp;#1040; &amp;#1057;&amp;#1066;&amp;#1042;&amp;#1045;&amp;#1058;&amp;#1040;&quot; /&gt;_x000d__x000a_    &lt;/basicdatatype&gt;_x000d__x000a_  &lt;/metadata&gt;_x000d__x000a_  &lt;metadata key=&quot;md_HeadingText&quot; translate=&quot;false&quot;&gt;_x000d__x000a_    &lt;headingtext text=&quot;&amp;#1056;&amp;#1045;&amp;#1047;&amp;#1059;&amp;#1051;&amp;#1058;&amp;#1040;&amp;#1058;&amp;#1048; &amp;#1054;&amp;#1058; &amp;#1047;&amp;#1040;&amp;#1057;&amp;#1045;&amp;#1044;&amp;#1040;&amp;#1053;&amp;#1048;&amp;#1045;&amp;#1058;&amp;#1054; &amp;#1053;&amp;#1040; &amp;#1057;&amp;#1066;&amp;#1042;&amp;#1045;&amp;#1058;&amp;#1040;&quot;&gt;_x000d__x000a_      &lt;formattedtext&gt;_x000d__x000a_        &lt;xaml text=&quot;&amp;#1056;&amp;#1045;&amp;#1047;&amp;#1059;&amp;#1051;&amp;#1058;&amp;#1040;&amp;#1058;&amp;#1048; &amp;#1054;&amp;#1058; &amp;#1047;&amp;#1040;&amp;#1057;&amp;#1045;&amp;#1044;&amp;#1040;&amp;#1053;&amp;#1048;&amp;#1045;&amp;#1058;&amp;#1054; &amp;#1053;&amp;#1040; &amp;#1057;&amp;#1066;&amp;#1042;&amp;#1045;&amp;#1058;&amp;#1040;&quot;&gt;&amp;lt;FlowDocument xmlns=&quot;http://schemas.microsoft.com/winfx/2006/xaml/presentation&quot;&amp;gt;&amp;lt;Paragraph&amp;gt;&amp;#1056;&amp;#1045;&amp;#1047;&amp;#1059;&amp;#1051;&amp;#1058;&amp;#1040;&amp;#1058;&amp;#1048; &amp;#1054;&amp;#1058; &amp;#1047;&amp;#1040;&amp;#1057;&amp;#1045;&amp;#1044;&amp;#1040;&amp;#1053;&amp;#1048;&amp;#1045;&amp;#1058;&amp;#1054;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6853&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47&lt;/text&gt;_x000d__x000a_      &lt;text&gt;PR CO 7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amp;#1052;&amp;#1080;&amp;#1085;&amp;#1080;&amp;#1089;&amp;#1090;&amp;#1098;&amp;#1088; &amp;#1085;&amp;#1072; &amp;#1086;&amp;#1073;&amp;#1088;&amp;#1072;&amp;#1079;&amp;#1086;&amp;#1074;&amp;#1072;&amp;#1085;&amp;#1080;&amp;#1077;&amp;#1090;&amp;#1086;&quot; name=&quot;Stefania Giannini&quot; text=&quot;Stefania Giannini, &amp;#1052;&amp;#1080;&amp;#1085;&amp;#1080;&amp;#1089;&amp;#1090;&amp;#1098;&amp;#1088; &amp;#1085;&amp;#1072; &amp;#1086;&amp;#1073;&amp;#1088;&amp;#1072;&amp;#1079;&amp;#1086;&amp;#1074;&amp;#1072;&amp;#1085;&amp;#1080;&amp;#1077;&amp;#1090;&amp;#1086;&quot; genderKeyBds=&quot;gend_02&quot; /&gt;_x000d__x000a_      &lt;president title=&quot;&amp;#1044;&amp;#1098;&amp;#1088;&amp;#1078;&amp;#1072;&amp;#1074;&amp;#1077;&amp;#1085; &amp;#1089;&amp;#1077;&amp;#1082;&amp;#1088;&amp;#1077;&amp;#1090;&amp;#1072;&amp;#1088; &amp;#1087;&amp;#1086; &amp;#1074;&amp;#1098;&amp;#1087;&amp;#1088;&amp;#1086;&amp;#1089;&amp;#1080;&amp;#1090;&amp;#1077; &amp;#1085;&amp;#1072; &amp;#1090;&amp;#1088;&amp;#1091;&amp;#1076;&amp;#1072; &amp;#1080; &amp;#1089;&amp;#1086;&amp;#1094;&amp;#1080;&amp;#1072;&amp;#1083;&amp;#1085;&amp;#1072;&amp;#1090;&amp;#1072; &amp;#1087;&amp;#1086;&amp;#1083;&amp;#1080;&amp;#1090;&amp;#1080;&amp;#1082;&amp;#1072;&quot; name=&quot;Luigi Bobba&quot; text=&quot;Luigi Bobba, &amp;#1044;&amp;#1098;&amp;#1088;&amp;#1078;&amp;#1072;&amp;#1074;&amp;#1077;&amp;#1085; &amp;#1089;&amp;#1077;&amp;#1082;&amp;#1088;&amp;#1077;&amp;#1090;&amp;#1072;&amp;#1088; &amp;#1087;&amp;#1086; &amp;#1074;&amp;#1098;&amp;#1087;&amp;#1088;&amp;#1086;&amp;#1089;&amp;#1080;&amp;#1090;&amp;#1077; &amp;#1085;&amp;#1072; &amp;#1090;&amp;#1088;&amp;#1091;&amp;#1076;&amp;#1072; &amp;#1080; &amp;#1089;&amp;#1086;&amp;#1094;&amp;#1080;&amp;#1072;&amp;#1083;&amp;#1085;&amp;#1072;&amp;#1090;&amp;#1072; &amp;#1087;&amp;#1086;&amp;#1083;&amp;#1080;&amp;#1090;&amp;#1080;&amp;#1082;&amp;#1072;&quot; genderKeyBds=&quot;gend_01&quot; /&gt;_x000d__x000a_    &lt;/presidents&gt;_x000d__x000a_  &lt;/metadata&gt;_x000d__x000a_  &lt;metadata key=&quot;md_MeetingNumber&quot;&gt;_x000d__x000a_    &lt;text&gt;3358-&amp;#1086;&lt;/text&gt;_x000d__x000a_  &lt;/metadata&gt;_x000d__x000a_  &lt;metadata key=&quot;md_CouncilConfiguration&quot; translate=&quot;false&quot;&gt;_x000d__x000a_    &lt;basicdatatype&gt;_x000d__x000a_      &lt;configuration key=&quot;cc_10&quot; text=&quot;&amp;#1054;&amp;#1073;&amp;#1088;&amp;#1072;&amp;#1079;&amp;#1086;&amp;#1074;&amp;#1072;&amp;#1085;&amp;#1080;&amp;#1077;, &amp;#1084;&amp;#1083;&amp;#1072;&amp;#1076;&amp;#1077;&amp;#1078;, &amp;#1082;&amp;#1091;&amp;#1083;&amp;#1090;&amp;#1091;&amp;#1088;&amp;#1072; &amp;#1080; &amp;#1089;&amp;#1087;&amp;#1086;&amp;#1088;&amp;#1090;&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4&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2-12&quot;&gt;_x000d__x000a_        &lt;meetinglocation&gt;_x000d__x000a_          &lt;basicdatatype&gt;_x000d__x000a_            &lt;location key=&quot;loc_01&quot; text=&quot;&amp;#1041;&amp;#1088;&amp;#1102;&amp;#1082;&amp;#1089;&amp;#1077;&amp;#1083;&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F52AC1"/>
    <w:rsid w:val="00017B05"/>
    <w:rsid w:val="00020ED4"/>
    <w:rsid w:val="00032C50"/>
    <w:rsid w:val="00035E1C"/>
    <w:rsid w:val="00055D62"/>
    <w:rsid w:val="00082020"/>
    <w:rsid w:val="00083555"/>
    <w:rsid w:val="000959D6"/>
    <w:rsid w:val="000964AC"/>
    <w:rsid w:val="000A63B0"/>
    <w:rsid w:val="000E33AB"/>
    <w:rsid w:val="001209A9"/>
    <w:rsid w:val="00154FBB"/>
    <w:rsid w:val="001D19BD"/>
    <w:rsid w:val="001D3ED9"/>
    <w:rsid w:val="00202288"/>
    <w:rsid w:val="002A1705"/>
    <w:rsid w:val="002A398B"/>
    <w:rsid w:val="002B43CC"/>
    <w:rsid w:val="002D2371"/>
    <w:rsid w:val="002E17BB"/>
    <w:rsid w:val="003245C3"/>
    <w:rsid w:val="00331480"/>
    <w:rsid w:val="0038781A"/>
    <w:rsid w:val="003946C8"/>
    <w:rsid w:val="00397290"/>
    <w:rsid w:val="00424B68"/>
    <w:rsid w:val="00456112"/>
    <w:rsid w:val="004F4A19"/>
    <w:rsid w:val="00532220"/>
    <w:rsid w:val="005365D7"/>
    <w:rsid w:val="00546259"/>
    <w:rsid w:val="00595713"/>
    <w:rsid w:val="005B27AF"/>
    <w:rsid w:val="00623E1C"/>
    <w:rsid w:val="00640089"/>
    <w:rsid w:val="00644BCE"/>
    <w:rsid w:val="006A56D8"/>
    <w:rsid w:val="006A6315"/>
    <w:rsid w:val="006B21DA"/>
    <w:rsid w:val="006D2725"/>
    <w:rsid w:val="006F4E9F"/>
    <w:rsid w:val="00715B84"/>
    <w:rsid w:val="0071771F"/>
    <w:rsid w:val="00734D39"/>
    <w:rsid w:val="007437AA"/>
    <w:rsid w:val="0078682D"/>
    <w:rsid w:val="00834965"/>
    <w:rsid w:val="008765C2"/>
    <w:rsid w:val="00895676"/>
    <w:rsid w:val="008A0336"/>
    <w:rsid w:val="008B749A"/>
    <w:rsid w:val="008D33D8"/>
    <w:rsid w:val="00926EAF"/>
    <w:rsid w:val="00935D58"/>
    <w:rsid w:val="009822CA"/>
    <w:rsid w:val="009C46BF"/>
    <w:rsid w:val="009E2C58"/>
    <w:rsid w:val="00A33747"/>
    <w:rsid w:val="00A50A44"/>
    <w:rsid w:val="00A670A4"/>
    <w:rsid w:val="00A67613"/>
    <w:rsid w:val="00A73B77"/>
    <w:rsid w:val="00A76CDC"/>
    <w:rsid w:val="00A8177A"/>
    <w:rsid w:val="00A964AF"/>
    <w:rsid w:val="00AE2EF4"/>
    <w:rsid w:val="00B03546"/>
    <w:rsid w:val="00B34272"/>
    <w:rsid w:val="00B5577A"/>
    <w:rsid w:val="00B67E7A"/>
    <w:rsid w:val="00B91503"/>
    <w:rsid w:val="00BD54A3"/>
    <w:rsid w:val="00BE4FA3"/>
    <w:rsid w:val="00C058D1"/>
    <w:rsid w:val="00C57AAC"/>
    <w:rsid w:val="00C82CF1"/>
    <w:rsid w:val="00C83A32"/>
    <w:rsid w:val="00CB09AB"/>
    <w:rsid w:val="00CD2AEC"/>
    <w:rsid w:val="00D16638"/>
    <w:rsid w:val="00D45C7C"/>
    <w:rsid w:val="00D95D5A"/>
    <w:rsid w:val="00D967D3"/>
    <w:rsid w:val="00E22A2A"/>
    <w:rsid w:val="00E238B0"/>
    <w:rsid w:val="00E27AD2"/>
    <w:rsid w:val="00E737DC"/>
    <w:rsid w:val="00EE26DB"/>
    <w:rsid w:val="00EE6C4B"/>
    <w:rsid w:val="00EE7C1F"/>
    <w:rsid w:val="00F07C42"/>
    <w:rsid w:val="00F52AC1"/>
    <w:rsid w:val="00FC73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8"/>
      </w:numPr>
      <w:spacing w:before="360"/>
      <w:outlineLvl w:val="0"/>
    </w:pPr>
    <w:rPr>
      <w:b/>
      <w:bCs/>
      <w:smallCaps/>
      <w:szCs w:val="32"/>
    </w:rPr>
  </w:style>
  <w:style w:type="paragraph" w:styleId="Heading2">
    <w:name w:val="heading 2"/>
    <w:basedOn w:val="Normal"/>
    <w:next w:val="Text1"/>
    <w:qFormat/>
    <w:rsid w:val="00A76CDC"/>
    <w:pPr>
      <w:keepNext/>
      <w:numPr>
        <w:ilvl w:val="1"/>
        <w:numId w:val="8"/>
      </w:numPr>
      <w:outlineLvl w:val="1"/>
    </w:pPr>
    <w:rPr>
      <w:b/>
      <w:bCs/>
      <w:iCs/>
      <w:szCs w:val="28"/>
    </w:rPr>
  </w:style>
  <w:style w:type="paragraph" w:styleId="Heading3">
    <w:name w:val="heading 3"/>
    <w:basedOn w:val="Normal"/>
    <w:next w:val="Text1"/>
    <w:qFormat/>
    <w:rsid w:val="00A76CDC"/>
    <w:pPr>
      <w:keepNext/>
      <w:numPr>
        <w:ilvl w:val="2"/>
        <w:numId w:val="8"/>
      </w:numPr>
      <w:outlineLvl w:val="2"/>
    </w:pPr>
    <w:rPr>
      <w:bCs/>
      <w:i/>
      <w:szCs w:val="26"/>
    </w:rPr>
  </w:style>
  <w:style w:type="paragraph" w:styleId="Heading4">
    <w:name w:val="heading 4"/>
    <w:basedOn w:val="Normal"/>
    <w:next w:val="Text1"/>
    <w:qFormat/>
    <w:rsid w:val="00A76CDC"/>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52AC1"/>
    <w:pPr>
      <w:spacing w:before="0" w:after="440"/>
      <w:ind w:left="-1134" w:right="-1134"/>
    </w:pPr>
    <w:rPr>
      <w:sz w:val="2"/>
    </w:rPr>
  </w:style>
  <w:style w:type="character" w:customStyle="1" w:styleId="TechnicalBlockChar">
    <w:name w:val="Technical Block Char"/>
    <w:rsid w:val="00F52AC1"/>
    <w:rPr>
      <w:sz w:val="24"/>
      <w:szCs w:val="24"/>
      <w:lang w:eastAsia="bg-BG"/>
    </w:rPr>
  </w:style>
  <w:style w:type="character" w:customStyle="1" w:styleId="HeaderCouncilLargeChar">
    <w:name w:val="Header Council Large Char"/>
    <w:link w:val="HeaderCouncilLarge"/>
    <w:rsid w:val="00F52AC1"/>
    <w:rPr>
      <w:sz w:val="2"/>
      <w:szCs w:val="24"/>
    </w:rPr>
  </w:style>
  <w:style w:type="paragraph" w:customStyle="1" w:styleId="FooterText">
    <w:name w:val="Footer Text"/>
    <w:basedOn w:val="Normal"/>
    <w:rsid w:val="00F52AC1"/>
    <w:pPr>
      <w:spacing w:before="0" w:after="0"/>
    </w:pPr>
  </w:style>
  <w:style w:type="paragraph" w:customStyle="1" w:styleId="FooterAddressText">
    <w:name w:val="Footer Address Text"/>
    <w:basedOn w:val="FooterText"/>
    <w:qFormat/>
    <w:rsid w:val="00F52AC1"/>
    <w:pPr>
      <w:jc w:val="center"/>
    </w:pPr>
    <w:rPr>
      <w:spacing w:val="10"/>
      <w:sz w:val="16"/>
      <w:szCs w:val="16"/>
    </w:rPr>
  </w:style>
  <w:style w:type="character" w:styleId="Hyperlink">
    <w:name w:val="Hyperlink"/>
    <w:uiPriority w:val="99"/>
    <w:unhideWhenUsed/>
    <w:rsid w:val="00F52AC1"/>
    <w:rPr>
      <w:color w:val="0000FF"/>
      <w:u w:val="single"/>
    </w:rPr>
  </w:style>
  <w:style w:type="paragraph" w:customStyle="1" w:styleId="HeaderText">
    <w:name w:val="Header Text"/>
    <w:basedOn w:val="Normal"/>
    <w:rsid w:val="00F52AC1"/>
    <w:pPr>
      <w:spacing w:before="0" w:after="0"/>
    </w:pPr>
  </w:style>
  <w:style w:type="character" w:customStyle="1" w:styleId="ParticipantChar">
    <w:name w:val="Participant Char"/>
    <w:rsid w:val="00A670A4"/>
    <w:rPr>
      <w:sz w:val="18"/>
      <w:szCs w:val="24"/>
      <w:lang w:eastAsia="bg-BG"/>
    </w:rPr>
  </w:style>
  <w:style w:type="paragraph" w:customStyle="1" w:styleId="CharCharChar">
    <w:name w:val="Char Char Char"/>
    <w:basedOn w:val="Normal"/>
    <w:next w:val="Normal"/>
    <w:rsid w:val="00A670A4"/>
    <w:pPr>
      <w:spacing w:before="0" w:after="160" w:line="240" w:lineRule="exact"/>
    </w:pPr>
    <w:rPr>
      <w:rFonts w:ascii="Tahoma" w:hAnsi="Tahoma"/>
      <w:szCs w:val="20"/>
    </w:rPr>
  </w:style>
  <w:style w:type="paragraph" w:customStyle="1" w:styleId="entemet">
    <w:name w:val="entemet"/>
    <w:basedOn w:val="Normal"/>
    <w:rsid w:val="00834965"/>
    <w:pPr>
      <w:spacing w:before="100" w:beforeAutospacing="1" w:after="100" w:afterAutospacing="1"/>
    </w:pPr>
    <w:rPr>
      <w:rFonts w:eastAsia="Calibri"/>
    </w:rPr>
  </w:style>
  <w:style w:type="character" w:customStyle="1" w:styleId="at241">
    <w:name w:val="a__t241"/>
    <w:rsid w:val="00834965"/>
    <w:rPr>
      <w:color w:val="000000"/>
    </w:rPr>
  </w:style>
  <w:style w:type="character" w:customStyle="1" w:styleId="at11">
    <w:name w:val="a__t11"/>
    <w:rsid w:val="00834965"/>
  </w:style>
  <w:style w:type="paragraph" w:styleId="EndnoteText">
    <w:name w:val="endnote text"/>
    <w:basedOn w:val="Normal"/>
    <w:link w:val="EndnoteTextChar"/>
    <w:semiHidden/>
    <w:unhideWhenUsed/>
    <w:rsid w:val="00202288"/>
    <w:pPr>
      <w:widowControl w:val="0"/>
      <w:snapToGrid w:val="0"/>
      <w:spacing w:before="0" w:after="0"/>
    </w:pPr>
    <w:rPr>
      <w:szCs w:val="20"/>
    </w:rPr>
  </w:style>
  <w:style w:type="character" w:customStyle="1" w:styleId="EndnoteTextChar">
    <w:name w:val="Endnote Text Char"/>
    <w:link w:val="EndnoteText"/>
    <w:semiHidden/>
    <w:rsid w:val="00202288"/>
    <w:rPr>
      <w:sz w:val="24"/>
      <w:lang w:val="bg-BG" w:eastAsia="bg-BG"/>
    </w:rPr>
  </w:style>
  <w:style w:type="paragraph" w:customStyle="1" w:styleId="EntEmet0">
    <w:name w:val="EntEmet"/>
    <w:basedOn w:val="Normal"/>
    <w:rsid w:val="00A964AF"/>
    <w:pPr>
      <w:widowControl w:val="0"/>
      <w:tabs>
        <w:tab w:val="left" w:pos="284"/>
        <w:tab w:val="left" w:pos="567"/>
        <w:tab w:val="left" w:pos="851"/>
        <w:tab w:val="left" w:pos="1134"/>
        <w:tab w:val="left" w:pos="1418"/>
      </w:tabs>
      <w:spacing w:before="40" w:after="0"/>
    </w:pPr>
    <w:rPr>
      <w:szCs w:val="20"/>
    </w:rPr>
  </w:style>
  <w:style w:type="paragraph" w:customStyle="1" w:styleId="Default">
    <w:name w:val="Default"/>
    <w:rsid w:val="00A964AF"/>
    <w:pPr>
      <w:autoSpaceDE w:val="0"/>
      <w:autoSpaceDN w:val="0"/>
      <w:adjustRightInd w:val="0"/>
    </w:pPr>
    <w:rPr>
      <w:rFonts w:ascii="Arial" w:eastAsia="Calibri" w:hAnsi="Arial" w:cs="Arial"/>
      <w:color w:val="000000"/>
      <w:sz w:val="24"/>
      <w:szCs w:val="24"/>
    </w:rPr>
  </w:style>
  <w:style w:type="character" w:customStyle="1" w:styleId="FootnoteTextChar1">
    <w:name w:val="Footnote Text Char1"/>
    <w:aliases w:val="Footnote Text Char Char,Schriftart: 9 pt Char,Schriftart: 10 pt Char,Schriftart: 8 pt Char,WB-Fußnotentext Char"/>
    <w:rsid w:val="00032C50"/>
    <w:rPr>
      <w:sz w:val="24"/>
      <w:lang w:eastAsia="bg-BG"/>
    </w:rPr>
  </w:style>
  <w:style w:type="character" w:customStyle="1" w:styleId="FootnoteTextChar">
    <w:name w:val="Footnote Text Char"/>
    <w:uiPriority w:val="99"/>
    <w:semiHidden/>
    <w:rsid w:val="00640089"/>
    <w:rPr>
      <w:rFonts w:ascii="Times New Roman" w:hAnsi="Times New Roman"/>
      <w:lang w:val="bg-BG" w:eastAsia="bg-BG"/>
    </w:rPr>
  </w:style>
  <w:style w:type="paragraph" w:styleId="TOC5">
    <w:name w:val="toc 5"/>
    <w:basedOn w:val="Normal"/>
    <w:next w:val="Normal"/>
    <w:uiPriority w:val="39"/>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6"/>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5"/>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
      </w:numPr>
    </w:pPr>
  </w:style>
  <w:style w:type="paragraph" w:customStyle="1" w:styleId="Tiret1">
    <w:name w:val="Tiret 1"/>
    <w:basedOn w:val="Normal"/>
    <w:rsid w:val="00A76CDC"/>
    <w:pPr>
      <w:numPr>
        <w:numId w:val="3"/>
      </w:numPr>
      <w:outlineLvl w:val="0"/>
    </w:pPr>
  </w:style>
  <w:style w:type="paragraph" w:customStyle="1" w:styleId="Tiret2">
    <w:name w:val="Tiret 2"/>
    <w:basedOn w:val="Normal"/>
    <w:rsid w:val="00A76CDC"/>
    <w:pPr>
      <w:numPr>
        <w:numId w:val="4"/>
      </w:numPr>
      <w:outlineLvl w:val="1"/>
    </w:pPr>
  </w:style>
  <w:style w:type="paragraph" w:customStyle="1" w:styleId="Tiret3">
    <w:name w:val="Tiret 3"/>
    <w:basedOn w:val="Normal"/>
    <w:rsid w:val="00A76CDC"/>
    <w:pPr>
      <w:numPr>
        <w:numId w:val="5"/>
      </w:numPr>
      <w:outlineLvl w:val="2"/>
    </w:pPr>
  </w:style>
  <w:style w:type="paragraph" w:customStyle="1" w:styleId="Tiret4">
    <w:name w:val="Tiret 4"/>
    <w:basedOn w:val="Normal"/>
    <w:rsid w:val="00A76CDC"/>
    <w:pPr>
      <w:numPr>
        <w:numId w:val="6"/>
      </w:numPr>
      <w:outlineLvl w:val="3"/>
    </w:pPr>
  </w:style>
  <w:style w:type="paragraph" w:customStyle="1" w:styleId="NumPar1">
    <w:name w:val="NumPar 1"/>
    <w:basedOn w:val="Normal"/>
    <w:next w:val="Text1"/>
    <w:rsid w:val="00A76CDC"/>
    <w:pPr>
      <w:numPr>
        <w:numId w:val="7"/>
      </w:numPr>
      <w:outlineLvl w:val="0"/>
    </w:pPr>
  </w:style>
  <w:style w:type="paragraph" w:customStyle="1" w:styleId="NumPar2">
    <w:name w:val="NumPar 2"/>
    <w:basedOn w:val="Normal"/>
    <w:next w:val="Text1"/>
    <w:rsid w:val="00A76CDC"/>
    <w:pPr>
      <w:numPr>
        <w:ilvl w:val="1"/>
        <w:numId w:val="7"/>
      </w:numPr>
      <w:outlineLvl w:val="1"/>
    </w:pPr>
  </w:style>
  <w:style w:type="paragraph" w:customStyle="1" w:styleId="NumPar3">
    <w:name w:val="NumPar 3"/>
    <w:basedOn w:val="Normal"/>
    <w:next w:val="Text1"/>
    <w:rsid w:val="00A76CDC"/>
    <w:pPr>
      <w:numPr>
        <w:ilvl w:val="2"/>
        <w:numId w:val="7"/>
      </w:numPr>
      <w:outlineLvl w:val="2"/>
    </w:pPr>
  </w:style>
  <w:style w:type="paragraph" w:customStyle="1" w:styleId="NumPar4">
    <w:name w:val="NumPar 4"/>
    <w:basedOn w:val="Normal"/>
    <w:next w:val="Text1"/>
    <w:rsid w:val="00A76CDC"/>
    <w:pPr>
      <w:numPr>
        <w:ilvl w:val="3"/>
        <w:numId w:val="7"/>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9"/>
      </w:numPr>
    </w:pPr>
  </w:style>
  <w:style w:type="paragraph" w:customStyle="1" w:styleId="Point1number">
    <w:name w:val="Point 1 (number)"/>
    <w:basedOn w:val="Normal"/>
    <w:rsid w:val="00A76CDC"/>
    <w:pPr>
      <w:numPr>
        <w:ilvl w:val="2"/>
        <w:numId w:val="9"/>
      </w:numPr>
      <w:outlineLvl w:val="0"/>
    </w:pPr>
  </w:style>
  <w:style w:type="paragraph" w:customStyle="1" w:styleId="Point2number">
    <w:name w:val="Point 2 (number)"/>
    <w:basedOn w:val="Normal"/>
    <w:rsid w:val="00A76CDC"/>
    <w:pPr>
      <w:numPr>
        <w:ilvl w:val="4"/>
        <w:numId w:val="9"/>
      </w:numPr>
      <w:outlineLvl w:val="1"/>
    </w:pPr>
  </w:style>
  <w:style w:type="paragraph" w:customStyle="1" w:styleId="Point3number">
    <w:name w:val="Point 3 (number)"/>
    <w:basedOn w:val="Normal"/>
    <w:rsid w:val="00A76CDC"/>
    <w:pPr>
      <w:numPr>
        <w:ilvl w:val="6"/>
        <w:numId w:val="9"/>
      </w:numPr>
      <w:outlineLvl w:val="2"/>
    </w:pPr>
  </w:style>
  <w:style w:type="paragraph" w:customStyle="1" w:styleId="Point0letter">
    <w:name w:val="Point 0 (letter)"/>
    <w:basedOn w:val="Normal"/>
    <w:rsid w:val="00A76CDC"/>
    <w:pPr>
      <w:numPr>
        <w:ilvl w:val="1"/>
        <w:numId w:val="9"/>
      </w:numPr>
    </w:pPr>
  </w:style>
  <w:style w:type="paragraph" w:customStyle="1" w:styleId="Point1letter">
    <w:name w:val="Point 1 (letter)"/>
    <w:basedOn w:val="Normal"/>
    <w:rsid w:val="00A76CDC"/>
    <w:pPr>
      <w:numPr>
        <w:ilvl w:val="3"/>
        <w:numId w:val="9"/>
      </w:numPr>
      <w:outlineLvl w:val="0"/>
    </w:pPr>
  </w:style>
  <w:style w:type="paragraph" w:customStyle="1" w:styleId="Point2letter">
    <w:name w:val="Point 2 (letter)"/>
    <w:basedOn w:val="Normal"/>
    <w:rsid w:val="00A76CDC"/>
    <w:pPr>
      <w:numPr>
        <w:ilvl w:val="5"/>
        <w:numId w:val="9"/>
      </w:numPr>
      <w:outlineLvl w:val="1"/>
    </w:pPr>
  </w:style>
  <w:style w:type="paragraph" w:customStyle="1" w:styleId="Point3letter">
    <w:name w:val="Point 3 (letter)"/>
    <w:basedOn w:val="Normal"/>
    <w:rsid w:val="00A76CDC"/>
    <w:pPr>
      <w:numPr>
        <w:ilvl w:val="7"/>
        <w:numId w:val="9"/>
      </w:numPr>
      <w:outlineLvl w:val="2"/>
    </w:pPr>
  </w:style>
  <w:style w:type="paragraph" w:customStyle="1" w:styleId="Point4letter">
    <w:name w:val="Point 4 (letter)"/>
    <w:basedOn w:val="Normal"/>
    <w:rsid w:val="00A76CDC"/>
    <w:pPr>
      <w:numPr>
        <w:ilvl w:val="8"/>
        <w:numId w:val="9"/>
      </w:numPr>
      <w:outlineLvl w:val="3"/>
    </w:pPr>
  </w:style>
  <w:style w:type="paragraph" w:customStyle="1" w:styleId="Bullet0">
    <w:name w:val="Bullet 0"/>
    <w:basedOn w:val="Normal"/>
    <w:rsid w:val="00A76CDC"/>
    <w:pPr>
      <w:numPr>
        <w:numId w:val="10"/>
      </w:numPr>
    </w:pPr>
  </w:style>
  <w:style w:type="paragraph" w:customStyle="1" w:styleId="Bullet1">
    <w:name w:val="Bullet 1"/>
    <w:basedOn w:val="Normal"/>
    <w:rsid w:val="00A76CDC"/>
    <w:pPr>
      <w:numPr>
        <w:numId w:val="11"/>
      </w:numPr>
      <w:outlineLvl w:val="0"/>
    </w:pPr>
  </w:style>
  <w:style w:type="paragraph" w:customStyle="1" w:styleId="Bullet2">
    <w:name w:val="Bullet 2"/>
    <w:basedOn w:val="Normal"/>
    <w:rsid w:val="00A76CDC"/>
    <w:pPr>
      <w:numPr>
        <w:numId w:val="12"/>
      </w:numPr>
      <w:outlineLvl w:val="1"/>
    </w:pPr>
  </w:style>
  <w:style w:type="paragraph" w:customStyle="1" w:styleId="Bullet3">
    <w:name w:val="Bullet 3"/>
    <w:basedOn w:val="Normal"/>
    <w:rsid w:val="00A76CDC"/>
    <w:pPr>
      <w:numPr>
        <w:numId w:val="13"/>
      </w:numPr>
      <w:outlineLvl w:val="2"/>
    </w:pPr>
  </w:style>
  <w:style w:type="paragraph" w:customStyle="1" w:styleId="Bullet4">
    <w:name w:val="Bullet 4"/>
    <w:basedOn w:val="Normal"/>
    <w:rsid w:val="00A76CDC"/>
    <w:pPr>
      <w:numPr>
        <w:numId w:val="14"/>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7437AA"/>
    <w:rPr>
      <w:lang w:eastAsia="bg-BG"/>
    </w:rPr>
  </w:style>
  <w:style w:type="paragraph" w:styleId="CommentSubject">
    <w:name w:val="annotation subject"/>
    <w:basedOn w:val="CommentText"/>
    <w:next w:val="CommentText"/>
    <w:link w:val="CommentSubjectChar"/>
    <w:uiPriority w:val="99"/>
    <w:semiHidden/>
    <w:unhideWhenUsed/>
    <w:rsid w:val="007437AA"/>
    <w:rPr>
      <w:b/>
      <w:bCs/>
    </w:rPr>
  </w:style>
  <w:style w:type="character" w:customStyle="1" w:styleId="CommentSubjectChar">
    <w:name w:val="Comment Subject Char"/>
    <w:link w:val="CommentSubject"/>
    <w:uiPriority w:val="99"/>
    <w:semiHidden/>
    <w:rsid w:val="007437AA"/>
    <w:rPr>
      <w:b/>
      <w:bCs/>
      <w:lang w:eastAsia="bg-BG"/>
    </w:rPr>
  </w:style>
  <w:style w:type="paragraph" w:styleId="BalloonText">
    <w:name w:val="Balloon Text"/>
    <w:basedOn w:val="Normal"/>
    <w:link w:val="BalloonTextChar"/>
    <w:uiPriority w:val="99"/>
    <w:semiHidden/>
    <w:unhideWhenUsed/>
    <w:rsid w:val="006D2725"/>
    <w:pPr>
      <w:spacing w:before="0" w:after="0"/>
    </w:pPr>
    <w:rPr>
      <w:rFonts w:ascii="Tahoma" w:hAnsi="Tahoma" w:cs="Tahoma"/>
      <w:sz w:val="16"/>
      <w:szCs w:val="16"/>
    </w:rPr>
  </w:style>
  <w:style w:type="character" w:customStyle="1" w:styleId="BalloonTextChar">
    <w:name w:val="Balloon Text Char"/>
    <w:link w:val="BalloonText"/>
    <w:uiPriority w:val="99"/>
    <w:semiHidden/>
    <w:rsid w:val="006D2725"/>
    <w:rPr>
      <w:rFonts w:ascii="Tahoma" w:hAnsi="Tahoma" w:cs="Tahoma"/>
      <w:sz w:val="16"/>
      <w:szCs w:val="16"/>
      <w:lang w:eastAsia="bg-BG"/>
    </w:rPr>
  </w:style>
  <w:style w:type="character" w:styleId="FollowedHyperlink">
    <w:name w:val="FollowedHyperlink"/>
    <w:uiPriority w:val="99"/>
    <w:semiHidden/>
    <w:unhideWhenUsed/>
    <w:rsid w:val="006A631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www.consilium.europa.eu/uedocs/cms_Data/docs/pressdata/en/ecofin/146122.pdf"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0.xml"/><Relationship Id="rId42" Type="http://schemas.openxmlformats.org/officeDocument/2006/relationships/hyperlink" Target="http://register.consilium.europa.eu/pdf/en/14/st14/st14545-ad02.en14.pdf" TargetMode="External"/><Relationship Id="rId47" Type="http://schemas.openxmlformats.org/officeDocument/2006/relationships/hyperlink" Target="http://register.consilium.europa.eu/pdf/en/14/st15/st15354.en14.pdf" TargetMode="External"/><Relationship Id="rId50"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hyperlink" Target="http://www.consilium.europa.eu/register/en/content/out?typ=SET&amp;i=SMPL&amp;ROWSPP=25&amp;RESULTSET=1&amp;NRROWS=500&amp;ORDERBY=DOC_DATE+DESC&amp;DOC_SUBJECT=&amp;DOC_LANCD=EN&amp;DOC_ID=16707/14&amp;DOC_TITLE=&amp;CONTENTS=&amp;MEET_DATE=&amp;single_comparator=&amp;single_date=&amp;from_date=&amp;to_date=" TargetMode="External"/><Relationship Id="rId46" Type="http://schemas.openxmlformats.org/officeDocument/2006/relationships/hyperlink" Target="http://www.consilium.europa.eu/uedocs/cms_Data/docs/pressdata/en/ecofin/146129.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register.consilium.europa.eu/pdf/en/14/st14/st14402.en14.pdf" TargetMode="External"/><Relationship Id="rId41" Type="http://schemas.openxmlformats.org/officeDocument/2006/relationships/hyperlink" Target="http://register.consilium.europa.eu/pdf/en/14/st14/st14545-ad01.en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register.consilium.europa.eu/pdf/en/14/st16/st16189.en14.pdf" TargetMode="External"/><Relationship Id="rId37" Type="http://schemas.openxmlformats.org/officeDocument/2006/relationships/hyperlink" Target="http://register.consilium.europa.eu/pdf/en/14/st16/st16707-re01.en14.pdf" TargetMode="External"/><Relationship Id="rId40" Type="http://schemas.openxmlformats.org/officeDocument/2006/relationships/hyperlink" Target="http://register.consilium.europa.eu/pdf/en/14/st14/st14545.en14.pdf" TargetMode="External"/><Relationship Id="rId45" Type="http://schemas.openxmlformats.org/officeDocument/2006/relationships/hyperlink" Target="http://register.consilium.europa.eu/pdf/en/14/st14/st14545-ad05.en14.pdf"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49"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register.consilium.europa.eu/pdf/en/14/st15/st15613.en14.pdf" TargetMode="External"/><Relationship Id="rId44" Type="http://schemas.openxmlformats.org/officeDocument/2006/relationships/hyperlink" Target="http://register.consilium.europa.eu/pdf/en/14/st14/st14545-ad04.en14.pdf"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yperlink" Target="https://heinnovate.eu/intranet/main/index.php" TargetMode="External"/><Relationship Id="rId35" Type="http://schemas.openxmlformats.org/officeDocument/2006/relationships/header" Target="header12.xml"/><Relationship Id="rId43" Type="http://schemas.openxmlformats.org/officeDocument/2006/relationships/hyperlink" Target="http://register.consilium.europa.eu/pdf/en/14/st14/st14545-ad03.en14.pdf" TargetMode="External"/><Relationship Id="rId48"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footer" Target="footer13.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65166-C255-417E-8ABD-FC755E10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15</Pages>
  <Words>3791</Words>
  <Characters>23051</Characters>
  <Application>Microsoft Office Word</Application>
  <DocSecurity>0</DocSecurity>
  <Lines>480</Lines>
  <Paragraphs>263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26579</CharactersWithSpaces>
  <SharedDoc>false</SharedDoc>
  <HLinks>
    <vt:vector size="102" baseType="variant">
      <vt:variant>
        <vt:i4>3997738</vt:i4>
      </vt:variant>
      <vt:variant>
        <vt:i4>90</vt:i4>
      </vt:variant>
      <vt:variant>
        <vt:i4>0</vt:i4>
      </vt:variant>
      <vt:variant>
        <vt:i4>5</vt:i4>
      </vt:variant>
      <vt:variant>
        <vt:lpwstr>http://register.consilium.europa.eu/pdf/en/14/st15/st15354.en14.pdf</vt:lpwstr>
      </vt:variant>
      <vt:variant>
        <vt:lpwstr/>
      </vt:variant>
      <vt:variant>
        <vt:i4>393272</vt:i4>
      </vt:variant>
      <vt:variant>
        <vt:i4>87</vt:i4>
      </vt:variant>
      <vt:variant>
        <vt:i4>0</vt:i4>
      </vt:variant>
      <vt:variant>
        <vt:i4>5</vt:i4>
      </vt:variant>
      <vt:variant>
        <vt:lpwstr>http://www.consilium.europa.eu/uedocs/cms_Data/docs/pressdata/en/ecofin/146129.pdf</vt:lpwstr>
      </vt:variant>
      <vt:variant>
        <vt:lpwstr/>
      </vt:variant>
      <vt:variant>
        <vt:i4>1441868</vt:i4>
      </vt:variant>
      <vt:variant>
        <vt:i4>84</vt:i4>
      </vt:variant>
      <vt:variant>
        <vt:i4>0</vt:i4>
      </vt:variant>
      <vt:variant>
        <vt:i4>5</vt:i4>
      </vt:variant>
      <vt:variant>
        <vt:lpwstr>http://register.consilium.europa.eu/pdf/en/14/st14/st14545-ad05.en14.pdf</vt:lpwstr>
      </vt:variant>
      <vt:variant>
        <vt:lpwstr/>
      </vt:variant>
      <vt:variant>
        <vt:i4>1441869</vt:i4>
      </vt:variant>
      <vt:variant>
        <vt:i4>81</vt:i4>
      </vt:variant>
      <vt:variant>
        <vt:i4>0</vt:i4>
      </vt:variant>
      <vt:variant>
        <vt:i4>5</vt:i4>
      </vt:variant>
      <vt:variant>
        <vt:lpwstr>http://register.consilium.europa.eu/pdf/en/14/st14/st14545-ad04.en14.pdf</vt:lpwstr>
      </vt:variant>
      <vt:variant>
        <vt:lpwstr/>
      </vt:variant>
      <vt:variant>
        <vt:i4>1441866</vt:i4>
      </vt:variant>
      <vt:variant>
        <vt:i4>78</vt:i4>
      </vt:variant>
      <vt:variant>
        <vt:i4>0</vt:i4>
      </vt:variant>
      <vt:variant>
        <vt:i4>5</vt:i4>
      </vt:variant>
      <vt:variant>
        <vt:lpwstr>http://register.consilium.europa.eu/pdf/en/14/st14/st14545-ad03.en14.pdf</vt:lpwstr>
      </vt:variant>
      <vt:variant>
        <vt:lpwstr/>
      </vt:variant>
      <vt:variant>
        <vt:i4>1441867</vt:i4>
      </vt:variant>
      <vt:variant>
        <vt:i4>75</vt:i4>
      </vt:variant>
      <vt:variant>
        <vt:i4>0</vt:i4>
      </vt:variant>
      <vt:variant>
        <vt:i4>5</vt:i4>
      </vt:variant>
      <vt:variant>
        <vt:lpwstr>http://register.consilium.europa.eu/pdf/en/14/st14/st14545-ad02.en14.pdf</vt:lpwstr>
      </vt:variant>
      <vt:variant>
        <vt:lpwstr/>
      </vt:variant>
      <vt:variant>
        <vt:i4>1441864</vt:i4>
      </vt:variant>
      <vt:variant>
        <vt:i4>72</vt:i4>
      </vt:variant>
      <vt:variant>
        <vt:i4>0</vt:i4>
      </vt:variant>
      <vt:variant>
        <vt:i4>5</vt:i4>
      </vt:variant>
      <vt:variant>
        <vt:lpwstr>http://register.consilium.europa.eu/pdf/en/14/st14/st14545-ad01.en14.pdf</vt:lpwstr>
      </vt:variant>
      <vt:variant>
        <vt:lpwstr/>
      </vt:variant>
      <vt:variant>
        <vt:i4>3866666</vt:i4>
      </vt:variant>
      <vt:variant>
        <vt:i4>69</vt:i4>
      </vt:variant>
      <vt:variant>
        <vt:i4>0</vt:i4>
      </vt:variant>
      <vt:variant>
        <vt:i4>5</vt:i4>
      </vt:variant>
      <vt:variant>
        <vt:lpwstr>http://register.consilium.europa.eu/pdf/en/14/st14/st14545.en14.pdf</vt:lpwstr>
      </vt:variant>
      <vt:variant>
        <vt:lpwstr/>
      </vt:variant>
      <vt:variant>
        <vt:i4>852024</vt:i4>
      </vt:variant>
      <vt:variant>
        <vt:i4>66</vt:i4>
      </vt:variant>
      <vt:variant>
        <vt:i4>0</vt:i4>
      </vt:variant>
      <vt:variant>
        <vt:i4>5</vt:i4>
      </vt:variant>
      <vt:variant>
        <vt:lpwstr>http://www.consilium.europa.eu/uedocs/cms_Data/docs/pressdata/en/ecofin/146122.pdf</vt:lpwstr>
      </vt:variant>
      <vt:variant>
        <vt:lpwstr/>
      </vt:variant>
      <vt:variant>
        <vt:i4>720977</vt:i4>
      </vt:variant>
      <vt:variant>
        <vt:i4>63</vt:i4>
      </vt:variant>
      <vt:variant>
        <vt:i4>0</vt:i4>
      </vt:variant>
      <vt:variant>
        <vt:i4>5</vt:i4>
      </vt:variant>
      <vt:variant>
        <vt:lpwstr>http://www.consilium.europa.eu/register/en/content/out?typ=SET&amp;i=SMPL&amp;ROWSPP=25&amp;RESULTSET=1&amp;NRROWS=500&amp;ORDERBY=DOC_DATE+DESC&amp;DOC_SUBJECT=&amp;DOC_LANCD=EN&amp;DOC_ID=16707/14&amp;DOC_TITLE=&amp;CONTENTS=&amp;MEET_DATE=&amp;single_comparator=&amp;single_date=&amp;from_date=&amp;to_date=</vt:lpwstr>
      </vt:variant>
      <vt:variant>
        <vt:lpwstr/>
      </vt:variant>
      <vt:variant>
        <vt:i4>458831</vt:i4>
      </vt:variant>
      <vt:variant>
        <vt:i4>60</vt:i4>
      </vt:variant>
      <vt:variant>
        <vt:i4>0</vt:i4>
      </vt:variant>
      <vt:variant>
        <vt:i4>5</vt:i4>
      </vt:variant>
      <vt:variant>
        <vt:lpwstr>http://register.consilium.europa.eu/pdf/en/14/st16/st16707-re01.en14.pdf</vt:lpwstr>
      </vt:variant>
      <vt:variant>
        <vt:lpwstr/>
      </vt:variant>
      <vt:variant>
        <vt:i4>3211300</vt:i4>
      </vt:variant>
      <vt:variant>
        <vt:i4>57</vt:i4>
      </vt:variant>
      <vt:variant>
        <vt:i4>0</vt:i4>
      </vt:variant>
      <vt:variant>
        <vt:i4>5</vt:i4>
      </vt:variant>
      <vt:variant>
        <vt:lpwstr>http://register.consilium.europa.eu/pdf/en/14/st16/st16189.en14.pdf</vt:lpwstr>
      </vt:variant>
      <vt:variant>
        <vt:lpwstr/>
      </vt:variant>
      <vt:variant>
        <vt:i4>4128814</vt:i4>
      </vt:variant>
      <vt:variant>
        <vt:i4>54</vt:i4>
      </vt:variant>
      <vt:variant>
        <vt:i4>0</vt:i4>
      </vt:variant>
      <vt:variant>
        <vt:i4>5</vt:i4>
      </vt:variant>
      <vt:variant>
        <vt:lpwstr>http://register.consilium.europa.eu/pdf/en/14/st15/st15613.en14.pdf</vt:lpwstr>
      </vt:variant>
      <vt:variant>
        <vt:lpwstr/>
      </vt:variant>
      <vt:variant>
        <vt:i4>5963850</vt:i4>
      </vt:variant>
      <vt:variant>
        <vt:i4>51</vt:i4>
      </vt:variant>
      <vt:variant>
        <vt:i4>0</vt:i4>
      </vt:variant>
      <vt:variant>
        <vt:i4>5</vt:i4>
      </vt:variant>
      <vt:variant>
        <vt:lpwstr>https://heinnovate.eu/intranet/main/index.php</vt:lpwstr>
      </vt:variant>
      <vt:variant>
        <vt:lpwstr/>
      </vt:variant>
      <vt:variant>
        <vt:i4>3997742</vt:i4>
      </vt:variant>
      <vt:variant>
        <vt:i4>48</vt:i4>
      </vt:variant>
      <vt:variant>
        <vt:i4>0</vt:i4>
      </vt:variant>
      <vt:variant>
        <vt:i4>5</vt:i4>
      </vt:variant>
      <vt:variant>
        <vt:lpwstr>http://register.consilium.europa.eu/pdf/en/14/st14/st14402.en14.pdf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GUSHEVA Rumyana</cp:lastModifiedBy>
  <cp:revision>4</cp:revision>
  <cp:lastPrinted>2014-12-12T18:28:00Z</cp:lastPrinted>
  <dcterms:created xsi:type="dcterms:W3CDTF">2015-02-16T11:57:00Z</dcterms:created>
  <dcterms:modified xsi:type="dcterms:W3CDTF">2015-02-16T11:58:00Z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