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C" w:rsidRPr="00854837" w:rsidRDefault="005E0FC6" w:rsidP="0085483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abe270e-94e7-4bb6-9db3-6fb28e70c997" style="width:568.7pt;height:505.15pt">
            <v:imagedata r:id="rId9" o:title=""/>
          </v:shape>
        </w:pict>
      </w:r>
      <w:bookmarkEnd w:id="0"/>
    </w:p>
    <w:p w:rsidR="0006542F" w:rsidRPr="00111BF8" w:rsidRDefault="0006542F" w:rsidP="00865790">
      <w:pPr>
        <w:pStyle w:val="PointManual"/>
        <w:spacing w:before="0"/>
      </w:pPr>
    </w:p>
    <w:p w:rsidR="00F7105E" w:rsidRPr="00111BF8" w:rsidRDefault="00865790" w:rsidP="00865790">
      <w:pPr>
        <w:pStyle w:val="PointManual"/>
        <w:spacing w:before="0"/>
      </w:pPr>
      <w:r w:rsidRPr="00111BF8">
        <w:t>1.</w:t>
      </w:r>
      <w:r w:rsidRPr="00111BF8">
        <w:tab/>
        <w:t>Приемане на предварителния дневен ред</w:t>
      </w:r>
    </w:p>
    <w:p w:rsidR="00865790" w:rsidRPr="00111BF8" w:rsidRDefault="00865790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0C7D22" w:rsidRPr="00111BF8" w:rsidRDefault="000C7D22" w:rsidP="000C7D22">
      <w:pPr>
        <w:rPr>
          <w:b/>
          <w:bCs/>
          <w:color w:val="000000"/>
          <w:u w:val="single"/>
        </w:rPr>
      </w:pPr>
    </w:p>
    <w:p w:rsidR="000C7D22" w:rsidRPr="00111BF8" w:rsidRDefault="000C7D22" w:rsidP="000C7D22">
      <w:pPr>
        <w:rPr>
          <w:b/>
          <w:bCs/>
          <w:color w:val="000000"/>
          <w:szCs w:val="20"/>
          <w:u w:val="single"/>
        </w:rPr>
      </w:pPr>
      <w:r w:rsidRPr="00111BF8">
        <w:rPr>
          <w:b/>
          <w:color w:val="000000"/>
          <w:u w:val="single"/>
        </w:rPr>
        <w:t>Незаконодателни дейности</w:t>
      </w:r>
    </w:p>
    <w:p w:rsidR="000C7D22" w:rsidRPr="00111BF8" w:rsidRDefault="000C7D22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0C7D22" w:rsidRPr="00111BF8" w:rsidRDefault="000C7D22" w:rsidP="000C7D22">
      <w:pPr>
        <w:pStyle w:val="PointManual"/>
        <w:spacing w:before="0"/>
      </w:pPr>
      <w:r w:rsidRPr="00111BF8">
        <w:t>2.</w:t>
      </w:r>
      <w:r w:rsidRPr="00111BF8">
        <w:tab/>
        <w:t>(евентуално) Одобряване на списъка на точки „А“</w:t>
      </w:r>
    </w:p>
    <w:p w:rsidR="000C7D22" w:rsidRPr="00111BF8" w:rsidRDefault="000C7D22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865790" w:rsidRPr="00111BF8" w:rsidRDefault="00865790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865790" w:rsidRPr="00111BF8" w:rsidRDefault="00865790" w:rsidP="00865790">
      <w:pPr>
        <w:rPr>
          <w:b/>
          <w:bCs/>
          <w:color w:val="000000"/>
          <w:u w:val="single"/>
        </w:rPr>
      </w:pPr>
      <w:r w:rsidRPr="00111BF8">
        <w:rPr>
          <w:b/>
          <w:color w:val="000000"/>
          <w:u w:val="single"/>
        </w:rPr>
        <w:t>Обсъждания на законодателни актове</w:t>
      </w:r>
    </w:p>
    <w:p w:rsidR="00865790" w:rsidRPr="00111BF8" w:rsidRDefault="00865790" w:rsidP="00865790">
      <w:pPr>
        <w:rPr>
          <w:b/>
        </w:rPr>
      </w:pPr>
      <w:r w:rsidRPr="00111BF8">
        <w:rPr>
          <w:b/>
        </w:rPr>
        <w:t>(открито обсъждане съгласно член 16, параграф 8 от Договора за Европейския съюз)</w:t>
      </w:r>
    </w:p>
    <w:p w:rsidR="00865790" w:rsidRPr="00111BF8" w:rsidRDefault="00865790" w:rsidP="0086579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65790" w:rsidRPr="00111BF8" w:rsidRDefault="00865790" w:rsidP="0086579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65790" w:rsidRPr="00111BF8" w:rsidRDefault="000C7D22" w:rsidP="00865790">
      <w:pPr>
        <w:pStyle w:val="PointManual"/>
        <w:spacing w:before="0"/>
      </w:pPr>
      <w:r w:rsidRPr="00111BF8">
        <w:t>3.</w:t>
      </w:r>
      <w:r w:rsidRPr="00111BF8">
        <w:tab/>
        <w:t>(евентуално) Одобряване на списъка на точки „А“</w:t>
      </w:r>
    </w:p>
    <w:p w:rsidR="00865790" w:rsidRPr="00111BF8" w:rsidRDefault="00865790" w:rsidP="0086579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65790" w:rsidRPr="00111BF8" w:rsidRDefault="00865790" w:rsidP="004A0D9A">
      <w:pPr>
        <w:tabs>
          <w:tab w:val="num" w:pos="567"/>
          <w:tab w:val="left" w:pos="1418"/>
        </w:tabs>
        <w:outlineLvl w:val="0"/>
        <w:rPr>
          <w:b/>
          <w:bCs/>
          <w:color w:val="000000"/>
          <w:szCs w:val="20"/>
          <w:u w:val="single"/>
        </w:rPr>
      </w:pPr>
      <w:r w:rsidRPr="00111BF8">
        <w:br w:type="page"/>
      </w:r>
      <w:r w:rsidRPr="00111BF8">
        <w:rPr>
          <w:b/>
          <w:color w:val="000000"/>
          <w:u w:val="single"/>
        </w:rPr>
        <w:lastRenderedPageBreak/>
        <w:t>Незаконодателни дейности</w:t>
      </w:r>
    </w:p>
    <w:p w:rsidR="00647804" w:rsidRPr="00111BF8" w:rsidRDefault="00647804" w:rsidP="00647804">
      <w:pPr>
        <w:outlineLvl w:val="1"/>
        <w:rPr>
          <w:b/>
          <w:bCs/>
        </w:rPr>
      </w:pPr>
    </w:p>
    <w:p w:rsidR="00647804" w:rsidRPr="00111BF8" w:rsidRDefault="00647804" w:rsidP="00043D69">
      <w:pPr>
        <w:outlineLvl w:val="1"/>
        <w:rPr>
          <w:b/>
          <w:bCs/>
        </w:rPr>
      </w:pPr>
      <w:r w:rsidRPr="00111BF8">
        <w:rPr>
          <w:b/>
        </w:rPr>
        <w:t>(Открит дебат съгласно член 8, параграф 2 от Процедурния правилник на Съвета [по предложение на председателството] за точки 4—7)</w:t>
      </w:r>
    </w:p>
    <w:p w:rsidR="00865790" w:rsidRPr="00111BF8" w:rsidRDefault="00865790" w:rsidP="00865790">
      <w:pPr>
        <w:outlineLvl w:val="0"/>
        <w:rPr>
          <w:b/>
          <w:bCs/>
          <w:color w:val="000000"/>
          <w:szCs w:val="20"/>
          <w:u w:val="single"/>
        </w:rPr>
      </w:pPr>
    </w:p>
    <w:p w:rsidR="0006542F" w:rsidRPr="00111BF8" w:rsidRDefault="0006542F" w:rsidP="00865790">
      <w:pPr>
        <w:outlineLvl w:val="0"/>
        <w:rPr>
          <w:b/>
          <w:bCs/>
          <w:color w:val="000000"/>
          <w:szCs w:val="20"/>
          <w:u w:val="single"/>
        </w:rPr>
      </w:pPr>
    </w:p>
    <w:p w:rsidR="00865790" w:rsidRPr="00111BF8" w:rsidRDefault="00865790" w:rsidP="00647804">
      <w:pPr>
        <w:pStyle w:val="PointManual"/>
      </w:pPr>
      <w:r w:rsidRPr="00111BF8">
        <w:t>4.</w:t>
      </w:r>
      <w:r w:rsidRPr="00111BF8">
        <w:tab/>
        <w:t>Европейски семестър 2015 г.: Принос към Европейския съвет (Брюксел, 19—20 март 2015 г.)</w:t>
      </w:r>
    </w:p>
    <w:p w:rsidR="00865790" w:rsidRPr="00111BF8" w:rsidRDefault="00865790" w:rsidP="00865790">
      <w:pPr>
        <w:pStyle w:val="Dash1"/>
      </w:pPr>
      <w:proofErr w:type="spellStart"/>
      <w:r w:rsidRPr="00111BF8">
        <w:t>Ориентационен</w:t>
      </w:r>
      <w:proofErr w:type="spellEnd"/>
      <w:r w:rsidRPr="00111BF8">
        <w:t xml:space="preserve"> дебат</w:t>
      </w:r>
    </w:p>
    <w:p w:rsidR="00865790" w:rsidRPr="00111BF8" w:rsidRDefault="00865790" w:rsidP="00865790"/>
    <w:p w:rsidR="00865790" w:rsidRPr="00111BF8" w:rsidRDefault="00865790" w:rsidP="009E1EF2">
      <w:pPr>
        <w:pStyle w:val="Pointabc1"/>
      </w:pPr>
      <w:r w:rsidRPr="00111BF8">
        <w:t>Приоритети за действие в областта на заетостта и социалните политики: политически насоки за 2105 г.</w:t>
      </w:r>
    </w:p>
    <w:p w:rsidR="00865790" w:rsidRPr="00111BF8" w:rsidRDefault="00A21C7C" w:rsidP="00A21C7C">
      <w:pPr>
        <w:pStyle w:val="Pointivx2"/>
        <w:rPr>
          <w:iCs/>
        </w:rPr>
      </w:pPr>
      <w:r w:rsidRPr="00111BF8">
        <w:t>Проект за заключения на Съвета относно годишния обзор на растежа за 2015 г. и съвместния доклад за заетостта: политически насоки за политиките по заетостта и социалните политики</w:t>
      </w:r>
    </w:p>
    <w:p w:rsidR="00865790" w:rsidRPr="00111BF8" w:rsidRDefault="00865790" w:rsidP="000C7D22">
      <w:pPr>
        <w:pStyle w:val="Pointivx2"/>
      </w:pPr>
      <w:r w:rsidRPr="00111BF8">
        <w:t>Проект на съвместен доклад за заетостта</w:t>
      </w:r>
    </w:p>
    <w:p w:rsidR="00865790" w:rsidRPr="00111BF8" w:rsidRDefault="00865790" w:rsidP="007A4ADF">
      <w:pPr>
        <w:pStyle w:val="Dash2"/>
      </w:pPr>
      <w:r w:rsidRPr="00111BF8">
        <w:t>Приемане</w:t>
      </w:r>
    </w:p>
    <w:p w:rsidR="009E1EF2" w:rsidRPr="00111BF8" w:rsidRDefault="009E1EF2" w:rsidP="009E1EF2"/>
    <w:p w:rsidR="00A53CF6" w:rsidRPr="00111BF8" w:rsidRDefault="005E0FC6" w:rsidP="005E0FC6">
      <w:pPr>
        <w:pStyle w:val="PointManual1"/>
      </w:pPr>
      <w:r>
        <w:t>б</w:t>
      </w:r>
      <w:r w:rsidRPr="005E0FC6">
        <w:t>)</w:t>
      </w:r>
      <w:r w:rsidRPr="005E0FC6">
        <w:tab/>
      </w:r>
      <w:r w:rsidR="00A53CF6" w:rsidRPr="00111BF8">
        <w:t>Социална Европа: постигане на приобщаващ растеж — Годишен доклад за 2014 г. на Комитета за социална закрила относно положението в социалната област в ЕС</w:t>
      </w:r>
    </w:p>
    <w:p w:rsidR="009E1EF2" w:rsidRPr="00111BF8" w:rsidRDefault="009E1EF2" w:rsidP="00A53CF6">
      <w:pPr>
        <w:pStyle w:val="Dash2"/>
      </w:pPr>
      <w:r w:rsidRPr="00111BF8">
        <w:t>Одобряване на ключовите послания</w:t>
      </w:r>
    </w:p>
    <w:p w:rsidR="00865790" w:rsidRPr="00111BF8" w:rsidRDefault="00865790" w:rsidP="00865790"/>
    <w:p w:rsidR="004A0D9A" w:rsidRPr="00111BF8" w:rsidRDefault="004A0D9A" w:rsidP="00865790">
      <w:pPr>
        <w:rPr>
          <w:u w:val="single"/>
        </w:rPr>
      </w:pPr>
    </w:p>
    <w:p w:rsidR="00865790" w:rsidRPr="00111BF8" w:rsidRDefault="00865790" w:rsidP="006F3305">
      <w:pPr>
        <w:pStyle w:val="PointManual"/>
      </w:pPr>
      <w:r w:rsidRPr="00111BF8">
        <w:t>5.</w:t>
      </w:r>
      <w:r w:rsidRPr="00111BF8">
        <w:tab/>
        <w:t>Договореностите за финансиране и ефективността и ефикасността на разпределението на ресурсите: съвместен доклад на Комитета за социална закрила и службите на Комисията</w:t>
      </w:r>
    </w:p>
    <w:p w:rsidR="00F7105E" w:rsidRPr="00111BF8" w:rsidRDefault="00865790" w:rsidP="00865790">
      <w:pPr>
        <w:pStyle w:val="Dash1"/>
      </w:pPr>
      <w:r w:rsidRPr="00111BF8">
        <w:t>Одобряване на ключовите послания</w:t>
      </w:r>
    </w:p>
    <w:p w:rsidR="00865790" w:rsidRPr="00111BF8" w:rsidRDefault="00865790" w:rsidP="00865790"/>
    <w:p w:rsidR="00865790" w:rsidRPr="00111BF8" w:rsidRDefault="00865790" w:rsidP="00865790"/>
    <w:p w:rsidR="00865790" w:rsidRPr="00111BF8" w:rsidRDefault="00865790" w:rsidP="000C7D22">
      <w:pPr>
        <w:pStyle w:val="PointManual"/>
        <w:rPr>
          <w:i/>
          <w:iCs/>
        </w:rPr>
      </w:pPr>
      <w:r w:rsidRPr="00111BF8">
        <w:t>6.</w:t>
      </w:r>
      <w:r w:rsidRPr="00111BF8">
        <w:tab/>
        <w:t>Проект за заключения на Съвета относно напредъка в посока към по-приобщаващи пазари на труда</w:t>
      </w:r>
    </w:p>
    <w:p w:rsidR="00F7105E" w:rsidRPr="00111BF8" w:rsidRDefault="00865790" w:rsidP="000C7D22">
      <w:pPr>
        <w:pStyle w:val="Dash1"/>
      </w:pPr>
      <w:r w:rsidRPr="00111BF8">
        <w:t>Приемане</w:t>
      </w:r>
    </w:p>
    <w:p w:rsidR="00865790" w:rsidRPr="00111BF8" w:rsidRDefault="00865790" w:rsidP="00865790"/>
    <w:p w:rsidR="00865790" w:rsidRPr="00111BF8" w:rsidRDefault="00865790" w:rsidP="00865790"/>
    <w:p w:rsidR="00865790" w:rsidRPr="00111BF8" w:rsidRDefault="00865790" w:rsidP="007A4ADF">
      <w:pPr>
        <w:pStyle w:val="PointManual"/>
      </w:pPr>
      <w:r w:rsidRPr="00111BF8">
        <w:t>7.</w:t>
      </w:r>
      <w:r w:rsidRPr="00111BF8">
        <w:tab/>
        <w:t>Проект за заключения на Съвета относно стратегическа рамка на ЕС за здравословни и безопасни условия на труд за 2014-2020: Приспособяване към новите предизвикателства</w:t>
      </w:r>
    </w:p>
    <w:p w:rsidR="00F7105E" w:rsidRPr="00111BF8" w:rsidRDefault="000C7D22" w:rsidP="0012418E">
      <w:pPr>
        <w:pStyle w:val="Dash1"/>
      </w:pPr>
      <w:r w:rsidRPr="00111BF8">
        <w:t>Приемане</w:t>
      </w:r>
    </w:p>
    <w:p w:rsidR="00865790" w:rsidRPr="00111BF8" w:rsidRDefault="00865790" w:rsidP="00865790"/>
    <w:p w:rsidR="0006542F" w:rsidRPr="00111BF8" w:rsidRDefault="0006542F" w:rsidP="00865790"/>
    <w:p w:rsidR="00F7105E" w:rsidRPr="00111BF8" w:rsidRDefault="00865790" w:rsidP="00865790">
      <w:pPr>
        <w:pStyle w:val="PointManual"/>
      </w:pPr>
      <w:r w:rsidRPr="00111BF8">
        <w:t>8.</w:t>
      </w:r>
      <w:r w:rsidRPr="00111BF8">
        <w:tab/>
        <w:t>а)</w:t>
      </w:r>
      <w:r w:rsidRPr="00111BF8">
        <w:tab/>
        <w:t>Предложение за решение на Съвета за създаване на Комитет по заетостта и</w:t>
      </w:r>
    </w:p>
    <w:p w:rsidR="00865790" w:rsidRPr="00111BF8" w:rsidRDefault="00865790" w:rsidP="00865790">
      <w:pPr>
        <w:pStyle w:val="PointManual1"/>
      </w:pPr>
      <w:r w:rsidRPr="00111BF8">
        <w:tab/>
        <w:t>за отмяна на Решение 2000/98/EО</w:t>
      </w:r>
    </w:p>
    <w:p w:rsidR="00865790" w:rsidRPr="00111BF8" w:rsidRDefault="00865790" w:rsidP="00865790"/>
    <w:p w:rsidR="00F7105E" w:rsidRPr="00111BF8" w:rsidRDefault="00865790" w:rsidP="00865790">
      <w:pPr>
        <w:pStyle w:val="PointManual1"/>
      </w:pPr>
      <w:r w:rsidRPr="00111BF8">
        <w:t>б)</w:t>
      </w:r>
      <w:r w:rsidRPr="00111BF8">
        <w:tab/>
        <w:t>Предложение за решение на Съвета за създаване на Комитет за социална закрила и за отмяна на Решение 2004/689/ЕО</w:t>
      </w:r>
    </w:p>
    <w:p w:rsidR="00865790" w:rsidRPr="00111BF8" w:rsidRDefault="00865790" w:rsidP="00865790">
      <w:pPr>
        <w:pStyle w:val="Dash1"/>
      </w:pPr>
      <w:r w:rsidRPr="00111BF8">
        <w:t>Общ подход</w:t>
      </w:r>
    </w:p>
    <w:p w:rsidR="00865790" w:rsidRPr="00111BF8" w:rsidRDefault="00865790" w:rsidP="00865790"/>
    <w:p w:rsidR="00475D6E" w:rsidRPr="00111BF8" w:rsidRDefault="00043D69" w:rsidP="00865790">
      <w:r w:rsidRPr="00111BF8">
        <w:lastRenderedPageBreak/>
        <w:br w:type="page"/>
      </w:r>
    </w:p>
    <w:p w:rsidR="00865790" w:rsidRPr="00111BF8" w:rsidRDefault="00865790" w:rsidP="00DC788C">
      <w:pPr>
        <w:rPr>
          <w:b/>
          <w:bCs/>
          <w:u w:val="single"/>
        </w:rPr>
      </w:pPr>
      <w:r w:rsidRPr="00111BF8">
        <w:rPr>
          <w:b/>
          <w:u w:val="single"/>
        </w:rPr>
        <w:t>Други въпроси</w:t>
      </w:r>
    </w:p>
    <w:p w:rsidR="00865790" w:rsidRPr="00111BF8" w:rsidRDefault="00865790" w:rsidP="00865790">
      <w:pPr>
        <w:rPr>
          <w:u w:val="single"/>
        </w:rPr>
      </w:pPr>
    </w:p>
    <w:p w:rsidR="00865790" w:rsidRPr="00111BF8" w:rsidRDefault="00A53CF6" w:rsidP="00A53CF6">
      <w:pPr>
        <w:pStyle w:val="PointDoubleManual"/>
        <w:rPr>
          <w:i/>
          <w:iCs/>
        </w:rPr>
      </w:pPr>
      <w:r w:rsidRPr="00111BF8">
        <w:t>9.</w:t>
      </w:r>
      <w:r w:rsidRPr="00111BF8">
        <w:tab/>
        <w:t>а)</w:t>
      </w:r>
      <w:r w:rsidRPr="00111BF8">
        <w:tab/>
        <w:t>Тристранна социална среща на високо равнище</w:t>
      </w:r>
    </w:p>
    <w:p w:rsidR="00865790" w:rsidRPr="00111BF8" w:rsidRDefault="00865790" w:rsidP="004A0D9A">
      <w:pPr>
        <w:pStyle w:val="Dash2"/>
      </w:pPr>
      <w:r w:rsidRPr="00111BF8">
        <w:t>Информация от председателството</w:t>
      </w:r>
    </w:p>
    <w:p w:rsidR="00865790" w:rsidRPr="00111BF8" w:rsidRDefault="00865790" w:rsidP="00865790"/>
    <w:p w:rsidR="004A0D9A" w:rsidRPr="00111BF8" w:rsidRDefault="00A53CF6" w:rsidP="0006542F">
      <w:pPr>
        <w:pStyle w:val="PointDoubleManual1"/>
      </w:pPr>
      <w:r w:rsidRPr="00111BF8">
        <w:t>б)</w:t>
      </w:r>
      <w:r w:rsidRPr="00111BF8">
        <w:tab/>
        <w:t>i)</w:t>
      </w:r>
      <w:r w:rsidRPr="00111BF8">
        <w:tab/>
        <w:t>Конференция на високо равнище на тема „Ново начало за социалния диалог“ (Брюксел, 5 март 2015 г.)</w:t>
      </w:r>
    </w:p>
    <w:p w:rsidR="009B09D6" w:rsidRPr="00111BF8" w:rsidRDefault="009B09D6" w:rsidP="0006542F">
      <w:pPr>
        <w:pStyle w:val="PointDoubleManual1"/>
      </w:pPr>
      <w:r w:rsidRPr="00111BF8">
        <w:tab/>
        <w:t>ii)</w:t>
      </w:r>
      <w:r w:rsidRPr="00111BF8">
        <w:tab/>
        <w:t>Предложение на Комисията относно инициативата за младежка заетост</w:t>
      </w:r>
    </w:p>
    <w:p w:rsidR="0006542F" w:rsidRPr="00111BF8" w:rsidRDefault="0006542F" w:rsidP="0006542F">
      <w:pPr>
        <w:pStyle w:val="Dash2"/>
        <w:numPr>
          <w:ilvl w:val="0"/>
          <w:numId w:val="23"/>
        </w:numPr>
        <w:outlineLvl w:val="9"/>
      </w:pPr>
      <w:r w:rsidRPr="00111BF8">
        <w:t>Информация от Комисията</w:t>
      </w:r>
    </w:p>
    <w:p w:rsidR="0006542F" w:rsidRPr="00111BF8" w:rsidRDefault="0006542F" w:rsidP="0006542F"/>
    <w:p w:rsidR="004A0D9A" w:rsidRPr="00111BF8" w:rsidRDefault="0006542F" w:rsidP="009B09D6">
      <w:pPr>
        <w:pStyle w:val="PointDoubleManual1"/>
      </w:pPr>
      <w:r w:rsidRPr="00111BF8">
        <w:t>в)</w:t>
      </w:r>
      <w:r w:rsidRPr="00111BF8">
        <w:tab/>
        <w:t>i)</w:t>
      </w:r>
      <w:r w:rsidRPr="00111BF8">
        <w:tab/>
        <w:t>(евентуално) Доклади за държавите (европейски семестър 2015 г)</w:t>
      </w:r>
    </w:p>
    <w:p w:rsidR="004A0D9A" w:rsidRPr="00111BF8" w:rsidRDefault="0006542F" w:rsidP="0006542F">
      <w:pPr>
        <w:pStyle w:val="Pointivx1"/>
        <w:numPr>
          <w:ilvl w:val="0"/>
          <w:numId w:val="0"/>
        </w:numPr>
        <w:ind w:left="1134"/>
      </w:pPr>
      <w:r w:rsidRPr="00111BF8">
        <w:t>ii)</w:t>
      </w:r>
      <w:r w:rsidRPr="00111BF8">
        <w:tab/>
        <w:t>(евентуално) Насоки за политиките за заетостта на държавите членки</w:t>
      </w:r>
    </w:p>
    <w:p w:rsidR="004A0D9A" w:rsidRPr="00111BF8" w:rsidRDefault="0006542F" w:rsidP="0006542F">
      <w:pPr>
        <w:pStyle w:val="Dash2"/>
        <w:numPr>
          <w:ilvl w:val="0"/>
          <w:numId w:val="23"/>
        </w:numPr>
        <w:outlineLvl w:val="9"/>
      </w:pPr>
      <w:r w:rsidRPr="00111BF8">
        <w:t>Представяне от Комисията</w:t>
      </w:r>
    </w:p>
    <w:p w:rsidR="004A0D9A" w:rsidRPr="00111BF8" w:rsidRDefault="004A0D9A" w:rsidP="00865790"/>
    <w:p w:rsidR="00865790" w:rsidRPr="00111BF8" w:rsidRDefault="0006542F" w:rsidP="005E0FC6">
      <w:pPr>
        <w:pStyle w:val="Pointivx"/>
        <w:numPr>
          <w:ilvl w:val="0"/>
          <w:numId w:val="0"/>
        </w:numPr>
        <w:ind w:left="1134" w:hanging="567"/>
      </w:pPr>
      <w:r w:rsidRPr="00111BF8">
        <w:t>г)</w:t>
      </w:r>
      <w:r w:rsidRPr="00111BF8">
        <w:tab/>
        <w:t>Работни програми на Комитета по заетостта и на Комитета за социална закрила за 2015 г.</w:t>
      </w:r>
    </w:p>
    <w:p w:rsidR="00865790" w:rsidRPr="00111BF8" w:rsidRDefault="00865790" w:rsidP="0012418E">
      <w:pPr>
        <w:pStyle w:val="Dash2"/>
        <w:numPr>
          <w:ilvl w:val="0"/>
          <w:numId w:val="23"/>
        </w:numPr>
        <w:outlineLvl w:val="9"/>
        <w:rPr>
          <w:iCs/>
        </w:rPr>
      </w:pPr>
      <w:r w:rsidRPr="00111BF8">
        <w:t>Информация от съответните председатели</w:t>
      </w:r>
    </w:p>
    <w:p w:rsidR="00865790" w:rsidRPr="00111BF8" w:rsidRDefault="00865790" w:rsidP="00865790">
      <w:pPr>
        <w:rPr>
          <w:iCs/>
        </w:rPr>
      </w:pPr>
    </w:p>
    <w:p w:rsidR="00865790" w:rsidRPr="00111BF8" w:rsidRDefault="00865790" w:rsidP="00865790">
      <w:pPr>
        <w:rPr>
          <w:iCs/>
        </w:rPr>
      </w:pPr>
    </w:p>
    <w:p w:rsidR="00E4329C" w:rsidRPr="00111BF8" w:rsidRDefault="00E4329C" w:rsidP="00E4329C">
      <w:pPr>
        <w:pStyle w:val="FinalLine"/>
      </w:pPr>
    </w:p>
    <w:p w:rsidR="00865790" w:rsidRPr="00111BF8" w:rsidRDefault="00865790" w:rsidP="00E4329C">
      <w:pPr>
        <w:pStyle w:val="NB"/>
      </w:pPr>
    </w:p>
    <w:p w:rsidR="0006542F" w:rsidRPr="00111BF8" w:rsidRDefault="0006542F" w:rsidP="00E4329C">
      <w:pPr>
        <w:pStyle w:val="NB"/>
      </w:pPr>
    </w:p>
    <w:p w:rsidR="0006542F" w:rsidRPr="00111BF8" w:rsidRDefault="0006542F" w:rsidP="00E4329C">
      <w:pPr>
        <w:pStyle w:val="NB"/>
      </w:pPr>
    </w:p>
    <w:p w:rsidR="0006542F" w:rsidRPr="00111BF8" w:rsidRDefault="0006542F" w:rsidP="00E4329C">
      <w:pPr>
        <w:pStyle w:val="NB"/>
      </w:pPr>
    </w:p>
    <w:p w:rsidR="00865790" w:rsidRPr="00111BF8" w:rsidRDefault="00865790" w:rsidP="00E4329C">
      <w:pPr>
        <w:pStyle w:val="NB"/>
      </w:pPr>
    </w:p>
    <w:p w:rsidR="00E4329C" w:rsidRPr="00111BF8" w:rsidRDefault="006F760C" w:rsidP="006F760C">
      <w:pPr>
        <w:pStyle w:val="NB"/>
      </w:pPr>
      <w:r w:rsidRPr="00111BF8">
        <w:t>NB:</w:t>
      </w:r>
      <w:r w:rsidRPr="00111BF8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111BF8">
        <w:t>protocole</w:t>
      </w:r>
      <w:proofErr w:type="spellEnd"/>
      <w:r w:rsidRPr="00111BF8">
        <w:t>.</w:t>
      </w:r>
      <w:proofErr w:type="spellStart"/>
      <w:r w:rsidRPr="00111BF8">
        <w:t>participants@consilium</w:t>
      </w:r>
      <w:proofErr w:type="spellEnd"/>
      <w:r w:rsidRPr="00111BF8">
        <w:t>.</w:t>
      </w:r>
      <w:proofErr w:type="spellStart"/>
      <w:r w:rsidRPr="00111BF8">
        <w:t>europa</w:t>
      </w:r>
      <w:proofErr w:type="spellEnd"/>
      <w:r w:rsidRPr="00111BF8">
        <w:t>.</w:t>
      </w:r>
      <w:proofErr w:type="spellStart"/>
      <w:r w:rsidRPr="00111BF8">
        <w:t>eu</w:t>
      </w:r>
      <w:proofErr w:type="spellEnd"/>
      <w:r w:rsidRPr="00111BF8">
        <w:t>.</w:t>
      </w:r>
    </w:p>
    <w:p w:rsidR="00FC4670" w:rsidRPr="006F760C" w:rsidRDefault="006F760C" w:rsidP="006F760C">
      <w:pPr>
        <w:pStyle w:val="NB"/>
      </w:pPr>
      <w:r w:rsidRPr="00111BF8">
        <w:t>NB:</w:t>
      </w:r>
      <w:r w:rsidRPr="00111BF8">
        <w:tab/>
        <w:t xml:space="preserve">Делегатите, които се нуждаят от еднодневни служебни карти, за да посещават заседанията, следва </w:t>
      </w:r>
      <w:bookmarkStart w:id="1" w:name="_GoBack"/>
      <w:bookmarkEnd w:id="1"/>
      <w:r w:rsidRPr="00111BF8">
        <w:t>да се запознаят с док. 14387/1/12 REV 1 във връзка с начина за получаването им.</w:t>
      </w:r>
    </w:p>
    <w:sectPr w:rsidR="00FC4670" w:rsidRPr="006F760C" w:rsidSect="00111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9C" w:rsidRDefault="00E4329C" w:rsidP="00E4329C">
      <w:r>
        <w:separator/>
      </w:r>
    </w:p>
  </w:endnote>
  <w:endnote w:type="continuationSeparator" w:id="0">
    <w:p w:rsidR="00E4329C" w:rsidRDefault="00E4329C" w:rsidP="00E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E5" w:rsidRPr="00111BF8" w:rsidRDefault="00F05EE5" w:rsidP="00111B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1BF8" w:rsidRPr="00D94637" w:rsidTr="00111B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1BF8" w:rsidRPr="00D94637" w:rsidRDefault="00111B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11BF8" w:rsidRPr="00B310DC" w:rsidTr="00111B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1BF8" w:rsidRPr="00AD7BF2" w:rsidRDefault="00111BF8" w:rsidP="004F54B2">
          <w:pPr>
            <w:pStyle w:val="FooterText"/>
          </w:pPr>
          <w:r>
            <w:t>CM 1589/15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1BF8" w:rsidRPr="00AD7BF2" w:rsidRDefault="00111B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1BF8" w:rsidRPr="002511D8" w:rsidRDefault="00111B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1BF8" w:rsidRPr="00B310DC" w:rsidRDefault="00111B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0FC6">
            <w:rPr>
              <w:noProof/>
            </w:rPr>
            <w:t>3</w:t>
          </w:r>
          <w:r>
            <w:fldChar w:fldCharType="end"/>
          </w:r>
        </w:p>
      </w:tc>
    </w:tr>
    <w:tr w:rsidR="00111BF8" w:rsidRPr="00D94637" w:rsidTr="00111BF8">
      <w:trPr>
        <w:jc w:val="center"/>
      </w:trPr>
      <w:tc>
        <w:tcPr>
          <w:tcW w:w="1774" w:type="pct"/>
          <w:shd w:val="clear" w:color="auto" w:fill="auto"/>
        </w:tcPr>
        <w:p w:rsidR="00111BF8" w:rsidRPr="00AD7BF2" w:rsidRDefault="00111B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1BF8" w:rsidRPr="00AD7BF2" w:rsidRDefault="00111B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1BF8" w:rsidRPr="00D94637" w:rsidRDefault="00111B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1BF8" w:rsidRPr="00D94637" w:rsidRDefault="00111B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4329C" w:rsidRPr="00111BF8" w:rsidRDefault="00E4329C" w:rsidP="00111BF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1BF8" w:rsidRPr="00D94637" w:rsidTr="00111B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1BF8" w:rsidRPr="00D94637" w:rsidRDefault="00111B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11BF8" w:rsidRPr="00B310DC" w:rsidTr="00111B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1BF8" w:rsidRPr="00AD7BF2" w:rsidRDefault="00111BF8" w:rsidP="004F54B2">
          <w:pPr>
            <w:pStyle w:val="FooterText"/>
          </w:pPr>
          <w:r>
            <w:t>CM 1589/15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1BF8" w:rsidRPr="00AD7BF2" w:rsidRDefault="00111B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1BF8" w:rsidRPr="002511D8" w:rsidRDefault="00111B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1BF8" w:rsidRPr="00B310DC" w:rsidRDefault="00111B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0FC6">
            <w:rPr>
              <w:noProof/>
            </w:rPr>
            <w:t>1</w:t>
          </w:r>
          <w:r>
            <w:fldChar w:fldCharType="end"/>
          </w:r>
        </w:p>
      </w:tc>
    </w:tr>
    <w:tr w:rsidR="00111BF8" w:rsidRPr="00D94637" w:rsidTr="00111BF8">
      <w:trPr>
        <w:jc w:val="center"/>
      </w:trPr>
      <w:tc>
        <w:tcPr>
          <w:tcW w:w="1774" w:type="pct"/>
          <w:shd w:val="clear" w:color="auto" w:fill="auto"/>
        </w:tcPr>
        <w:p w:rsidR="00111BF8" w:rsidRPr="00AD7BF2" w:rsidRDefault="00111B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1BF8" w:rsidRPr="00AD7BF2" w:rsidRDefault="00111B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1BF8" w:rsidRPr="00D94637" w:rsidRDefault="00111B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1BF8" w:rsidRPr="00D94637" w:rsidRDefault="00111B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4329C" w:rsidRPr="00111BF8" w:rsidRDefault="00E4329C" w:rsidP="00111BF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9C" w:rsidRDefault="00E4329C" w:rsidP="00E4329C">
      <w:r>
        <w:separator/>
      </w:r>
    </w:p>
  </w:footnote>
  <w:footnote w:type="continuationSeparator" w:id="0">
    <w:p w:rsidR="00E4329C" w:rsidRDefault="00E4329C" w:rsidP="00E4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E5" w:rsidRPr="00111BF8" w:rsidRDefault="00F05EE5" w:rsidP="00111B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E5" w:rsidRPr="00111BF8" w:rsidRDefault="00F05EE5" w:rsidP="00111BF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E5" w:rsidRPr="00111BF8" w:rsidRDefault="00F05EE5" w:rsidP="00111BF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34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AF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05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365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7ED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F69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62B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8C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C9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2FBA398C"/>
    <w:multiLevelType w:val="hybridMultilevel"/>
    <w:tmpl w:val="C2281BCE"/>
    <w:lvl w:ilvl="0" w:tplc="B0425C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311182F"/>
    <w:multiLevelType w:val="hybridMultilevel"/>
    <w:tmpl w:val="EA4C19EE"/>
    <w:lvl w:ilvl="0" w:tplc="B0425C3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B0425C3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4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5">
    <w:nsid w:val="50AE75AE"/>
    <w:multiLevelType w:val="hybridMultilevel"/>
    <w:tmpl w:val="AEC420A0"/>
    <w:lvl w:ilvl="0" w:tplc="B0425C3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7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9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1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2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3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8"/>
  </w:num>
  <w:num w:numId="5">
    <w:abstractNumId w:val="14"/>
  </w:num>
  <w:num w:numId="6">
    <w:abstractNumId w:val="33"/>
  </w:num>
  <w:num w:numId="7">
    <w:abstractNumId w:val="23"/>
  </w:num>
  <w:num w:numId="8">
    <w:abstractNumId w:val="26"/>
  </w:num>
  <w:num w:numId="9">
    <w:abstractNumId w:val="29"/>
  </w:num>
  <w:num w:numId="10">
    <w:abstractNumId w:val="21"/>
  </w:num>
  <w:num w:numId="11">
    <w:abstractNumId w:val="11"/>
  </w:num>
  <w:num w:numId="12">
    <w:abstractNumId w:val="30"/>
  </w:num>
  <w:num w:numId="13">
    <w:abstractNumId w:val="20"/>
  </w:num>
  <w:num w:numId="14">
    <w:abstractNumId w:val="15"/>
  </w:num>
  <w:num w:numId="15">
    <w:abstractNumId w:val="31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22"/>
  </w:num>
  <w:num w:numId="21">
    <w:abstractNumId w:val="18"/>
  </w:num>
  <w:num w:numId="22">
    <w:abstractNumId w:val="25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2"/>
  </w:num>
  <w:num w:numId="3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9abe270e-94e7-4bb6-9db3-6fb28e70c99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58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4-&amp;lt;/Run&amp;gt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47;&amp;#1072;&amp;#1077;&amp;#1090;&amp;#1086;&amp;#1089;&amp;#1090;, &amp;#1089;&amp;#1086;&amp;#1094;&amp;#1080;&amp;#1072;&amp;#1083;&amp;#1085;&amp;#1072; &amp;#1087;&amp;#1086;&amp;#1083;&amp;#1080;&amp;#1090;&amp;#1080;&amp;#1082;&amp;#1072;&amp;lt;/Run&amp;gt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09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4329C"/>
    <w:rsid w:val="00010C1D"/>
    <w:rsid w:val="00043D69"/>
    <w:rsid w:val="0006542F"/>
    <w:rsid w:val="0009656C"/>
    <w:rsid w:val="000C7D22"/>
    <w:rsid w:val="000E74C4"/>
    <w:rsid w:val="00111BF8"/>
    <w:rsid w:val="0012418E"/>
    <w:rsid w:val="0012463B"/>
    <w:rsid w:val="001365B5"/>
    <w:rsid w:val="00165755"/>
    <w:rsid w:val="00176E00"/>
    <w:rsid w:val="00182F2F"/>
    <w:rsid w:val="001A392B"/>
    <w:rsid w:val="001B2F8F"/>
    <w:rsid w:val="00264BA0"/>
    <w:rsid w:val="002A2AE8"/>
    <w:rsid w:val="003C6E8B"/>
    <w:rsid w:val="00475D6E"/>
    <w:rsid w:val="004A0D9A"/>
    <w:rsid w:val="004A2961"/>
    <w:rsid w:val="005157F5"/>
    <w:rsid w:val="005E0FC6"/>
    <w:rsid w:val="0063379B"/>
    <w:rsid w:val="00634C65"/>
    <w:rsid w:val="00647804"/>
    <w:rsid w:val="00664740"/>
    <w:rsid w:val="00672467"/>
    <w:rsid w:val="00695D43"/>
    <w:rsid w:val="006A38C5"/>
    <w:rsid w:val="006C1AD4"/>
    <w:rsid w:val="006E33E2"/>
    <w:rsid w:val="006F3305"/>
    <w:rsid w:val="006F4741"/>
    <w:rsid w:val="006F760C"/>
    <w:rsid w:val="00703241"/>
    <w:rsid w:val="00725F07"/>
    <w:rsid w:val="0075756A"/>
    <w:rsid w:val="007A4ADF"/>
    <w:rsid w:val="007D40B7"/>
    <w:rsid w:val="00825503"/>
    <w:rsid w:val="0082597D"/>
    <w:rsid w:val="00830E7E"/>
    <w:rsid w:val="00854837"/>
    <w:rsid w:val="00865790"/>
    <w:rsid w:val="008826F8"/>
    <w:rsid w:val="008D2115"/>
    <w:rsid w:val="009B09D6"/>
    <w:rsid w:val="009E1EF2"/>
    <w:rsid w:val="009F121F"/>
    <w:rsid w:val="00A015D3"/>
    <w:rsid w:val="00A10688"/>
    <w:rsid w:val="00A21C7C"/>
    <w:rsid w:val="00A469D7"/>
    <w:rsid w:val="00A53CF6"/>
    <w:rsid w:val="00AA0AC0"/>
    <w:rsid w:val="00B476DD"/>
    <w:rsid w:val="00BE1373"/>
    <w:rsid w:val="00C63925"/>
    <w:rsid w:val="00C9584A"/>
    <w:rsid w:val="00CA50BE"/>
    <w:rsid w:val="00CB6CF2"/>
    <w:rsid w:val="00CE1747"/>
    <w:rsid w:val="00D451E4"/>
    <w:rsid w:val="00D56280"/>
    <w:rsid w:val="00DC788C"/>
    <w:rsid w:val="00E4329C"/>
    <w:rsid w:val="00EB7F7F"/>
    <w:rsid w:val="00EF0AF8"/>
    <w:rsid w:val="00EF22C8"/>
    <w:rsid w:val="00F05EE5"/>
    <w:rsid w:val="00F224F1"/>
    <w:rsid w:val="00F7105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329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329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E4329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E4329C"/>
  </w:style>
  <w:style w:type="paragraph" w:styleId="ListParagraph">
    <w:name w:val="List Paragraph"/>
    <w:basedOn w:val="Normal"/>
    <w:uiPriority w:val="34"/>
    <w:qFormat/>
    <w:rsid w:val="00865790"/>
    <w:pPr>
      <w:widowControl w:val="0"/>
      <w:spacing w:line="360" w:lineRule="auto"/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90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8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C7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329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329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E4329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E4329C"/>
  </w:style>
  <w:style w:type="paragraph" w:styleId="ListParagraph">
    <w:name w:val="List Paragraph"/>
    <w:basedOn w:val="Normal"/>
    <w:uiPriority w:val="34"/>
    <w:qFormat/>
    <w:rsid w:val="00865790"/>
    <w:pPr>
      <w:widowControl w:val="0"/>
      <w:spacing w:line="360" w:lineRule="auto"/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90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8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C7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0227-1E20-457D-B529-B9EB74CC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403</Words>
  <Characters>2352</Characters>
  <Application>Microsoft Office Word</Application>
  <DocSecurity>0</DocSecurity>
  <Lines>97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PROFIROV Iavor</cp:lastModifiedBy>
  <cp:revision>3</cp:revision>
  <cp:lastPrinted>2015-02-20T15:19:00Z</cp:lastPrinted>
  <dcterms:created xsi:type="dcterms:W3CDTF">2015-02-23T10:14:00Z</dcterms:created>
  <dcterms:modified xsi:type="dcterms:W3CDTF">2015-02-23T10:15:00Z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