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70" w:rsidRPr="00DC72F3" w:rsidRDefault="0048080D" w:rsidP="00DC72F3">
      <w:pPr>
        <w:pStyle w:val="TechnicalBlock"/>
        <w:ind w:left="-1134" w:right="-1134"/>
        <w:rPr>
          <w:lang w:val="en-US"/>
        </w:rPr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1ee0717-492b-405a-a92a-54afddc9f9ab" style="width:568.3pt;height:358.35pt">
            <v:imagedata r:id="rId9" o:title=""/>
          </v:shape>
        </w:pict>
      </w:r>
      <w:bookmarkEnd w:id="0"/>
    </w:p>
    <w:p w:rsidR="00730835" w:rsidRPr="001F289A" w:rsidRDefault="00730835" w:rsidP="00CE3D38">
      <w:pPr>
        <w:outlineLvl w:val="0"/>
        <w:rPr>
          <w:rFonts w:eastAsia="Calibri" w:cs="Arial"/>
          <w:b/>
          <w:u w:val="single"/>
        </w:rPr>
      </w:pPr>
    </w:p>
    <w:p w:rsidR="00740A70" w:rsidRPr="001F289A" w:rsidRDefault="00740A70" w:rsidP="00CE3D38">
      <w:pPr>
        <w:outlineLvl w:val="0"/>
        <w:rPr>
          <w:rFonts w:eastAsia="Calibri" w:cs="Arial"/>
          <w:b/>
          <w:u w:val="single"/>
        </w:rPr>
      </w:pPr>
      <w:r w:rsidRPr="001F289A">
        <w:rPr>
          <w:b/>
          <w:u w:val="single"/>
        </w:rPr>
        <w:t>ПОНЕДЕЛНИК, 2 МАРТ 2015 г. (10,00 ч.)</w:t>
      </w:r>
    </w:p>
    <w:p w:rsidR="00740A70" w:rsidRPr="001F289A" w:rsidRDefault="00740A70" w:rsidP="00CE3D38">
      <w:pPr>
        <w:tabs>
          <w:tab w:val="left" w:pos="567"/>
          <w:tab w:val="left" w:pos="1418"/>
        </w:tabs>
        <w:rPr>
          <w:rFonts w:eastAsia="Calibri" w:cs="Arial"/>
          <w:color w:val="000000"/>
          <w:szCs w:val="22"/>
        </w:rPr>
      </w:pPr>
    </w:p>
    <w:p w:rsidR="00740A70" w:rsidRPr="001F289A" w:rsidRDefault="00740A70" w:rsidP="00CE3D38">
      <w:pPr>
        <w:tabs>
          <w:tab w:val="left" w:pos="567"/>
          <w:tab w:val="left" w:pos="1418"/>
        </w:tabs>
        <w:rPr>
          <w:rFonts w:eastAsia="Calibri" w:cs="Arial"/>
          <w:color w:val="000000"/>
          <w:szCs w:val="22"/>
        </w:rPr>
      </w:pPr>
    </w:p>
    <w:p w:rsidR="00740A70" w:rsidRPr="001F289A" w:rsidRDefault="00740A70" w:rsidP="00CE3D38">
      <w:pPr>
        <w:pStyle w:val="PointManual"/>
        <w:spacing w:before="0"/>
        <w:rPr>
          <w:rFonts w:eastAsia="Calibri"/>
        </w:rPr>
      </w:pPr>
      <w:r w:rsidRPr="001F289A">
        <w:t>1.</w:t>
      </w:r>
      <w:r w:rsidRPr="001F289A">
        <w:tab/>
        <w:t>Приемане на предварителния дневен ред</w:t>
      </w:r>
    </w:p>
    <w:p w:rsidR="00740A70" w:rsidRPr="001F289A" w:rsidRDefault="00740A70" w:rsidP="00CE3D38">
      <w:pPr>
        <w:jc w:val="both"/>
        <w:rPr>
          <w:rFonts w:eastAsia="Calibri" w:cs="Arial"/>
          <w:szCs w:val="22"/>
        </w:rPr>
      </w:pPr>
    </w:p>
    <w:p w:rsidR="0095246B" w:rsidRPr="001F289A" w:rsidRDefault="0095246B" w:rsidP="00CE3D38">
      <w:pPr>
        <w:jc w:val="both"/>
        <w:rPr>
          <w:rFonts w:eastAsia="Calibri" w:cs="Arial"/>
          <w:szCs w:val="22"/>
        </w:rPr>
      </w:pPr>
    </w:p>
    <w:p w:rsidR="00740A70" w:rsidRPr="001F289A" w:rsidRDefault="00740A70" w:rsidP="00CE3D38">
      <w:pPr>
        <w:jc w:val="both"/>
        <w:rPr>
          <w:rFonts w:eastAsia="Calibri" w:cs="Arial"/>
          <w:szCs w:val="22"/>
        </w:rPr>
      </w:pPr>
    </w:p>
    <w:p w:rsidR="00740A70" w:rsidRPr="001F289A" w:rsidRDefault="00740A70" w:rsidP="00CE3D38">
      <w:pPr>
        <w:rPr>
          <w:rFonts w:eastAsia="Calibri" w:cs="Arial"/>
          <w:b/>
          <w:bCs/>
          <w:color w:val="000000"/>
          <w:szCs w:val="22"/>
          <w:u w:val="single"/>
        </w:rPr>
      </w:pPr>
      <w:r w:rsidRPr="001F289A">
        <w:rPr>
          <w:b/>
          <w:color w:val="000000"/>
          <w:u w:val="single"/>
        </w:rPr>
        <w:t>Обсъждания на законодателни актове</w:t>
      </w:r>
    </w:p>
    <w:p w:rsidR="00740A70" w:rsidRPr="001F289A" w:rsidRDefault="00740A70" w:rsidP="00CE3D38">
      <w:pPr>
        <w:rPr>
          <w:rFonts w:eastAsia="Calibri" w:cs="Arial"/>
          <w:b/>
          <w:bCs/>
          <w:color w:val="000000"/>
          <w:szCs w:val="22"/>
        </w:rPr>
      </w:pPr>
      <w:r w:rsidRPr="001F289A">
        <w:rPr>
          <w:b/>
        </w:rPr>
        <w:t>(открито обсъждане съгласно член 16, параграф 8 от Договора за Европейския съюз)</w:t>
      </w:r>
    </w:p>
    <w:p w:rsidR="00740A70" w:rsidRPr="001F289A" w:rsidRDefault="00740A70" w:rsidP="00CE3D38">
      <w:pPr>
        <w:rPr>
          <w:rFonts w:eastAsia="Calibri" w:cs="Arial"/>
          <w:color w:val="000000"/>
          <w:szCs w:val="22"/>
        </w:rPr>
      </w:pPr>
    </w:p>
    <w:p w:rsidR="0095246B" w:rsidRPr="001F289A" w:rsidRDefault="0095246B" w:rsidP="00CE3D38">
      <w:pPr>
        <w:rPr>
          <w:rFonts w:eastAsia="Calibri" w:cs="Arial"/>
          <w:color w:val="000000"/>
          <w:szCs w:val="22"/>
        </w:rPr>
      </w:pPr>
    </w:p>
    <w:p w:rsidR="00740A70" w:rsidRPr="001F289A" w:rsidRDefault="00E77498" w:rsidP="00CE3D38">
      <w:pPr>
        <w:pStyle w:val="PointManual"/>
        <w:spacing w:before="0"/>
        <w:rPr>
          <w:rFonts w:eastAsia="Calibri"/>
        </w:rPr>
      </w:pPr>
      <w:r w:rsidRPr="001F289A">
        <w:t>2.</w:t>
      </w:r>
      <w:r w:rsidRPr="001F289A">
        <w:tab/>
        <w:t>Одобряване на списъка на точки „А“</w:t>
      </w:r>
    </w:p>
    <w:p w:rsidR="005D18CB" w:rsidRPr="001F289A" w:rsidRDefault="00347261" w:rsidP="00CE3D38">
      <w:pPr>
        <w:pStyle w:val="Text3"/>
        <w:rPr>
          <w:rFonts w:eastAsia="Calibri"/>
        </w:rPr>
      </w:pPr>
      <w:r w:rsidRPr="001F289A">
        <w:t>6333/15 PTS A 12</w:t>
      </w:r>
    </w:p>
    <w:p w:rsidR="003232CF" w:rsidRPr="001F289A" w:rsidRDefault="003232CF" w:rsidP="00CE3D38">
      <w:pPr>
        <w:rPr>
          <w:rFonts w:eastAsia="Calibri" w:cs="Arial"/>
          <w:b/>
          <w:bCs/>
          <w:color w:val="000000"/>
          <w:szCs w:val="22"/>
          <w:u w:val="single"/>
        </w:rPr>
      </w:pPr>
    </w:p>
    <w:p w:rsidR="0095246B" w:rsidRPr="001F289A" w:rsidRDefault="0095246B" w:rsidP="00CE3D38">
      <w:pPr>
        <w:rPr>
          <w:rFonts w:eastAsia="Calibri" w:cs="Arial"/>
          <w:b/>
          <w:bCs/>
          <w:color w:val="000000"/>
          <w:szCs w:val="22"/>
          <w:u w:val="single"/>
        </w:rPr>
      </w:pPr>
    </w:p>
    <w:p w:rsidR="0095246B" w:rsidRPr="001F289A" w:rsidRDefault="0095246B" w:rsidP="00CE3D38">
      <w:pPr>
        <w:rPr>
          <w:rFonts w:eastAsia="Calibri" w:cs="Arial"/>
          <w:b/>
          <w:bCs/>
          <w:color w:val="000000"/>
          <w:szCs w:val="22"/>
          <w:u w:val="single"/>
        </w:rPr>
      </w:pPr>
    </w:p>
    <w:p w:rsidR="00E77498" w:rsidRPr="001F289A" w:rsidRDefault="00E77498" w:rsidP="00CE3D38">
      <w:pPr>
        <w:rPr>
          <w:rFonts w:eastAsia="Calibri" w:cs="Arial"/>
          <w:b/>
          <w:bCs/>
          <w:color w:val="000000"/>
          <w:szCs w:val="22"/>
          <w:u w:val="single"/>
        </w:rPr>
      </w:pPr>
      <w:r w:rsidRPr="001F289A">
        <w:rPr>
          <w:b/>
          <w:color w:val="000000"/>
          <w:u w:val="single"/>
        </w:rPr>
        <w:t>Незаконодателни дейности</w:t>
      </w:r>
    </w:p>
    <w:p w:rsidR="00E77498" w:rsidRPr="001F289A" w:rsidRDefault="00E77498" w:rsidP="00CE3D38">
      <w:pPr>
        <w:rPr>
          <w:rFonts w:eastAsia="Calibri" w:cs="Arial"/>
          <w:color w:val="000000"/>
          <w:szCs w:val="22"/>
          <w:highlight w:val="yellow"/>
        </w:rPr>
      </w:pPr>
    </w:p>
    <w:p w:rsidR="0095246B" w:rsidRPr="001F289A" w:rsidRDefault="0095246B" w:rsidP="00CE3D38">
      <w:pPr>
        <w:rPr>
          <w:rFonts w:eastAsia="Calibri" w:cs="Arial"/>
          <w:color w:val="000000"/>
          <w:szCs w:val="22"/>
          <w:highlight w:val="yellow"/>
        </w:rPr>
      </w:pPr>
    </w:p>
    <w:p w:rsidR="00E77498" w:rsidRPr="001F289A" w:rsidRDefault="00E77498" w:rsidP="00CE3D38">
      <w:pPr>
        <w:pStyle w:val="PointManual"/>
        <w:spacing w:before="0"/>
        <w:rPr>
          <w:rFonts w:eastAsia="Calibri"/>
        </w:rPr>
      </w:pPr>
      <w:r w:rsidRPr="001F289A">
        <w:t>3.</w:t>
      </w:r>
      <w:r w:rsidRPr="001F289A">
        <w:tab/>
        <w:t>Одобряване на списъка на точки „А“</w:t>
      </w:r>
    </w:p>
    <w:p w:rsidR="0095246B" w:rsidRPr="001F289A" w:rsidRDefault="00347261" w:rsidP="00CE3D38">
      <w:pPr>
        <w:pStyle w:val="Text3"/>
        <w:rPr>
          <w:rFonts w:eastAsia="Calibri"/>
        </w:rPr>
      </w:pPr>
      <w:r w:rsidRPr="001F289A">
        <w:t>6334/15 PTS A 13</w:t>
      </w:r>
    </w:p>
    <w:p w:rsidR="00750B83" w:rsidRPr="001F289A" w:rsidRDefault="005D18CB" w:rsidP="00E3107C">
      <w:pPr>
        <w:rPr>
          <w:rFonts w:eastAsia="Calibri" w:cs="Arial"/>
          <w:color w:val="000000"/>
          <w:szCs w:val="22"/>
          <w:u w:val="single"/>
        </w:rPr>
      </w:pPr>
      <w:r w:rsidRPr="001F289A">
        <w:br w:type="page"/>
      </w:r>
    </w:p>
    <w:p w:rsidR="00740A70" w:rsidRPr="001F289A" w:rsidRDefault="00740A70" w:rsidP="00E3107C">
      <w:pPr>
        <w:rPr>
          <w:rFonts w:eastAsia="Calibri" w:cs="Arial"/>
          <w:color w:val="000000"/>
          <w:szCs w:val="22"/>
        </w:rPr>
      </w:pPr>
      <w:r w:rsidRPr="001F289A">
        <w:rPr>
          <w:color w:val="000000"/>
          <w:u w:val="single"/>
        </w:rPr>
        <w:t>ВЪТРЕШЕН ПАЗАР И ПРОМИШЛЕНОСТ</w:t>
      </w:r>
    </w:p>
    <w:p w:rsidR="00740A70" w:rsidRPr="001F289A" w:rsidRDefault="00740A70" w:rsidP="00CE3D38">
      <w:pPr>
        <w:pStyle w:val="PointManual"/>
        <w:spacing w:before="0"/>
      </w:pPr>
    </w:p>
    <w:p w:rsidR="00750B83" w:rsidRPr="001F289A" w:rsidRDefault="00750B83" w:rsidP="00CE3D38">
      <w:pPr>
        <w:pStyle w:val="PointManual"/>
        <w:spacing w:before="0"/>
      </w:pPr>
    </w:p>
    <w:p w:rsidR="00664814" w:rsidRPr="001F289A" w:rsidRDefault="00740A70" w:rsidP="00CE3D38">
      <w:pPr>
        <w:pStyle w:val="PointManual"/>
        <w:spacing w:before="0"/>
        <w:rPr>
          <w:rFonts w:eastAsia="Calibri"/>
        </w:rPr>
      </w:pPr>
      <w:r w:rsidRPr="001F289A">
        <w:t>4.</w:t>
      </w:r>
      <w:r w:rsidRPr="001F289A">
        <w:tab/>
        <w:t>Единен пазар на ЕС</w:t>
      </w:r>
    </w:p>
    <w:p w:rsidR="00664814" w:rsidRPr="001F289A" w:rsidRDefault="00286683" w:rsidP="00286683">
      <w:pPr>
        <w:pStyle w:val="PointManual1"/>
      </w:pPr>
      <w:r w:rsidRPr="00286683">
        <w:t>a)</w:t>
      </w:r>
      <w:r w:rsidRPr="00286683">
        <w:tab/>
      </w:r>
      <w:r w:rsidR="00740A70" w:rsidRPr="001F289A">
        <w:t>Съобщение на Комисията „Годишен обзор на растежа за 2015 г.“</w:t>
      </w:r>
    </w:p>
    <w:p w:rsidR="00740A70" w:rsidRPr="001F289A" w:rsidRDefault="00286683" w:rsidP="00286683">
      <w:pPr>
        <w:pStyle w:val="PointManual1"/>
      </w:pPr>
      <w:r>
        <w:t>б</w:t>
      </w:r>
      <w:r w:rsidRPr="00286683">
        <w:t>)</w:t>
      </w:r>
      <w:r w:rsidRPr="00286683">
        <w:tab/>
      </w:r>
      <w:r w:rsidR="00740A70" w:rsidRPr="001F289A">
        <w:t>Третият стълб на плана за инвестиции за Европа — по-добра инвестиционна среда</w:t>
      </w:r>
    </w:p>
    <w:p w:rsidR="00F95B52" w:rsidRPr="001F289A" w:rsidRDefault="00F95B52" w:rsidP="00CE3D38">
      <w:pPr>
        <w:pStyle w:val="Dash1"/>
      </w:pPr>
      <w:r w:rsidRPr="001F289A">
        <w:t>Представяне от Комисията</w:t>
      </w:r>
    </w:p>
    <w:p w:rsidR="00740A70" w:rsidRPr="001F289A" w:rsidRDefault="00740A70" w:rsidP="00CE3D38">
      <w:pPr>
        <w:pStyle w:val="Dash1"/>
      </w:pPr>
      <w:proofErr w:type="spellStart"/>
      <w:r w:rsidRPr="001F289A">
        <w:t>Ориентационен</w:t>
      </w:r>
      <w:proofErr w:type="spellEnd"/>
      <w:r w:rsidRPr="001F289A">
        <w:t xml:space="preserve"> дебат</w:t>
      </w:r>
    </w:p>
    <w:p w:rsidR="00CE3D38" w:rsidRPr="001F289A" w:rsidRDefault="00431667" w:rsidP="00226097">
      <w:pPr>
        <w:pStyle w:val="Text3"/>
        <w:tabs>
          <w:tab w:val="right" w:pos="9639"/>
        </w:tabs>
      </w:pPr>
      <w:r w:rsidRPr="001F289A">
        <w:t>15985/14 ECOFIN 1088 SOC 823 POLGEN 171 EMPL 177 EDUC 335</w:t>
      </w:r>
      <w:r w:rsidRPr="001F289A">
        <w:tab/>
        <w:t>(x)</w:t>
      </w:r>
    </w:p>
    <w:p w:rsidR="00431667" w:rsidRPr="001F289A" w:rsidRDefault="00431667" w:rsidP="00CE3D38">
      <w:pPr>
        <w:pStyle w:val="Text5"/>
      </w:pPr>
      <w:r w:rsidRPr="001F289A">
        <w:t>ENV 933 RECH 458 ENER 479 FISC 208 TELECOM 221</w:t>
      </w:r>
    </w:p>
    <w:p w:rsidR="00431667" w:rsidRPr="001F289A" w:rsidRDefault="00431667" w:rsidP="00226097">
      <w:pPr>
        <w:pStyle w:val="Text4"/>
        <w:tabs>
          <w:tab w:val="right" w:pos="9639"/>
        </w:tabs>
        <w:rPr>
          <w:bCs/>
        </w:rPr>
      </w:pPr>
      <w:r w:rsidRPr="001F289A">
        <w:t>+ REV 1 (</w:t>
      </w:r>
      <w:proofErr w:type="spellStart"/>
      <w:r w:rsidRPr="001F289A">
        <w:t>cs</w:t>
      </w:r>
      <w:proofErr w:type="spellEnd"/>
      <w:r w:rsidRPr="001F289A">
        <w:t>)</w:t>
      </w:r>
      <w:r w:rsidRPr="001F289A">
        <w:tab/>
        <w:t>(x)</w:t>
      </w:r>
    </w:p>
    <w:p w:rsidR="00CC71E6" w:rsidRPr="001F289A" w:rsidRDefault="00CC71E6" w:rsidP="00CC71E6">
      <w:pPr>
        <w:pStyle w:val="Text3"/>
      </w:pPr>
      <w:r w:rsidRPr="001F289A">
        <w:t>6117/1/15 COMPET 33 MI 78 ECOFIN 89 POLGEN 13 REV 1</w:t>
      </w:r>
    </w:p>
    <w:p w:rsidR="00F95B52" w:rsidRPr="001F289A" w:rsidRDefault="00F95B52" w:rsidP="00CE3D38">
      <w:pPr>
        <w:pStyle w:val="PointManual"/>
        <w:spacing w:before="0"/>
      </w:pPr>
    </w:p>
    <w:p w:rsidR="00740A70" w:rsidRPr="001F289A" w:rsidRDefault="00286683" w:rsidP="00286683">
      <w:pPr>
        <w:pStyle w:val="PointManual1"/>
      </w:pPr>
      <w:r>
        <w:t>в</w:t>
      </w:r>
      <w:r w:rsidRPr="00286683">
        <w:t>)</w:t>
      </w:r>
      <w:r w:rsidRPr="00286683">
        <w:tab/>
      </w:r>
      <w:r w:rsidR="00740A70" w:rsidRPr="001F289A">
        <w:t>Проект за заключения на Съвета относно политиката за единния пазар</w:t>
      </w:r>
    </w:p>
    <w:p w:rsidR="00664814" w:rsidRPr="001F289A" w:rsidRDefault="00740A70" w:rsidP="00CE3D38">
      <w:pPr>
        <w:pStyle w:val="Dash2"/>
      </w:pPr>
      <w:r w:rsidRPr="001F289A">
        <w:t>Приемане</w:t>
      </w:r>
    </w:p>
    <w:p w:rsidR="00740A70" w:rsidRPr="001F289A" w:rsidRDefault="00286CAC" w:rsidP="002255F4">
      <w:pPr>
        <w:pStyle w:val="Text3"/>
      </w:pPr>
      <w:r w:rsidRPr="001F289A">
        <w:t>6197/15 MI 82 COMPET 40 MAP 5 TELECOM 37</w:t>
      </w:r>
    </w:p>
    <w:p w:rsidR="00750B83" w:rsidRPr="001F289A" w:rsidRDefault="00750B83" w:rsidP="00CE3D38">
      <w:pPr>
        <w:pStyle w:val="PointManual"/>
        <w:spacing w:before="0"/>
        <w:rPr>
          <w:rFonts w:eastAsia="Calibri"/>
        </w:rPr>
      </w:pPr>
    </w:p>
    <w:p w:rsidR="00750B83" w:rsidRPr="001F289A" w:rsidRDefault="00750B83" w:rsidP="00CE3D38">
      <w:pPr>
        <w:pStyle w:val="PointManual"/>
        <w:spacing w:before="0"/>
        <w:rPr>
          <w:rFonts w:eastAsia="Calibri"/>
        </w:rPr>
      </w:pPr>
    </w:p>
    <w:p w:rsidR="00750B83" w:rsidRPr="001F289A" w:rsidRDefault="00750B83" w:rsidP="00CE3D38">
      <w:pPr>
        <w:pStyle w:val="PointManual"/>
        <w:spacing w:before="0"/>
        <w:rPr>
          <w:rFonts w:eastAsia="Calibri"/>
        </w:rPr>
      </w:pPr>
    </w:p>
    <w:p w:rsidR="00664814" w:rsidRPr="001F289A" w:rsidRDefault="00E77498" w:rsidP="00CE3D38">
      <w:pPr>
        <w:pStyle w:val="PointManual"/>
        <w:spacing w:before="0"/>
        <w:rPr>
          <w:rFonts w:eastAsia="Calibri"/>
        </w:rPr>
      </w:pPr>
      <w:r w:rsidRPr="001F289A">
        <w:t>5.</w:t>
      </w:r>
      <w:r w:rsidRPr="001F289A">
        <w:tab/>
        <w:t>Конкурентоспособност на промишлеността в ЕС</w:t>
      </w:r>
    </w:p>
    <w:p w:rsidR="00740A70" w:rsidRPr="001F289A" w:rsidRDefault="00286683" w:rsidP="00286683">
      <w:pPr>
        <w:pStyle w:val="PointManual1"/>
      </w:pPr>
      <w:r w:rsidRPr="00286683">
        <w:t>a)</w:t>
      </w:r>
      <w:r w:rsidRPr="00286683">
        <w:tab/>
      </w:r>
      <w:r w:rsidR="00740A70" w:rsidRPr="001F289A">
        <w:t>Съобщение на Комисията „Годишен обзор на растежа за 2015 г.“</w:t>
      </w:r>
    </w:p>
    <w:p w:rsidR="00740A70" w:rsidRPr="001F289A" w:rsidRDefault="00286683" w:rsidP="00286683">
      <w:pPr>
        <w:pStyle w:val="PointManual1"/>
      </w:pPr>
      <w:r>
        <w:t>б</w:t>
      </w:r>
      <w:r w:rsidRPr="00286683">
        <w:t>)</w:t>
      </w:r>
      <w:r w:rsidRPr="00286683">
        <w:tab/>
      </w:r>
      <w:r w:rsidR="00740A70" w:rsidRPr="001F289A">
        <w:t>Индустриалната политика в рамките на бъдещата стратегия за цифровия единен пазар</w:t>
      </w:r>
    </w:p>
    <w:p w:rsidR="00F95B52" w:rsidRPr="001F289A" w:rsidRDefault="00F95B52" w:rsidP="00CE3D38">
      <w:pPr>
        <w:pStyle w:val="Dash1"/>
      </w:pPr>
      <w:r w:rsidRPr="001F289A">
        <w:t>Представяне от Комисията</w:t>
      </w:r>
    </w:p>
    <w:p w:rsidR="00740A70" w:rsidRPr="001F289A" w:rsidRDefault="00740A70" w:rsidP="00CE3D38">
      <w:pPr>
        <w:pStyle w:val="Dash1"/>
      </w:pPr>
      <w:proofErr w:type="spellStart"/>
      <w:r w:rsidRPr="001F289A">
        <w:t>Ориентационен</w:t>
      </w:r>
      <w:proofErr w:type="spellEnd"/>
      <w:r w:rsidRPr="001F289A">
        <w:t xml:space="preserve"> дебат</w:t>
      </w:r>
    </w:p>
    <w:p w:rsidR="00CE3D38" w:rsidRPr="001F289A" w:rsidRDefault="00F13D70" w:rsidP="00226097">
      <w:pPr>
        <w:pStyle w:val="Text3"/>
        <w:tabs>
          <w:tab w:val="right" w:pos="9639"/>
        </w:tabs>
        <w:rPr>
          <w:rFonts w:eastAsia="Calibri"/>
        </w:rPr>
      </w:pPr>
      <w:r w:rsidRPr="001F289A">
        <w:t>15985/14 ECOFIN 1088 SOC 823 POLGEN 171 EMPL 177 EDUC 335</w:t>
      </w:r>
      <w:r w:rsidRPr="001F289A">
        <w:tab/>
        <w:t>(x)</w:t>
      </w:r>
    </w:p>
    <w:p w:rsidR="001E3F22" w:rsidRPr="001F289A" w:rsidRDefault="00F13D70" w:rsidP="00CE3D38">
      <w:pPr>
        <w:pStyle w:val="Text5"/>
        <w:rPr>
          <w:rFonts w:eastAsia="Calibri"/>
        </w:rPr>
      </w:pPr>
      <w:r w:rsidRPr="001F289A">
        <w:t>ENV 933 RECH 458 ENER 479 FISC 208 TELECOM 221</w:t>
      </w:r>
    </w:p>
    <w:p w:rsidR="00F13D70" w:rsidRPr="001F289A" w:rsidRDefault="00F13D70" w:rsidP="00226097">
      <w:pPr>
        <w:pStyle w:val="Text4"/>
        <w:tabs>
          <w:tab w:val="right" w:pos="9639"/>
        </w:tabs>
        <w:rPr>
          <w:rFonts w:eastAsia="Calibri"/>
        </w:rPr>
      </w:pPr>
      <w:r w:rsidRPr="001F289A">
        <w:t>+ REV 1 (</w:t>
      </w:r>
      <w:proofErr w:type="spellStart"/>
      <w:r w:rsidRPr="001F289A">
        <w:t>cs</w:t>
      </w:r>
      <w:proofErr w:type="spellEnd"/>
      <w:r w:rsidRPr="001F289A">
        <w:t>)</w:t>
      </w:r>
      <w:r w:rsidRPr="001F289A">
        <w:tab/>
        <w:t>(x)</w:t>
      </w:r>
    </w:p>
    <w:p w:rsidR="00A55FD1" w:rsidRPr="001F289A" w:rsidRDefault="00A55FD1" w:rsidP="00A55FD1">
      <w:pPr>
        <w:pStyle w:val="Text3"/>
      </w:pPr>
      <w:r w:rsidRPr="001F289A">
        <w:t>6019/15 IND 15 COMPET 29 TELECOM 28</w:t>
      </w:r>
    </w:p>
    <w:p w:rsidR="008C77F3" w:rsidRPr="001F289A" w:rsidRDefault="008C77F3" w:rsidP="008C77F3">
      <w:pPr>
        <w:pStyle w:val="Text4"/>
      </w:pPr>
      <w:r w:rsidRPr="001F289A">
        <w:t>+ COR 1</w:t>
      </w:r>
    </w:p>
    <w:p w:rsidR="00B259BA" w:rsidRPr="001F289A" w:rsidRDefault="00B259BA" w:rsidP="00CE3D38">
      <w:pPr>
        <w:pStyle w:val="PointManual"/>
        <w:spacing w:before="0"/>
        <w:rPr>
          <w:rFonts w:eastAsia="Calibri"/>
        </w:rPr>
      </w:pPr>
    </w:p>
    <w:p w:rsidR="00750B83" w:rsidRPr="001F289A" w:rsidRDefault="00750B83" w:rsidP="00CE3D38">
      <w:pPr>
        <w:rPr>
          <w:b/>
          <w:bCs/>
          <w:color w:val="000000"/>
          <w:u w:val="single"/>
        </w:rPr>
      </w:pPr>
      <w:r w:rsidRPr="001F289A">
        <w:br w:type="page"/>
      </w:r>
    </w:p>
    <w:p w:rsidR="00E77498" w:rsidRPr="001F289A" w:rsidRDefault="00E77498" w:rsidP="00CE3D38">
      <w:pPr>
        <w:rPr>
          <w:b/>
          <w:bCs/>
          <w:color w:val="000000"/>
          <w:u w:val="single"/>
        </w:rPr>
      </w:pPr>
      <w:r w:rsidRPr="001F289A">
        <w:rPr>
          <w:b/>
          <w:color w:val="000000"/>
          <w:u w:val="single"/>
        </w:rPr>
        <w:t>Други въпроси</w:t>
      </w:r>
    </w:p>
    <w:p w:rsidR="00E77498" w:rsidRPr="001F289A" w:rsidRDefault="00E77498" w:rsidP="00CE3D38">
      <w:pPr>
        <w:rPr>
          <w:b/>
          <w:bCs/>
          <w:iCs/>
          <w:color w:val="000000"/>
        </w:rPr>
      </w:pPr>
    </w:p>
    <w:p w:rsidR="00E77498" w:rsidRPr="001F289A" w:rsidRDefault="005A73E5" w:rsidP="00CE3D38">
      <w:pPr>
        <w:rPr>
          <w:u w:val="single"/>
        </w:rPr>
      </w:pPr>
      <w:r w:rsidRPr="001F289A">
        <w:rPr>
          <w:color w:val="000000"/>
        </w:rPr>
        <w:t>6.</w:t>
      </w:r>
      <w:r w:rsidRPr="001F289A">
        <w:tab/>
      </w:r>
      <w:r w:rsidRPr="001F289A">
        <w:rPr>
          <w:u w:val="single"/>
        </w:rPr>
        <w:t>Вътрешен пазар и промишленост</w:t>
      </w:r>
    </w:p>
    <w:p w:rsidR="00750B83" w:rsidRPr="001F289A" w:rsidRDefault="00750B83" w:rsidP="007D42D4">
      <w:pPr>
        <w:rPr>
          <w:rStyle w:val="PointManual1Char"/>
        </w:rPr>
      </w:pPr>
    </w:p>
    <w:p w:rsidR="00E77498" w:rsidRPr="001F289A" w:rsidRDefault="00E3107C" w:rsidP="007D42D4">
      <w:pPr>
        <w:pStyle w:val="PointManual1"/>
      </w:pPr>
      <w:r w:rsidRPr="001F289A">
        <w:rPr>
          <w:rStyle w:val="PointManual1Char"/>
        </w:rPr>
        <w:t>а)</w:t>
      </w:r>
      <w:r w:rsidRPr="001F289A">
        <w:tab/>
        <w:t>Резултати от проектите на водещите държави за подобряване на единния пазар</w:t>
      </w:r>
    </w:p>
    <w:p w:rsidR="00E77498" w:rsidRPr="001F289A" w:rsidRDefault="00E77498" w:rsidP="00CE3D38">
      <w:pPr>
        <w:pStyle w:val="Dash2"/>
      </w:pPr>
      <w:r w:rsidRPr="001F289A">
        <w:t>Информация от делегациите на Дания, Нидерландия, Швеция и Обединеното кралство</w:t>
      </w:r>
    </w:p>
    <w:p w:rsidR="00E77498" w:rsidRPr="001F289A" w:rsidRDefault="008963BB" w:rsidP="008963BB">
      <w:pPr>
        <w:pStyle w:val="Text3"/>
      </w:pPr>
      <w:r w:rsidRPr="001F289A">
        <w:t>6198/1/15 COMPET 41 MI 83 REV 1</w:t>
      </w:r>
    </w:p>
    <w:p w:rsidR="008963BB" w:rsidRPr="001F289A" w:rsidRDefault="008963BB" w:rsidP="00CE3D38"/>
    <w:p w:rsidR="00E77498" w:rsidRPr="001F289A" w:rsidRDefault="00E3107C" w:rsidP="007D42D4">
      <w:pPr>
        <w:pStyle w:val="PointManual1"/>
      </w:pPr>
      <w:r w:rsidRPr="001F289A">
        <w:rPr>
          <w:rStyle w:val="PointManual1Char"/>
        </w:rPr>
        <w:t>б)</w:t>
      </w:r>
      <w:r w:rsidRPr="001F289A">
        <w:tab/>
        <w:t>Новости във връзка с изискванията за прозрачност в директивата за счетоводството</w:t>
      </w:r>
    </w:p>
    <w:p w:rsidR="00E77498" w:rsidRPr="001F289A" w:rsidRDefault="00E77498" w:rsidP="00CE3D38">
      <w:pPr>
        <w:pStyle w:val="Dash2"/>
      </w:pPr>
      <w:r w:rsidRPr="001F289A">
        <w:t>Информация от делегацията на Нидерландия</w:t>
      </w:r>
    </w:p>
    <w:p w:rsidR="00EF4411" w:rsidRPr="001F289A" w:rsidRDefault="00EF4411" w:rsidP="00750B83">
      <w:pPr>
        <w:pStyle w:val="Text3"/>
      </w:pPr>
      <w:r w:rsidRPr="001F289A">
        <w:t>6399/15 COMPET 52</w:t>
      </w:r>
    </w:p>
    <w:p w:rsidR="00E3107C" w:rsidRPr="001F289A" w:rsidRDefault="00E3107C" w:rsidP="00E3107C"/>
    <w:p w:rsidR="00F05A0C" w:rsidRPr="001F289A" w:rsidRDefault="00F05A0C" w:rsidP="007D42D4">
      <w:pPr>
        <w:pStyle w:val="PointManual1"/>
      </w:pPr>
      <w:r w:rsidRPr="001F289A">
        <w:rPr>
          <w:rStyle w:val="PointManual1Char"/>
        </w:rPr>
        <w:t>в)</w:t>
      </w:r>
      <w:r w:rsidRPr="001F289A">
        <w:tab/>
        <w:t>План за инвестиции за Европа</w:t>
      </w:r>
    </w:p>
    <w:p w:rsidR="00F05A0C" w:rsidRPr="001F289A" w:rsidRDefault="00F05A0C" w:rsidP="00F05A0C">
      <w:pPr>
        <w:pStyle w:val="Dash2"/>
      </w:pPr>
      <w:r w:rsidRPr="001F289A">
        <w:t>Информация от делегацията на Франция</w:t>
      </w:r>
    </w:p>
    <w:p w:rsidR="00F05A0C" w:rsidRPr="001F289A" w:rsidRDefault="00F05A0C" w:rsidP="00750B83">
      <w:pPr>
        <w:pStyle w:val="Text3"/>
      </w:pPr>
      <w:r w:rsidRPr="001F289A">
        <w:t>6321/15 COMPET 45 IND 21 MI 95 ECOFIN 115</w:t>
      </w:r>
    </w:p>
    <w:p w:rsidR="00F05A0C" w:rsidRPr="001F289A" w:rsidRDefault="00F05A0C" w:rsidP="00E3107C"/>
    <w:p w:rsidR="00E3107C" w:rsidRPr="001F289A" w:rsidRDefault="00F05A0C" w:rsidP="00E3107C">
      <w:pPr>
        <w:pStyle w:val="PointManual1"/>
        <w:rPr>
          <w:b/>
          <w:bCs/>
          <w:i/>
        </w:rPr>
      </w:pPr>
      <w:r w:rsidRPr="001F289A">
        <w:t>г)</w:t>
      </w:r>
      <w:r w:rsidRPr="001F289A">
        <w:tab/>
        <w:t>Актуална информация за обществената консултация относно законодателния акт за малкия бизнес в Европа — с оглед на бъдещата политика за малките и средните предприятия</w:t>
      </w:r>
    </w:p>
    <w:p w:rsidR="00E3107C" w:rsidRPr="001F289A" w:rsidRDefault="00E3107C" w:rsidP="00E3107C">
      <w:pPr>
        <w:pStyle w:val="Dash2"/>
        <w:rPr>
          <w:b/>
        </w:rPr>
      </w:pPr>
      <w:r w:rsidRPr="001F289A">
        <w:t>Представяне от Комисията</w:t>
      </w:r>
    </w:p>
    <w:p w:rsidR="00E3107C" w:rsidRPr="001F289A" w:rsidRDefault="00E3107C" w:rsidP="00E3107C">
      <w:pPr>
        <w:rPr>
          <w:b/>
          <w:bCs/>
          <w:color w:val="000000"/>
          <w:u w:val="single"/>
        </w:rPr>
      </w:pPr>
    </w:p>
    <w:p w:rsidR="00E3107C" w:rsidRPr="001F289A" w:rsidRDefault="00F05A0C" w:rsidP="00E3107C">
      <w:pPr>
        <w:pStyle w:val="PointManual1"/>
      </w:pPr>
      <w:r w:rsidRPr="001F289A">
        <w:t>д)</w:t>
      </w:r>
      <w:r w:rsidRPr="001F289A">
        <w:tab/>
        <w:t>Енергиен съюз</w:t>
      </w:r>
    </w:p>
    <w:p w:rsidR="00E3107C" w:rsidRPr="001F289A" w:rsidRDefault="00E3107C" w:rsidP="00E3107C">
      <w:pPr>
        <w:pStyle w:val="Dash2"/>
      </w:pPr>
      <w:r w:rsidRPr="001F289A">
        <w:t>Информация от Комисията</w:t>
      </w:r>
    </w:p>
    <w:p w:rsidR="00664814" w:rsidRPr="001F289A" w:rsidRDefault="0082208B" w:rsidP="00C9168C">
      <w:pPr>
        <w:pStyle w:val="Text3"/>
      </w:pPr>
      <w:r w:rsidRPr="001F289A">
        <w:t>6594/15 ENER 50 CLIMA 20 AGRI 83 COMPET 66 TRANS 64 ENV 97</w:t>
      </w:r>
    </w:p>
    <w:p w:rsidR="0082208B" w:rsidRPr="001F289A" w:rsidRDefault="0082208B" w:rsidP="00C9168C">
      <w:pPr>
        <w:pStyle w:val="Text5"/>
      </w:pPr>
      <w:r w:rsidRPr="001F289A">
        <w:t>ECOFIN 141 RELEX 164 TELECOM 56 CONSOM 39</w:t>
      </w:r>
    </w:p>
    <w:p w:rsidR="00EF4411" w:rsidRPr="001F289A" w:rsidRDefault="00EF4411" w:rsidP="00E3107C">
      <w:pPr>
        <w:suppressAutoHyphens/>
        <w:rPr>
          <w:rFonts w:eastAsia="Calibri" w:cs="Arial"/>
          <w:b/>
          <w:u w:val="single"/>
        </w:rPr>
      </w:pPr>
    </w:p>
    <w:p w:rsidR="00EF4411" w:rsidRPr="001F289A" w:rsidRDefault="00750B83" w:rsidP="00E3107C">
      <w:pPr>
        <w:suppressAutoHyphens/>
        <w:rPr>
          <w:rFonts w:eastAsia="Calibri" w:cs="Arial"/>
          <w:b/>
          <w:u w:val="single"/>
        </w:rPr>
      </w:pPr>
      <w:r w:rsidRPr="001F289A">
        <w:br w:type="page"/>
      </w:r>
    </w:p>
    <w:p w:rsidR="00750B83" w:rsidRPr="001F289A" w:rsidRDefault="00750B83" w:rsidP="00E3107C">
      <w:pPr>
        <w:suppressAutoHyphens/>
        <w:rPr>
          <w:rFonts w:eastAsia="Calibri" w:cs="Arial"/>
          <w:b/>
          <w:u w:val="single"/>
        </w:rPr>
      </w:pPr>
    </w:p>
    <w:p w:rsidR="00E77498" w:rsidRPr="001F289A" w:rsidRDefault="00E77498" w:rsidP="00E3107C">
      <w:pPr>
        <w:suppressAutoHyphens/>
        <w:rPr>
          <w:rFonts w:eastAsia="Calibri" w:cs="Arial"/>
          <w:b/>
          <w:u w:val="single"/>
        </w:rPr>
      </w:pPr>
      <w:r w:rsidRPr="001F289A">
        <w:rPr>
          <w:b/>
          <w:u w:val="single"/>
        </w:rPr>
        <w:t>ВТОРНИК, 3 МАРТ 2015 г. (10,00 ч.)</w:t>
      </w:r>
    </w:p>
    <w:p w:rsidR="00E77498" w:rsidRPr="001F289A" w:rsidRDefault="00E77498" w:rsidP="007D42D4">
      <w:pPr>
        <w:jc w:val="both"/>
        <w:rPr>
          <w:rFonts w:eastAsia="Calibri" w:cs="Arial"/>
          <w:b/>
          <w:u w:val="single"/>
        </w:rPr>
      </w:pPr>
    </w:p>
    <w:p w:rsidR="005E1DD6" w:rsidRPr="001F289A" w:rsidRDefault="005E1DD6" w:rsidP="00CE3D38">
      <w:pPr>
        <w:suppressAutoHyphens/>
        <w:rPr>
          <w:color w:val="000000"/>
          <w:u w:val="single"/>
        </w:rPr>
      </w:pPr>
    </w:p>
    <w:p w:rsidR="00E77498" w:rsidRPr="001F289A" w:rsidRDefault="00E77498" w:rsidP="00CE3D38">
      <w:pPr>
        <w:suppressAutoHyphens/>
        <w:rPr>
          <w:color w:val="000000"/>
          <w:u w:val="single"/>
        </w:rPr>
      </w:pPr>
      <w:r w:rsidRPr="001F289A">
        <w:rPr>
          <w:color w:val="000000"/>
          <w:u w:val="single"/>
        </w:rPr>
        <w:t>НАУЧНИ ИЗСЛЕДВАНИЯ</w:t>
      </w:r>
    </w:p>
    <w:p w:rsidR="00E77498" w:rsidRPr="001F289A" w:rsidRDefault="00E77498" w:rsidP="00CE3D38">
      <w:pPr>
        <w:suppressAutoHyphens/>
        <w:rPr>
          <w:color w:val="000000"/>
          <w:u w:val="single"/>
        </w:rPr>
      </w:pPr>
    </w:p>
    <w:p w:rsidR="00CE3D38" w:rsidRPr="001F289A" w:rsidRDefault="00CE3D38" w:rsidP="00CE3D38">
      <w:pPr>
        <w:suppressAutoHyphens/>
        <w:rPr>
          <w:color w:val="000000"/>
          <w:u w:val="single"/>
        </w:rPr>
      </w:pPr>
    </w:p>
    <w:p w:rsidR="00E77498" w:rsidRPr="001F289A" w:rsidRDefault="00E77498" w:rsidP="00CE3D38">
      <w:pPr>
        <w:rPr>
          <w:b/>
          <w:bCs/>
          <w:color w:val="000000"/>
          <w:u w:val="single"/>
        </w:rPr>
      </w:pPr>
      <w:r w:rsidRPr="001F289A">
        <w:rPr>
          <w:b/>
          <w:color w:val="000000"/>
          <w:u w:val="single"/>
        </w:rPr>
        <w:t>Незаконодателни дейности</w:t>
      </w:r>
    </w:p>
    <w:p w:rsidR="00E77498" w:rsidRPr="001F289A" w:rsidRDefault="00E77498" w:rsidP="007D42D4">
      <w:pPr>
        <w:rPr>
          <w:color w:val="000000"/>
        </w:rPr>
      </w:pPr>
    </w:p>
    <w:p w:rsidR="005E1DD6" w:rsidRPr="001F289A" w:rsidRDefault="005E1DD6" w:rsidP="007D42D4">
      <w:pPr>
        <w:rPr>
          <w:color w:val="000000"/>
        </w:rPr>
      </w:pPr>
    </w:p>
    <w:p w:rsidR="00E77498" w:rsidRPr="001F289A" w:rsidRDefault="005A73E5" w:rsidP="007D42D4">
      <w:pPr>
        <w:pStyle w:val="PointManual"/>
      </w:pPr>
      <w:r w:rsidRPr="001F289A">
        <w:t>7.</w:t>
      </w:r>
      <w:r w:rsidRPr="001F289A">
        <w:tab/>
        <w:t>Създаване на взаимно укрепващи се и устойчиви връзки между действията за стимулиране на иновациите и тези, които освобождават потенциала на Европа за растеж, в европейското научноизследователско пространство</w:t>
      </w:r>
    </w:p>
    <w:p w:rsidR="00E77498" w:rsidRPr="001F289A" w:rsidRDefault="0048080D" w:rsidP="0048080D">
      <w:pPr>
        <w:pStyle w:val="PointManual1"/>
      </w:pPr>
      <w:r w:rsidRPr="0048080D">
        <w:t>a)</w:t>
      </w:r>
      <w:r w:rsidRPr="0048080D">
        <w:tab/>
      </w:r>
      <w:r w:rsidR="00E77498" w:rsidRPr="001F289A">
        <w:t>Съобщение на Комисията „Годишен обзор на растежа за 2015 г.“</w:t>
      </w:r>
    </w:p>
    <w:p w:rsidR="00E77498" w:rsidRPr="001F289A" w:rsidRDefault="0048080D" w:rsidP="0048080D">
      <w:pPr>
        <w:pStyle w:val="PointManual1"/>
      </w:pPr>
      <w:r>
        <w:t>б</w:t>
      </w:r>
      <w:r w:rsidRPr="0048080D">
        <w:t>)</w:t>
      </w:r>
      <w:r w:rsidRPr="0048080D">
        <w:tab/>
      </w:r>
      <w:r w:rsidR="00E77498" w:rsidRPr="001F289A">
        <w:t>План за инвестиции за Европа в областта на научните изследвания и иновациите</w:t>
      </w:r>
    </w:p>
    <w:p w:rsidR="00E77498" w:rsidRPr="001F289A" w:rsidRDefault="00E77498" w:rsidP="00CE3D38">
      <w:pPr>
        <w:pStyle w:val="Dash1"/>
      </w:pPr>
      <w:r w:rsidRPr="001F289A">
        <w:t>Представяне от Комисията</w:t>
      </w:r>
    </w:p>
    <w:p w:rsidR="00E77498" w:rsidRPr="001F289A" w:rsidRDefault="00E77498" w:rsidP="00CE3D38">
      <w:pPr>
        <w:pStyle w:val="Dash1"/>
      </w:pPr>
      <w:proofErr w:type="spellStart"/>
      <w:r w:rsidRPr="001F289A">
        <w:t>Ориентационен</w:t>
      </w:r>
      <w:proofErr w:type="spellEnd"/>
      <w:r w:rsidRPr="001F289A">
        <w:t xml:space="preserve"> дебат</w:t>
      </w:r>
    </w:p>
    <w:p w:rsidR="00B46DA0" w:rsidRPr="001F289A" w:rsidRDefault="00F13D70" w:rsidP="007B3489">
      <w:pPr>
        <w:pStyle w:val="Text3"/>
        <w:tabs>
          <w:tab w:val="right" w:pos="9639"/>
        </w:tabs>
      </w:pPr>
      <w:r w:rsidRPr="001F289A">
        <w:t>15985/14 ECOFIN 1088 SOC 823 POLGEN 171 EMPL 177 EDUC 335</w:t>
      </w:r>
      <w:r w:rsidRPr="001F289A">
        <w:tab/>
        <w:t>(x)</w:t>
      </w:r>
    </w:p>
    <w:p w:rsidR="00100EDB" w:rsidRPr="001F289A" w:rsidRDefault="00F13D70" w:rsidP="00CE3D38">
      <w:pPr>
        <w:pStyle w:val="Text5"/>
      </w:pPr>
      <w:r w:rsidRPr="001F289A">
        <w:t>ENV 933 RECH 458 ENER 479 FISC 208 TELECOM 221</w:t>
      </w:r>
    </w:p>
    <w:p w:rsidR="00F13D70" w:rsidRPr="001F289A" w:rsidRDefault="00F13D70" w:rsidP="007B3489">
      <w:pPr>
        <w:pStyle w:val="Text4"/>
        <w:tabs>
          <w:tab w:val="right" w:pos="9639"/>
        </w:tabs>
      </w:pPr>
      <w:r w:rsidRPr="001F289A">
        <w:t>+ REV 1 (</w:t>
      </w:r>
      <w:proofErr w:type="spellStart"/>
      <w:r w:rsidRPr="001F289A">
        <w:t>cs</w:t>
      </w:r>
      <w:proofErr w:type="spellEnd"/>
      <w:r w:rsidRPr="001F289A">
        <w:t>)</w:t>
      </w:r>
      <w:r w:rsidRPr="001F289A">
        <w:tab/>
        <w:t>(x)</w:t>
      </w:r>
    </w:p>
    <w:p w:rsidR="005E74E3" w:rsidRPr="001F289A" w:rsidRDefault="005E74E3" w:rsidP="005E74E3">
      <w:pPr>
        <w:pStyle w:val="Text3"/>
      </w:pPr>
      <w:r w:rsidRPr="001F289A">
        <w:t>6024/15 RECH 20 IND 17 COMPET 31 ECOFIN 104</w:t>
      </w:r>
    </w:p>
    <w:p w:rsidR="00CE3D38" w:rsidRPr="001F289A" w:rsidRDefault="00CE3D38" w:rsidP="00CE3D38">
      <w:pPr>
        <w:tabs>
          <w:tab w:val="left" w:pos="567"/>
        </w:tabs>
        <w:rPr>
          <w:color w:val="000000"/>
        </w:rPr>
      </w:pPr>
    </w:p>
    <w:p w:rsidR="00750B83" w:rsidRPr="001F289A" w:rsidRDefault="00750B83" w:rsidP="00CE3D38">
      <w:pPr>
        <w:tabs>
          <w:tab w:val="left" w:pos="567"/>
        </w:tabs>
        <w:rPr>
          <w:color w:val="000000"/>
        </w:rPr>
      </w:pPr>
    </w:p>
    <w:p w:rsidR="00CE3D38" w:rsidRPr="001F289A" w:rsidRDefault="00CE3D38" w:rsidP="00CE3D38">
      <w:pPr>
        <w:tabs>
          <w:tab w:val="left" w:pos="567"/>
        </w:tabs>
        <w:rPr>
          <w:color w:val="000000"/>
        </w:rPr>
      </w:pPr>
    </w:p>
    <w:p w:rsidR="00E77498" w:rsidRPr="001F289A" w:rsidRDefault="005A73E5" w:rsidP="007D42D4">
      <w:pPr>
        <w:pStyle w:val="PointManual"/>
      </w:pPr>
      <w:r w:rsidRPr="001F289A">
        <w:t>8.</w:t>
      </w:r>
      <w:r w:rsidRPr="001F289A">
        <w:tab/>
        <w:t>Освобождаване на цифровия потенциал на Европа: по-бързи и по-широки иновации посредством отворени, свързани в мрежа и основани на интензивно използване на данни научни изследвания</w:t>
      </w:r>
    </w:p>
    <w:p w:rsidR="00E77498" w:rsidRPr="001F289A" w:rsidRDefault="00E77498" w:rsidP="007D42D4">
      <w:pPr>
        <w:pStyle w:val="Text1"/>
      </w:pPr>
      <w:r w:rsidRPr="001F289A">
        <w:t>Съобщение на Комисията „Към просперираща икономика, основана на данни“</w:t>
      </w:r>
    </w:p>
    <w:p w:rsidR="00E77498" w:rsidRPr="001F289A" w:rsidRDefault="00E77498" w:rsidP="00CE3D38">
      <w:pPr>
        <w:pStyle w:val="Dash1"/>
        <w:rPr>
          <w:strike/>
        </w:rPr>
      </w:pPr>
      <w:proofErr w:type="spellStart"/>
      <w:r w:rsidRPr="001F289A">
        <w:t>Ориентационен</w:t>
      </w:r>
      <w:proofErr w:type="spellEnd"/>
      <w:r w:rsidRPr="001F289A">
        <w:t xml:space="preserve"> дебат</w:t>
      </w:r>
    </w:p>
    <w:p w:rsidR="00CE3D38" w:rsidRPr="001F289A" w:rsidRDefault="00100EDB" w:rsidP="007B3489">
      <w:pPr>
        <w:pStyle w:val="Text3"/>
        <w:tabs>
          <w:tab w:val="right" w:pos="9639"/>
        </w:tabs>
      </w:pPr>
      <w:r w:rsidRPr="001F289A">
        <w:t>11603/14 RECH 323 TELECOM 140 MI 521 DATAPROTECT 100</w:t>
      </w:r>
      <w:r w:rsidRPr="001F289A">
        <w:tab/>
        <w:t>(x)</w:t>
      </w:r>
    </w:p>
    <w:p w:rsidR="00664814" w:rsidRPr="001F289A" w:rsidRDefault="00100EDB" w:rsidP="00CE3D38">
      <w:pPr>
        <w:pStyle w:val="Text5"/>
      </w:pPr>
      <w:r w:rsidRPr="001F289A">
        <w:t>COMPET 440</w:t>
      </w:r>
    </w:p>
    <w:p w:rsidR="00100EDB" w:rsidRPr="001F289A" w:rsidRDefault="00100EDB" w:rsidP="007B3489">
      <w:pPr>
        <w:pStyle w:val="Text4"/>
        <w:tabs>
          <w:tab w:val="right" w:pos="9639"/>
        </w:tabs>
      </w:pPr>
      <w:r w:rsidRPr="001F289A">
        <w:t>+ COR 1</w:t>
      </w:r>
      <w:r w:rsidRPr="001F289A">
        <w:tab/>
        <w:t>(x)</w:t>
      </w:r>
    </w:p>
    <w:p w:rsidR="005E74E3" w:rsidRPr="001F289A" w:rsidRDefault="005E74E3" w:rsidP="00220C3D">
      <w:pPr>
        <w:pStyle w:val="Text3"/>
      </w:pPr>
      <w:r w:rsidRPr="001F289A">
        <w:t>6022/15 RECH 19 TELECOM 29 COMPET 30 IND 16</w:t>
      </w:r>
    </w:p>
    <w:p w:rsidR="00CE3D38" w:rsidRPr="001F289A" w:rsidRDefault="00CE3D38" w:rsidP="00CE3D38">
      <w:pPr>
        <w:tabs>
          <w:tab w:val="left" w:pos="567"/>
        </w:tabs>
        <w:rPr>
          <w:bCs/>
          <w:iCs/>
          <w:color w:val="000000"/>
        </w:rPr>
      </w:pPr>
    </w:p>
    <w:p w:rsidR="00750B83" w:rsidRPr="001F289A" w:rsidRDefault="00750B83" w:rsidP="00CE3D38">
      <w:pPr>
        <w:tabs>
          <w:tab w:val="left" w:pos="567"/>
        </w:tabs>
        <w:rPr>
          <w:bCs/>
          <w:iCs/>
          <w:color w:val="000000"/>
        </w:rPr>
      </w:pPr>
      <w:r w:rsidRPr="001F289A">
        <w:br w:type="page"/>
      </w:r>
    </w:p>
    <w:p w:rsidR="00B259BA" w:rsidRPr="001F289A" w:rsidRDefault="00B259BA" w:rsidP="00CE3D38">
      <w:pPr>
        <w:tabs>
          <w:tab w:val="left" w:pos="567"/>
        </w:tabs>
        <w:rPr>
          <w:bCs/>
          <w:iCs/>
          <w:color w:val="000000"/>
        </w:rPr>
      </w:pPr>
    </w:p>
    <w:p w:rsidR="00E77498" w:rsidRPr="001F289A" w:rsidRDefault="00E77498" w:rsidP="00CE3D38">
      <w:pPr>
        <w:rPr>
          <w:b/>
          <w:bCs/>
          <w:iCs/>
          <w:color w:val="000000"/>
          <w:u w:val="single"/>
        </w:rPr>
      </w:pPr>
      <w:r w:rsidRPr="001F289A">
        <w:rPr>
          <w:b/>
          <w:color w:val="000000"/>
          <w:u w:val="single"/>
        </w:rPr>
        <w:t>Други въпроси</w:t>
      </w:r>
    </w:p>
    <w:p w:rsidR="00E77498" w:rsidRPr="001F289A" w:rsidRDefault="00E77498" w:rsidP="00CE3D38">
      <w:pPr>
        <w:tabs>
          <w:tab w:val="left" w:pos="567"/>
        </w:tabs>
        <w:rPr>
          <w:iCs/>
          <w:color w:val="000000"/>
        </w:rPr>
      </w:pPr>
    </w:p>
    <w:p w:rsidR="00011DCA" w:rsidRPr="001F289A" w:rsidRDefault="005A73E5" w:rsidP="00CE3D38">
      <w:pPr>
        <w:pStyle w:val="PointManual"/>
        <w:spacing w:before="0"/>
        <w:rPr>
          <w:u w:val="single"/>
        </w:rPr>
      </w:pPr>
      <w:r w:rsidRPr="001F289A">
        <w:t>9.</w:t>
      </w:r>
      <w:r w:rsidRPr="001F289A">
        <w:tab/>
      </w:r>
      <w:r w:rsidRPr="001F289A">
        <w:rPr>
          <w:u w:val="single"/>
        </w:rPr>
        <w:t>Научни изследвания</w:t>
      </w:r>
    </w:p>
    <w:p w:rsidR="00750B83" w:rsidRPr="001F289A" w:rsidRDefault="00750B83" w:rsidP="00011DCA">
      <w:pPr>
        <w:pStyle w:val="PointManual1"/>
      </w:pPr>
    </w:p>
    <w:p w:rsidR="00E77498" w:rsidRPr="001F289A" w:rsidRDefault="00E77498" w:rsidP="00011DCA">
      <w:pPr>
        <w:pStyle w:val="PointManual1"/>
      </w:pPr>
      <w:r w:rsidRPr="001F289A">
        <w:t>а)</w:t>
      </w:r>
      <w:r w:rsidRPr="001F289A">
        <w:tab/>
        <w:t>Пътна карта за европейското научноизследователско пространство и неговото управление</w:t>
      </w:r>
    </w:p>
    <w:p w:rsidR="00E77498" w:rsidRPr="001F289A" w:rsidRDefault="00E77498" w:rsidP="00CE3D38">
      <w:pPr>
        <w:pStyle w:val="Dash2"/>
        <w:rPr>
          <w:b/>
          <w:i/>
        </w:rPr>
      </w:pPr>
      <w:r w:rsidRPr="001F289A">
        <w:t>Информация от Комисията и председателството относно актуалното състояние</w:t>
      </w:r>
    </w:p>
    <w:p w:rsidR="00E77498" w:rsidRPr="001F289A" w:rsidRDefault="00E77498" w:rsidP="00CE3D38">
      <w:pPr>
        <w:tabs>
          <w:tab w:val="left" w:pos="567"/>
        </w:tabs>
        <w:rPr>
          <w:iCs/>
          <w:color w:val="000000"/>
        </w:rPr>
      </w:pPr>
    </w:p>
    <w:p w:rsidR="00F754EC" w:rsidRPr="001F289A" w:rsidRDefault="00E3107C" w:rsidP="00750B83">
      <w:pPr>
        <w:pStyle w:val="PointManual1"/>
      </w:pPr>
      <w:r w:rsidRPr="001F289A">
        <w:rPr>
          <w:rStyle w:val="PointManual1Char"/>
        </w:rPr>
        <w:t>б)</w:t>
      </w:r>
      <w:r w:rsidRPr="001F289A">
        <w:tab/>
        <w:t>Междинна оценка на „BONUS“ и бъдещи действия</w:t>
      </w:r>
    </w:p>
    <w:p w:rsidR="00350412" w:rsidRPr="001F289A" w:rsidRDefault="00350412" w:rsidP="00F754EC">
      <w:pPr>
        <w:pStyle w:val="Dash2"/>
        <w:rPr>
          <w:b/>
        </w:rPr>
      </w:pPr>
      <w:r w:rsidRPr="001F289A">
        <w:t>Информация от Комисията и секретариата на „BONUS“</w:t>
      </w:r>
    </w:p>
    <w:p w:rsidR="00F13D70" w:rsidRPr="001F289A" w:rsidRDefault="00F13D70" w:rsidP="00CE3D38">
      <w:pPr>
        <w:pStyle w:val="Text3"/>
      </w:pPr>
      <w:r w:rsidRPr="001F289A">
        <w:t>5867/15 RECH 11 COMPET 25 ENV 36</w:t>
      </w:r>
    </w:p>
    <w:p w:rsidR="0063204A" w:rsidRPr="001F289A" w:rsidRDefault="0063204A" w:rsidP="00750B83">
      <w:pPr>
        <w:tabs>
          <w:tab w:val="left" w:pos="567"/>
        </w:tabs>
        <w:rPr>
          <w:bCs/>
          <w:iCs/>
          <w:color w:val="000000"/>
        </w:rPr>
      </w:pPr>
    </w:p>
    <w:p w:rsidR="00E3107C" w:rsidRPr="001F289A" w:rsidRDefault="00E3107C" w:rsidP="00E3107C">
      <w:pPr>
        <w:pStyle w:val="PointManual1"/>
      </w:pPr>
      <w:r w:rsidRPr="001F289A">
        <w:rPr>
          <w:rStyle w:val="PointManual1Char"/>
        </w:rPr>
        <w:t>в)</w:t>
      </w:r>
      <w:r w:rsidRPr="001F289A">
        <w:tab/>
        <w:t>„Наука 2.0“: резултати от обществената консултация</w:t>
      </w:r>
    </w:p>
    <w:p w:rsidR="00E3107C" w:rsidRPr="001F289A" w:rsidRDefault="00E3107C" w:rsidP="00E3107C">
      <w:pPr>
        <w:pStyle w:val="Dash2"/>
        <w:rPr>
          <w:b/>
          <w:i/>
        </w:rPr>
      </w:pPr>
      <w:r w:rsidRPr="001F289A">
        <w:t>Информация от Комисията</w:t>
      </w:r>
    </w:p>
    <w:p w:rsidR="00E3107C" w:rsidRPr="001F289A" w:rsidRDefault="00AD5E37" w:rsidP="00CE3D38">
      <w:pPr>
        <w:pStyle w:val="Text3"/>
      </w:pPr>
      <w:r w:rsidRPr="001F289A">
        <w:t>6409/15 RECH 29 COMPET 54 TELECOM 44</w:t>
      </w:r>
    </w:p>
    <w:p w:rsidR="00750B83" w:rsidRPr="001F289A" w:rsidRDefault="00750B83" w:rsidP="00750B83">
      <w:pPr>
        <w:tabs>
          <w:tab w:val="left" w:pos="567"/>
        </w:tabs>
        <w:rPr>
          <w:bCs/>
          <w:iCs/>
          <w:color w:val="000000"/>
        </w:rPr>
      </w:pPr>
    </w:p>
    <w:p w:rsidR="00750B83" w:rsidRPr="001F289A" w:rsidRDefault="00750B83" w:rsidP="00750B83">
      <w:pPr>
        <w:tabs>
          <w:tab w:val="left" w:pos="567"/>
        </w:tabs>
        <w:rPr>
          <w:bCs/>
          <w:iCs/>
          <w:color w:val="000000"/>
        </w:rPr>
      </w:pPr>
    </w:p>
    <w:p w:rsidR="00750B83" w:rsidRPr="001F289A" w:rsidRDefault="00750B83" w:rsidP="00750B83">
      <w:pPr>
        <w:tabs>
          <w:tab w:val="left" w:pos="567"/>
        </w:tabs>
        <w:rPr>
          <w:bCs/>
          <w:iCs/>
          <w:color w:val="000000"/>
        </w:rPr>
      </w:pPr>
    </w:p>
    <w:p w:rsidR="00750B83" w:rsidRPr="001F289A" w:rsidRDefault="00750B83" w:rsidP="00750B83">
      <w:pPr>
        <w:tabs>
          <w:tab w:val="left" w:pos="567"/>
        </w:tabs>
        <w:rPr>
          <w:bCs/>
          <w:iCs/>
          <w:color w:val="000000"/>
        </w:rPr>
      </w:pPr>
    </w:p>
    <w:p w:rsidR="00750B83" w:rsidRPr="001F289A" w:rsidRDefault="00750B83" w:rsidP="00750B83">
      <w:pPr>
        <w:tabs>
          <w:tab w:val="left" w:pos="567"/>
        </w:tabs>
        <w:rPr>
          <w:bCs/>
          <w:iCs/>
          <w:color w:val="000000"/>
        </w:rPr>
      </w:pPr>
    </w:p>
    <w:p w:rsidR="00750B83" w:rsidRPr="001F289A" w:rsidRDefault="00750B83" w:rsidP="00750B83">
      <w:pPr>
        <w:tabs>
          <w:tab w:val="left" w:pos="567"/>
        </w:tabs>
        <w:rPr>
          <w:bCs/>
          <w:iCs/>
          <w:color w:val="000000"/>
        </w:rPr>
      </w:pPr>
    </w:p>
    <w:p w:rsidR="00750B83" w:rsidRPr="001F289A" w:rsidRDefault="00750B83" w:rsidP="00750B83">
      <w:pPr>
        <w:tabs>
          <w:tab w:val="left" w:pos="567"/>
        </w:tabs>
        <w:rPr>
          <w:bCs/>
          <w:iCs/>
          <w:color w:val="000000"/>
        </w:rPr>
      </w:pPr>
      <w:r w:rsidRPr="001F289A">
        <w:rPr>
          <w:color w:val="000000"/>
        </w:rPr>
        <w:t>______________________</w:t>
      </w:r>
    </w:p>
    <w:p w:rsidR="00750B83" w:rsidRPr="001F289A" w:rsidRDefault="00750B83" w:rsidP="00750B83">
      <w:pPr>
        <w:tabs>
          <w:tab w:val="left" w:pos="567"/>
        </w:tabs>
        <w:rPr>
          <w:bCs/>
          <w:iCs/>
          <w:color w:val="000000"/>
        </w:rPr>
      </w:pPr>
      <w:r w:rsidRPr="001F289A">
        <w:rPr>
          <w:color w:val="000000"/>
        </w:rPr>
        <w:t>(x)</w:t>
      </w:r>
      <w:r w:rsidRPr="001F289A">
        <w:tab/>
      </w:r>
      <w:r w:rsidRPr="001F289A">
        <w:rPr>
          <w:color w:val="000000"/>
        </w:rPr>
        <w:t>Документът няма да бъде предоставен в заседателната зала.</w:t>
      </w:r>
    </w:p>
    <w:p w:rsidR="00750B83" w:rsidRPr="000A328E" w:rsidRDefault="00750B83" w:rsidP="00750B83">
      <w:pPr>
        <w:pStyle w:val="FinalLine"/>
        <w:spacing w:before="960" w:after="960"/>
      </w:pPr>
      <w:bookmarkStart w:id="1" w:name="_GoBack"/>
      <w:bookmarkEnd w:id="1"/>
    </w:p>
    <w:sectPr w:rsidR="00750B83" w:rsidRPr="000A328E" w:rsidSect="00DC72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B05" w:rsidRDefault="009C6B05" w:rsidP="009C6B05">
      <w:r>
        <w:separator/>
      </w:r>
    </w:p>
  </w:endnote>
  <w:endnote w:type="continuationSeparator" w:id="0">
    <w:p w:rsidR="009C6B05" w:rsidRDefault="009C6B05" w:rsidP="009C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6B9" w:rsidRPr="00DC72F3" w:rsidRDefault="006F36B9" w:rsidP="00DC72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C72F3" w:rsidRPr="00D94637" w:rsidTr="00DC72F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C72F3" w:rsidRPr="00D94637" w:rsidRDefault="00DC72F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DC72F3" w:rsidRPr="00B310DC" w:rsidTr="00DC72F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C72F3" w:rsidRPr="00AD7BF2" w:rsidRDefault="00DC72F3" w:rsidP="004F54B2">
          <w:pPr>
            <w:pStyle w:val="FooterText"/>
          </w:pPr>
          <w:r>
            <w:t>6320/15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C72F3" w:rsidRPr="00AD7BF2" w:rsidRDefault="00DC72F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C72F3" w:rsidRPr="002511D8" w:rsidRDefault="00DC72F3" w:rsidP="00D94637">
          <w:pPr>
            <w:pStyle w:val="FooterText"/>
            <w:jc w:val="center"/>
          </w:pPr>
          <w:proofErr w:type="spellStart"/>
          <w:r>
            <w:t>vt</w:t>
          </w:r>
          <w:proofErr w:type="spellEnd"/>
          <w:r>
            <w:t>/</w:t>
          </w:r>
          <w:proofErr w:type="spellStart"/>
          <w:r>
            <w:t>yp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C72F3" w:rsidRPr="00B310DC" w:rsidRDefault="00DC72F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48080D">
            <w:rPr>
              <w:noProof/>
            </w:rPr>
            <w:t>5</w:t>
          </w:r>
          <w:r>
            <w:fldChar w:fldCharType="end"/>
          </w:r>
        </w:p>
      </w:tc>
    </w:tr>
    <w:tr w:rsidR="00DC72F3" w:rsidRPr="00D94637" w:rsidTr="00DC72F3">
      <w:trPr>
        <w:jc w:val="center"/>
      </w:trPr>
      <w:tc>
        <w:tcPr>
          <w:tcW w:w="1774" w:type="pct"/>
          <w:shd w:val="clear" w:color="auto" w:fill="auto"/>
        </w:tcPr>
        <w:p w:rsidR="00DC72F3" w:rsidRPr="00AD7BF2" w:rsidRDefault="00DC72F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C72F3" w:rsidRPr="00AD7BF2" w:rsidRDefault="00DC72F3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DC72F3" w:rsidRPr="00D94637" w:rsidRDefault="00DC72F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C72F3" w:rsidRPr="00D94637" w:rsidRDefault="00DC72F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9C6B05" w:rsidRPr="00DC72F3" w:rsidRDefault="009C6B05" w:rsidP="00DC72F3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C72F3" w:rsidRPr="00D94637" w:rsidTr="00DC72F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C72F3" w:rsidRPr="00D94637" w:rsidRDefault="00DC72F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DC72F3" w:rsidRPr="00B310DC" w:rsidTr="00DC72F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C72F3" w:rsidRPr="00AD7BF2" w:rsidRDefault="00DC72F3" w:rsidP="004F54B2">
          <w:pPr>
            <w:pStyle w:val="FooterText"/>
          </w:pPr>
          <w:r>
            <w:t>6320/15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C72F3" w:rsidRPr="00AD7BF2" w:rsidRDefault="00DC72F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C72F3" w:rsidRPr="002511D8" w:rsidRDefault="00DC72F3" w:rsidP="00D94637">
          <w:pPr>
            <w:pStyle w:val="FooterText"/>
            <w:jc w:val="center"/>
          </w:pPr>
          <w:proofErr w:type="spellStart"/>
          <w:r>
            <w:t>vt</w:t>
          </w:r>
          <w:proofErr w:type="spellEnd"/>
          <w:r>
            <w:t>/</w:t>
          </w:r>
          <w:proofErr w:type="spellStart"/>
          <w:r>
            <w:t>yp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C72F3" w:rsidRPr="00B310DC" w:rsidRDefault="00DC72F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48080D">
            <w:rPr>
              <w:noProof/>
            </w:rPr>
            <w:t>1</w:t>
          </w:r>
          <w:r>
            <w:fldChar w:fldCharType="end"/>
          </w:r>
        </w:p>
      </w:tc>
    </w:tr>
    <w:tr w:rsidR="00DC72F3" w:rsidRPr="00D94637" w:rsidTr="00DC72F3">
      <w:trPr>
        <w:jc w:val="center"/>
      </w:trPr>
      <w:tc>
        <w:tcPr>
          <w:tcW w:w="1774" w:type="pct"/>
          <w:shd w:val="clear" w:color="auto" w:fill="auto"/>
        </w:tcPr>
        <w:p w:rsidR="00DC72F3" w:rsidRPr="00AD7BF2" w:rsidRDefault="00DC72F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C72F3" w:rsidRPr="00AD7BF2" w:rsidRDefault="00DC72F3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DC72F3" w:rsidRPr="00D94637" w:rsidRDefault="00DC72F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C72F3" w:rsidRPr="00D94637" w:rsidRDefault="00DC72F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9C6B05" w:rsidRPr="00DC72F3" w:rsidRDefault="009C6B05" w:rsidP="00DC72F3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B05" w:rsidRDefault="009C6B05" w:rsidP="009C6B05">
      <w:r>
        <w:separator/>
      </w:r>
    </w:p>
  </w:footnote>
  <w:footnote w:type="continuationSeparator" w:id="0">
    <w:p w:rsidR="009C6B05" w:rsidRDefault="009C6B05" w:rsidP="009C6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6B9" w:rsidRPr="00DC72F3" w:rsidRDefault="006F36B9" w:rsidP="00DC72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6B9" w:rsidRPr="00DC72F3" w:rsidRDefault="006F36B9" w:rsidP="00DC72F3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6B9" w:rsidRPr="00DC72F3" w:rsidRDefault="006F36B9" w:rsidP="00DC72F3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7F28C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ECE3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9648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5E418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82A14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7EB6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C2F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86DD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4CD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DE6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2D918D1"/>
    <w:multiLevelType w:val="multilevel"/>
    <w:tmpl w:val="DE2606C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7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8">
    <w:nsid w:val="2F296E77"/>
    <w:multiLevelType w:val="multilevel"/>
    <w:tmpl w:val="31DE600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9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1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8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3"/>
  </w:num>
  <w:num w:numId="2">
    <w:abstractNumId w:val="30"/>
  </w:num>
  <w:num w:numId="3">
    <w:abstractNumId w:val="17"/>
  </w:num>
  <w:num w:numId="4">
    <w:abstractNumId w:val="26"/>
  </w:num>
  <w:num w:numId="5">
    <w:abstractNumId w:val="14"/>
  </w:num>
  <w:num w:numId="6">
    <w:abstractNumId w:val="31"/>
  </w:num>
  <w:num w:numId="7">
    <w:abstractNumId w:val="22"/>
  </w:num>
  <w:num w:numId="8">
    <w:abstractNumId w:val="24"/>
  </w:num>
  <w:num w:numId="9">
    <w:abstractNumId w:val="27"/>
  </w:num>
  <w:num w:numId="10">
    <w:abstractNumId w:val="21"/>
  </w:num>
  <w:num w:numId="11">
    <w:abstractNumId w:val="11"/>
  </w:num>
  <w:num w:numId="12">
    <w:abstractNumId w:val="28"/>
  </w:num>
  <w:num w:numId="13">
    <w:abstractNumId w:val="20"/>
  </w:num>
  <w:num w:numId="14">
    <w:abstractNumId w:val="15"/>
  </w:num>
  <w:num w:numId="15">
    <w:abstractNumId w:val="29"/>
  </w:num>
  <w:num w:numId="16">
    <w:abstractNumId w:val="18"/>
  </w:num>
  <w:num w:numId="17">
    <w:abstractNumId w:val="10"/>
  </w:num>
  <w:num w:numId="18">
    <w:abstractNumId w:val="12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8"/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17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17"/>
  </w:num>
  <w:num w:numId="39">
    <w:abstractNumId w:val="30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36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11ee0717-492b-405a-a92a-54afddc9f9ab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2-26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6320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8&lt;/text&gt;_x000d__x000a_      &lt;text&gt;COMPET 44&lt;/text&gt;_x000d__x000a_      &lt;text&gt;RECH 26&lt;/text&gt;_x000d__x000a_      &lt;text&gt;ESPACE 3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371-&amp;#1074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0;&amp;#1086;&amp;#1085;&amp;#1082;&amp;#1091;&amp;#1088;&amp;#1077;&amp;#1085;&amp;#1090;&amp;#1086;&amp;#1089;&amp;#1087;&amp;#1086;&amp;#1089;&amp;#1086;&amp;#1073;&amp;#1085;&amp;#1086;&amp;#1089;&amp;#1090;) (&amp;#1074;&amp;#1098;&amp;#1090;&amp;#1088;&amp;#1077;&amp;#1096;&amp;#1077;&amp;#1085; &amp;#1087;&amp;#1072;&amp;#1079;&amp;#1072;&amp;#1088;, &amp;#1087;&amp;#1088;&amp;#1086;&amp;#1084;&amp;#1080;&amp;#1096;&amp;#1083;&amp;#1077;&amp;#1085;&amp;#1086;&amp;#1089;&amp;#1090;, &amp;#1085;&amp;#1072;&amp;#1091;&amp;#1095;&amp;#1085;&amp;#1080; &amp;#1080;&amp;#1079;&amp;#1089;&amp;#1083;&amp;#1077;&amp;#1076;&amp;#1074;&amp;#1072;&amp;#1085;&amp;#1080;&amp;#1103; &amp;#1080; &amp;#1082;&amp;#1086;&amp;#1089;&amp;#1084;&amp;#1080;&amp;#1095;&amp;#1077;&amp;#1089;&amp;#1082;&amp;#1086; &amp;#1087;&amp;#1088;&amp;#1086;&amp;#1089;&amp;#1090;&amp;#1088;&amp;#1072;&amp;#1085;&amp;#1089;&amp;#1090;&amp;#1074;&amp;#1086;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3371-&amp;#1074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0;&amp;#1086;&amp;#1085;&amp;#1082;&amp;#1091;&amp;#1088;&amp;#1077;&amp;#1085;&amp;#1090;&amp;#1086;&amp;#1089;&amp;#1087;&amp;#1086;&amp;#1089;&amp;#1086;&amp;#1073;&amp;#1085;&amp;#1086;&amp;#1089;&amp;#1090;) (&amp;lt;Run&amp;gt;&amp;lt;Run.TextDecorations&amp;gt;&amp;lt;TextDecoration Location=&quot;Underline&quot; /&amp;gt;&amp;lt;/Run.TextDecorations&amp;gt;&amp;#1074;&amp;#1098;&amp;#1090;&amp;#1088;&amp;#1077;&amp;#1096;&amp;#1077;&amp;#1085; &amp;#1087;&amp;#1072;&amp;#1079;&amp;#1072;&amp;#1088;, &amp;#1087;&amp;#1088;&amp;#1086;&amp;#1084;&amp;#1080;&amp;#1096;&amp;#1083;&amp;#1077;&amp;#1085;&amp;#1086;&amp;#1089;&amp;#1090;, &amp;#1085;&amp;#1072;&amp;#1091;&amp;#1095;&amp;#1085;&amp;#1080; &amp;#1080;&amp;#1079;&amp;#1089;&amp;#1083;&amp;#1077;&amp;#1076;&amp;#1074;&amp;#1072;&amp;#1085;&amp;#1080;&amp;#1103;&amp;lt;/Run&amp;gt; &amp;#1080; &amp;#1082;&amp;#1086;&amp;#1089;&amp;#1084;&amp;#1080;&amp;#1095;&amp;#1077;&amp;#1089;&amp;#1082;&amp;#1086; &amp;#1087;&amp;#1088;&amp;#1086;&amp;#1089;&amp;#1090;&amp;#1088;&amp;#1072;&amp;#1085;&amp;#1089;&amp;#1090;&amp;#1074;&amp;#1086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vt/yp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5-03-02T10:0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  &lt;meeting date=&quot;2015-03-03T10:0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4.3&quot; technicalblockguid=&quot;3415de06-1e8e-44b4-b989-e2d7888e8d27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2-13&lt;/text&gt;_x000d__x000a_  &lt;/metadata&gt;_x000d__x000a_  &lt;metadata key=&quot;md_Prefix&quot;&gt;_x000d__x000a_    &lt;text&gt;CM&lt;/text&gt;_x000d__x000a_  &lt;/metadata&gt;_x000d__x000a_  &lt;metadata key=&quot;md_DocumentNumber&quot;&gt;_x000d__x000a_    &lt;text&gt;1524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8&lt;/text&gt;_x000d__x000a_      &lt;text&gt;COMPET 44&lt;/text&gt;_x000d__x000a_      &lt;text&gt;RECH 26&lt;/text&gt;_x000d__x000a_      &lt;text&gt;ESPACE 3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1st meeting of the COUNCIL OF THE EUROPEAN UNION (Competitiveness (Internal Market, Industry, Research and Space)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371st &amp;lt;/Run&amp;gt;meeting of the COUNCIL OF THE EUROPEAN UNION&amp;lt;LineBreak /&amp;gt;(Competitiveness (&amp;lt;Run xml:space=&quot;preserve&quot;&amp;gt;&amp;lt;Run.TextDecorations&amp;gt;&amp;lt;TextDecoration Location=&quot;Underline&quot; /&amp;gt;&amp;lt;/Run.TextDecorations&amp;gt;Internal Market, Industry, Research &amp;lt;/Run&amp;gt;and Space)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tru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3-02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  &lt;meeting date=&quot;2015-03-03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9C6B05"/>
    <w:rsid w:val="00010C1D"/>
    <w:rsid w:val="00011DCA"/>
    <w:rsid w:val="00027C2B"/>
    <w:rsid w:val="00051A95"/>
    <w:rsid w:val="00084F2D"/>
    <w:rsid w:val="0009656C"/>
    <w:rsid w:val="000A328E"/>
    <w:rsid w:val="000A56D4"/>
    <w:rsid w:val="00100EDB"/>
    <w:rsid w:val="00165755"/>
    <w:rsid w:val="001719EF"/>
    <w:rsid w:val="00182F2F"/>
    <w:rsid w:val="001A54AD"/>
    <w:rsid w:val="001C7776"/>
    <w:rsid w:val="001E3F22"/>
    <w:rsid w:val="001F289A"/>
    <w:rsid w:val="00220C3D"/>
    <w:rsid w:val="002255F4"/>
    <w:rsid w:val="00226097"/>
    <w:rsid w:val="00286683"/>
    <w:rsid w:val="00286CAC"/>
    <w:rsid w:val="002A2AE8"/>
    <w:rsid w:val="002E53CC"/>
    <w:rsid w:val="003232CF"/>
    <w:rsid w:val="003349C4"/>
    <w:rsid w:val="00347261"/>
    <w:rsid w:val="00350412"/>
    <w:rsid w:val="00357FE0"/>
    <w:rsid w:val="00390587"/>
    <w:rsid w:val="00392D9D"/>
    <w:rsid w:val="003B486E"/>
    <w:rsid w:val="003C6E8B"/>
    <w:rsid w:val="003D3BF7"/>
    <w:rsid w:val="00420737"/>
    <w:rsid w:val="00431667"/>
    <w:rsid w:val="0048080D"/>
    <w:rsid w:val="004862E2"/>
    <w:rsid w:val="00500A64"/>
    <w:rsid w:val="00502245"/>
    <w:rsid w:val="005157F5"/>
    <w:rsid w:val="005336E8"/>
    <w:rsid w:val="005A73E5"/>
    <w:rsid w:val="005B3D1C"/>
    <w:rsid w:val="005D18CB"/>
    <w:rsid w:val="005D1D49"/>
    <w:rsid w:val="005E1DD6"/>
    <w:rsid w:val="005E74E3"/>
    <w:rsid w:val="005F6E1E"/>
    <w:rsid w:val="0063204A"/>
    <w:rsid w:val="0063379B"/>
    <w:rsid w:val="00652850"/>
    <w:rsid w:val="00664814"/>
    <w:rsid w:val="00670FAD"/>
    <w:rsid w:val="00682D2D"/>
    <w:rsid w:val="006A38C5"/>
    <w:rsid w:val="006C1AD4"/>
    <w:rsid w:val="006E33E2"/>
    <w:rsid w:val="006F36B9"/>
    <w:rsid w:val="006F4741"/>
    <w:rsid w:val="00730835"/>
    <w:rsid w:val="00731A1E"/>
    <w:rsid w:val="00740A70"/>
    <w:rsid w:val="00750B83"/>
    <w:rsid w:val="0075756A"/>
    <w:rsid w:val="00766CFF"/>
    <w:rsid w:val="007B3489"/>
    <w:rsid w:val="007D42D4"/>
    <w:rsid w:val="00800B14"/>
    <w:rsid w:val="0082208B"/>
    <w:rsid w:val="00825503"/>
    <w:rsid w:val="00825E35"/>
    <w:rsid w:val="00876160"/>
    <w:rsid w:val="008826F8"/>
    <w:rsid w:val="008963BB"/>
    <w:rsid w:val="008C0672"/>
    <w:rsid w:val="008C77F3"/>
    <w:rsid w:val="008E5C3B"/>
    <w:rsid w:val="00902352"/>
    <w:rsid w:val="009146BD"/>
    <w:rsid w:val="0095246B"/>
    <w:rsid w:val="009C6B05"/>
    <w:rsid w:val="00A469D7"/>
    <w:rsid w:val="00A55FD1"/>
    <w:rsid w:val="00A7037B"/>
    <w:rsid w:val="00AC3188"/>
    <w:rsid w:val="00AD5E37"/>
    <w:rsid w:val="00AF70B6"/>
    <w:rsid w:val="00B259BA"/>
    <w:rsid w:val="00B34C8D"/>
    <w:rsid w:val="00B46DA0"/>
    <w:rsid w:val="00B6099D"/>
    <w:rsid w:val="00B66AA2"/>
    <w:rsid w:val="00B7146C"/>
    <w:rsid w:val="00B943FC"/>
    <w:rsid w:val="00BA409A"/>
    <w:rsid w:val="00BD06FD"/>
    <w:rsid w:val="00BE1373"/>
    <w:rsid w:val="00C75C70"/>
    <w:rsid w:val="00C9168C"/>
    <w:rsid w:val="00CB31CE"/>
    <w:rsid w:val="00CC71E6"/>
    <w:rsid w:val="00CD17B9"/>
    <w:rsid w:val="00CE3D38"/>
    <w:rsid w:val="00D12FA9"/>
    <w:rsid w:val="00D451E4"/>
    <w:rsid w:val="00DC72F3"/>
    <w:rsid w:val="00DF53D0"/>
    <w:rsid w:val="00DF5E40"/>
    <w:rsid w:val="00E265E7"/>
    <w:rsid w:val="00E3107C"/>
    <w:rsid w:val="00E60499"/>
    <w:rsid w:val="00E77498"/>
    <w:rsid w:val="00E83161"/>
    <w:rsid w:val="00E84BB9"/>
    <w:rsid w:val="00EA524D"/>
    <w:rsid w:val="00EC1D47"/>
    <w:rsid w:val="00EC204F"/>
    <w:rsid w:val="00EF4411"/>
    <w:rsid w:val="00F05A0C"/>
    <w:rsid w:val="00F13D70"/>
    <w:rsid w:val="00F42B17"/>
    <w:rsid w:val="00F647BA"/>
    <w:rsid w:val="00F754EC"/>
    <w:rsid w:val="00F94670"/>
    <w:rsid w:val="00F95B52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C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C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C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C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uiPriority w:val="10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link w:val="PointManual2Char"/>
    <w:uiPriority w:val="99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9C6B0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9C6B05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9C6B05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9C6B05"/>
  </w:style>
  <w:style w:type="character" w:customStyle="1" w:styleId="Text3Char">
    <w:name w:val="Text 3 Char"/>
    <w:link w:val="Text3"/>
    <w:locked/>
    <w:rsid w:val="00740A70"/>
    <w:rPr>
      <w:sz w:val="24"/>
      <w:szCs w:val="24"/>
      <w:lang w:val="bg-BG" w:eastAsia="bg-BG"/>
    </w:rPr>
  </w:style>
  <w:style w:type="character" w:customStyle="1" w:styleId="PointManual1Char">
    <w:name w:val="Point Manual (1) Char"/>
    <w:link w:val="PointManual1"/>
    <w:rsid w:val="00740A70"/>
    <w:rPr>
      <w:sz w:val="24"/>
      <w:szCs w:val="24"/>
      <w:lang w:val="bg-BG" w:eastAsia="bg-BG"/>
    </w:rPr>
  </w:style>
  <w:style w:type="character" w:customStyle="1" w:styleId="PointManualChar">
    <w:name w:val="Point Manual Char"/>
    <w:link w:val="PointManual"/>
    <w:locked/>
    <w:rsid w:val="00E77498"/>
    <w:rPr>
      <w:sz w:val="24"/>
      <w:szCs w:val="24"/>
      <w:lang w:val="bg-BG" w:eastAsia="bg-BG"/>
    </w:rPr>
  </w:style>
  <w:style w:type="character" w:customStyle="1" w:styleId="PointManual2Char">
    <w:name w:val="Point Manual (2) Char"/>
    <w:link w:val="PointManual2"/>
    <w:uiPriority w:val="99"/>
    <w:locked/>
    <w:rsid w:val="00E77498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70"/>
    <w:rPr>
      <w:rFonts w:ascii="Tahoma" w:hAnsi="Tahoma" w:cs="Tahoma"/>
      <w:sz w:val="16"/>
      <w:szCs w:val="1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10"/>
    <w:rsid w:val="00051A95"/>
    <w:rPr>
      <w:b/>
      <w:bCs/>
      <w:i/>
      <w:sz w:val="24"/>
      <w:szCs w:val="32"/>
      <w:u w:val="single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2D4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2D4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7D42D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27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C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C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C2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C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C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C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C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uiPriority w:val="10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link w:val="PointManual2Char"/>
    <w:uiPriority w:val="99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9C6B0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9C6B05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9C6B05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9C6B05"/>
  </w:style>
  <w:style w:type="character" w:customStyle="1" w:styleId="Text3Char">
    <w:name w:val="Text 3 Char"/>
    <w:link w:val="Text3"/>
    <w:locked/>
    <w:rsid w:val="00740A70"/>
    <w:rPr>
      <w:sz w:val="24"/>
      <w:szCs w:val="24"/>
      <w:lang w:val="bg-BG" w:eastAsia="bg-BG"/>
    </w:rPr>
  </w:style>
  <w:style w:type="character" w:customStyle="1" w:styleId="PointManual1Char">
    <w:name w:val="Point Manual (1) Char"/>
    <w:link w:val="PointManual1"/>
    <w:rsid w:val="00740A70"/>
    <w:rPr>
      <w:sz w:val="24"/>
      <w:szCs w:val="24"/>
      <w:lang w:val="bg-BG" w:eastAsia="bg-BG"/>
    </w:rPr>
  </w:style>
  <w:style w:type="character" w:customStyle="1" w:styleId="PointManualChar">
    <w:name w:val="Point Manual Char"/>
    <w:link w:val="PointManual"/>
    <w:locked/>
    <w:rsid w:val="00E77498"/>
    <w:rPr>
      <w:sz w:val="24"/>
      <w:szCs w:val="24"/>
      <w:lang w:val="bg-BG" w:eastAsia="bg-BG"/>
    </w:rPr>
  </w:style>
  <w:style w:type="character" w:customStyle="1" w:styleId="PointManual2Char">
    <w:name w:val="Point Manual (2) Char"/>
    <w:link w:val="PointManual2"/>
    <w:uiPriority w:val="99"/>
    <w:locked/>
    <w:rsid w:val="00E77498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70"/>
    <w:rPr>
      <w:rFonts w:ascii="Tahoma" w:hAnsi="Tahoma" w:cs="Tahoma"/>
      <w:sz w:val="16"/>
      <w:szCs w:val="1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10"/>
    <w:rsid w:val="00051A95"/>
    <w:rPr>
      <w:b/>
      <w:bCs/>
      <w:i/>
      <w:sz w:val="24"/>
      <w:szCs w:val="32"/>
      <w:u w:val="single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2D4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2D4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7D42D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27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C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C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C2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IIA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D4B46-9585-448D-96F2-F3E78A1C6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5</Pages>
  <Words>594</Words>
  <Characters>3147</Characters>
  <Application>Microsoft Office Word</Application>
  <DocSecurity>0</DocSecurity>
  <Lines>157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PROFIROV Iavor</cp:lastModifiedBy>
  <cp:revision>4</cp:revision>
  <cp:lastPrinted>2015-02-26T10:41:00Z</cp:lastPrinted>
  <dcterms:created xsi:type="dcterms:W3CDTF">2015-02-26T15:57:00Z</dcterms:created>
  <dcterms:modified xsi:type="dcterms:W3CDTF">2015-02-26T15:58:00Z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</Properties>
</file>