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1BB" w:rsidRPr="000216ED" w:rsidRDefault="000216ED" w:rsidP="000216ED">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bf772f3-1c86-427e-8015-90ee3ec150ae" style="width:568.5pt;height:356.25pt">
            <v:imagedata r:id="rId9" o:title=""/>
          </v:shape>
        </w:pict>
      </w:r>
      <w:bookmarkEnd w:id="0"/>
    </w:p>
    <w:p w:rsidR="005E7001" w:rsidRPr="001B5E82" w:rsidRDefault="005E7001" w:rsidP="0016142C">
      <w:pPr>
        <w:sectPr w:rsidR="005E7001" w:rsidRPr="001B5E82" w:rsidSect="008A4B07">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243257" w:rsidRPr="001B5E82" w:rsidRDefault="00243257" w:rsidP="009818D8">
      <w:pPr>
        <w:pStyle w:val="Typedudocument"/>
        <w:rPr>
          <w:noProof/>
          <w:lang w:val="ru-RU"/>
        </w:rPr>
      </w:pPr>
      <w:r w:rsidRPr="001B5E82">
        <w:rPr>
          <w:noProof/>
        </w:rPr>
        <w:lastRenderedPageBreak/>
        <w:t xml:space="preserve">ДИРЕКТИВА </w:t>
      </w:r>
      <w:r w:rsidR="009818D8" w:rsidRPr="00B147DE">
        <w:rPr>
          <w:noProof/>
        </w:rPr>
        <w:t>(</w:t>
      </w:r>
      <w:r w:rsidR="009818D8" w:rsidRPr="001B5E82">
        <w:rPr>
          <w:noProof/>
        </w:rPr>
        <w:t xml:space="preserve">ЕС) 2015/… </w:t>
      </w:r>
      <w:r w:rsidR="00B147DE" w:rsidRPr="00ED442C">
        <w:rPr>
          <w:noProof/>
        </w:rPr>
        <w:br/>
      </w:r>
      <w:r w:rsidRPr="001B5E82">
        <w:rPr>
          <w:noProof/>
        </w:rPr>
        <w:t>НА ЕВРОПЕЙСКИЯ ПАРЛАМЕНТ И НА СЪВЕТА</w:t>
      </w:r>
    </w:p>
    <w:p w:rsidR="00243257" w:rsidRPr="001B5E82" w:rsidRDefault="00243257" w:rsidP="00243257">
      <w:pPr>
        <w:pStyle w:val="Datedadoption"/>
        <w:rPr>
          <w:noProof/>
        </w:rPr>
      </w:pPr>
      <w:r w:rsidRPr="001B5E82">
        <w:rPr>
          <w:noProof/>
        </w:rPr>
        <w:t>от</w:t>
      </w:r>
    </w:p>
    <w:p w:rsidR="00243257" w:rsidRPr="001B5E82" w:rsidRDefault="00243257" w:rsidP="00B147DE">
      <w:pPr>
        <w:pStyle w:val="Titreobjet"/>
        <w:rPr>
          <w:rFonts w:eastAsia="Calibri" w:cs="Arial"/>
          <w:noProof/>
          <w:szCs w:val="22"/>
        </w:rPr>
      </w:pPr>
      <w:r w:rsidRPr="001B5E82">
        <w:rPr>
          <w:noProof/>
        </w:rPr>
        <w:t>за изменение на Директива 94/62/ЕО</w:t>
      </w:r>
      <w:r w:rsidR="00B147DE" w:rsidRPr="00B147DE">
        <w:rPr>
          <w:noProof/>
          <w:lang w:val="ru-RU"/>
        </w:rPr>
        <w:br/>
      </w:r>
      <w:r w:rsidR="003C4C9E" w:rsidRPr="001B5E82">
        <w:rPr>
          <w:noProof/>
        </w:rPr>
        <w:t>по отношение на</w:t>
      </w:r>
      <w:r w:rsidRPr="001B5E82">
        <w:rPr>
          <w:noProof/>
        </w:rPr>
        <w:t xml:space="preserve"> намаляване на потреблението</w:t>
      </w:r>
      <w:r w:rsidR="00B147DE" w:rsidRPr="00B147DE">
        <w:rPr>
          <w:noProof/>
          <w:lang w:val="ru-RU"/>
        </w:rPr>
        <w:br/>
      </w:r>
      <w:r w:rsidRPr="001B5E82">
        <w:rPr>
          <w:noProof/>
        </w:rPr>
        <w:t xml:space="preserve">на </w:t>
      </w:r>
      <w:r w:rsidR="000E18F0" w:rsidRPr="001B5E82">
        <w:rPr>
          <w:noProof/>
        </w:rPr>
        <w:t>тънки пластмасови торбички за пазаруване</w:t>
      </w:r>
    </w:p>
    <w:p w:rsidR="00243257" w:rsidRPr="001B5E82" w:rsidRDefault="00243257" w:rsidP="00243257">
      <w:pPr>
        <w:pStyle w:val="Sous-titreobjet"/>
        <w:rPr>
          <w:rFonts w:eastAsia="Calibri" w:cs="Arial"/>
          <w:noProof/>
          <w:szCs w:val="22"/>
        </w:rPr>
      </w:pPr>
      <w:r w:rsidRPr="001B5E82">
        <w:t>(текст от значение за ЕИП)</w:t>
      </w:r>
    </w:p>
    <w:p w:rsidR="00243257" w:rsidRPr="001B5E82" w:rsidRDefault="00243257" w:rsidP="00243257">
      <w:pPr>
        <w:pStyle w:val="Institutionquiagit"/>
        <w:rPr>
          <w:rFonts w:eastAsia="Calibri" w:cs="Arial"/>
          <w:noProof/>
          <w:szCs w:val="22"/>
        </w:rPr>
      </w:pPr>
      <w:r w:rsidRPr="001B5E82">
        <w:t>ЕВРОПЕЙСКИЯТ ПАРЛАМЕНТ И СЪВЕТЪТ НА ЕВРОПЕЙСКИЯ СЪЮЗ,</w:t>
      </w:r>
    </w:p>
    <w:p w:rsidR="00243257" w:rsidRPr="001B5E82" w:rsidRDefault="00243257" w:rsidP="00243257">
      <w:pPr>
        <w:rPr>
          <w:rFonts w:eastAsia="Calibri" w:cs="Arial"/>
          <w:noProof/>
          <w:szCs w:val="22"/>
        </w:rPr>
      </w:pPr>
      <w:r w:rsidRPr="001B5E82">
        <w:t>като взеха предвид Договора за функционирането на Европейския съюз, и по-специално член 114 от него,</w:t>
      </w:r>
    </w:p>
    <w:p w:rsidR="00243257" w:rsidRPr="001B5E82" w:rsidRDefault="00243257" w:rsidP="002E17E5">
      <w:pPr>
        <w:rPr>
          <w:rFonts w:eastAsia="Calibri" w:cs="Arial"/>
          <w:noProof/>
          <w:szCs w:val="22"/>
        </w:rPr>
      </w:pPr>
      <w:r w:rsidRPr="001B5E82">
        <w:t>като взеха предвид предложението на Европейската комисия,</w:t>
      </w:r>
    </w:p>
    <w:p w:rsidR="00243257" w:rsidRPr="001B5E82" w:rsidRDefault="00243257" w:rsidP="00243257">
      <w:pPr>
        <w:rPr>
          <w:rFonts w:eastAsia="Calibri" w:cs="Arial"/>
          <w:noProof/>
          <w:szCs w:val="22"/>
        </w:rPr>
      </w:pPr>
      <w:r w:rsidRPr="001B5E82">
        <w:t>след предаване на проекта на законодателния акт на националните парламенти,</w:t>
      </w:r>
    </w:p>
    <w:p w:rsidR="00243257" w:rsidRPr="001B5E82" w:rsidRDefault="00243257" w:rsidP="002E17E5">
      <w:pPr>
        <w:rPr>
          <w:rFonts w:eastAsia="Calibri" w:cs="Arial"/>
          <w:noProof/>
          <w:szCs w:val="22"/>
        </w:rPr>
      </w:pPr>
      <w:r w:rsidRPr="001B5E82">
        <w:t>като взеха предвид становището на Европейския икономически и социален комитет</w:t>
      </w:r>
      <w:r w:rsidRPr="001B5E82">
        <w:rPr>
          <w:rStyle w:val="FootnoteReference"/>
        </w:rPr>
        <w:footnoteReference w:id="1"/>
      </w:r>
      <w:r w:rsidRPr="001B5E82">
        <w:t>,</w:t>
      </w:r>
    </w:p>
    <w:p w:rsidR="00243257" w:rsidRPr="001B5E82" w:rsidRDefault="009818D8" w:rsidP="002E17E5">
      <w:pPr>
        <w:rPr>
          <w:rFonts w:eastAsia="Calibri" w:cs="Arial"/>
          <w:noProof/>
          <w:szCs w:val="22"/>
        </w:rPr>
      </w:pPr>
      <w:r w:rsidRPr="001B5E82">
        <w:t xml:space="preserve">като взеха предвид становището на </w:t>
      </w:r>
      <w:r w:rsidR="00243257" w:rsidRPr="001B5E82">
        <w:t>Комитета на регионите</w:t>
      </w:r>
      <w:r w:rsidR="00243257" w:rsidRPr="001B5E82">
        <w:rPr>
          <w:rStyle w:val="FootnoteReference"/>
        </w:rPr>
        <w:footnoteReference w:id="2"/>
      </w:r>
      <w:r w:rsidR="00243257" w:rsidRPr="001B5E82">
        <w:t>,</w:t>
      </w:r>
    </w:p>
    <w:p w:rsidR="00243257" w:rsidRPr="001B5E82" w:rsidRDefault="00243257" w:rsidP="00243257">
      <w:pPr>
        <w:rPr>
          <w:rFonts w:eastAsia="Calibri" w:cs="Arial"/>
          <w:noProof/>
          <w:szCs w:val="22"/>
        </w:rPr>
      </w:pPr>
      <w:r w:rsidRPr="001B5E82">
        <w:t>в съответствие с обикновената законодателна процедура</w:t>
      </w:r>
      <w:r w:rsidR="009818D8" w:rsidRPr="001B5E82">
        <w:rPr>
          <w:rStyle w:val="FootnoteReference"/>
          <w:rFonts w:eastAsia="Calibri" w:cs="Arial"/>
          <w:noProof/>
          <w:szCs w:val="22"/>
          <w:lang w:val="en-US" w:eastAsia="en-GB"/>
        </w:rPr>
        <w:footnoteReference w:id="3"/>
      </w:r>
      <w:r w:rsidRPr="001B5E82">
        <w:t>,</w:t>
      </w:r>
    </w:p>
    <w:p w:rsidR="00243257" w:rsidRPr="001B5E82" w:rsidRDefault="00243257" w:rsidP="00243257">
      <w:pPr>
        <w:rPr>
          <w:rFonts w:eastAsia="Calibri" w:cs="Arial"/>
          <w:noProof/>
          <w:szCs w:val="22"/>
        </w:rPr>
      </w:pPr>
      <w:r w:rsidRPr="001B5E82">
        <w:br w:type="page"/>
      </w:r>
      <w:r w:rsidRPr="001B5E82">
        <w:lastRenderedPageBreak/>
        <w:t>като имат предвид, че:</w:t>
      </w:r>
    </w:p>
    <w:p w:rsidR="00243257" w:rsidRPr="001B5E82" w:rsidRDefault="00243257" w:rsidP="00A028D6">
      <w:pPr>
        <w:pStyle w:val="ManualConsidrant"/>
        <w:rPr>
          <w:rFonts w:eastAsia="Calibri" w:cs="Arial"/>
          <w:noProof/>
          <w:szCs w:val="22"/>
        </w:rPr>
      </w:pPr>
      <w:r w:rsidRPr="001B5E82">
        <w:t>(1)</w:t>
      </w:r>
      <w:r w:rsidRPr="001B5E82">
        <w:tab/>
        <w:t>Директива 94/62/ЕО на Европейския парламент и на Съвета</w:t>
      </w:r>
      <w:r w:rsidRPr="001B5E82">
        <w:rPr>
          <w:rStyle w:val="FootnoteReference"/>
        </w:rPr>
        <w:footnoteReference w:id="4"/>
      </w:r>
      <w:r w:rsidRPr="001B5E82">
        <w:t xml:space="preserve"> бе приета с цел да се предотврати или намали въздействието на опаковките и отпадъците от опаковки върху околната среда. Въпреки че пластмасовите </w:t>
      </w:r>
      <w:r w:rsidR="00F87C12" w:rsidRPr="001B5E82">
        <w:t>торбички за пазаруване</w:t>
      </w:r>
      <w:r w:rsidRPr="001B5E82">
        <w:t xml:space="preserve"> представляват опаковки по смисъла на посочената директива, </w:t>
      </w:r>
      <w:r w:rsidR="003C4C9E" w:rsidRPr="001B5E82">
        <w:t>тя не</w:t>
      </w:r>
      <w:r w:rsidRPr="001B5E82">
        <w:t xml:space="preserve"> съдържа специфични мерки</w:t>
      </w:r>
      <w:r w:rsidR="00065A26" w:rsidRPr="001B5E82">
        <w:t xml:space="preserve"> </w:t>
      </w:r>
      <w:r w:rsidR="003C4C9E" w:rsidRPr="001B5E82">
        <w:t>относно</w:t>
      </w:r>
      <w:r w:rsidRPr="001B5E82">
        <w:t xml:space="preserve"> потреблението на такива </w:t>
      </w:r>
      <w:r w:rsidR="00A028D6" w:rsidRPr="001B5E82">
        <w:t>торбички</w:t>
      </w:r>
      <w:r w:rsidRPr="001B5E82">
        <w:t>.</w:t>
      </w:r>
    </w:p>
    <w:p w:rsidR="00243257" w:rsidRPr="001B5E82" w:rsidRDefault="00243257" w:rsidP="00EC2051">
      <w:pPr>
        <w:pStyle w:val="ManualConsidrant"/>
        <w:rPr>
          <w:rFonts w:eastAsia="Calibri"/>
        </w:rPr>
      </w:pPr>
      <w:r w:rsidRPr="001B5E82">
        <w:t>(2)</w:t>
      </w:r>
      <w:r w:rsidRPr="001B5E82">
        <w:tab/>
      </w:r>
      <w:r w:rsidR="00065A26" w:rsidRPr="001B5E82">
        <w:t>Настоящ</w:t>
      </w:r>
      <w:r w:rsidR="00FA2C68" w:rsidRPr="001B5E82">
        <w:t>ите</w:t>
      </w:r>
      <w:r w:rsidR="00065A26" w:rsidRPr="001B5E82">
        <w:t xml:space="preserve"> </w:t>
      </w:r>
      <w:r w:rsidR="00FA2C68" w:rsidRPr="001B5E82">
        <w:t>нива</w:t>
      </w:r>
      <w:r w:rsidR="00065A26" w:rsidRPr="001B5E82">
        <w:t xml:space="preserve"> на потребление </w:t>
      </w:r>
      <w:r w:rsidRPr="001B5E82">
        <w:t xml:space="preserve">на пластмасови </w:t>
      </w:r>
      <w:r w:rsidR="00A028D6" w:rsidRPr="001B5E82">
        <w:t xml:space="preserve">торбички </w:t>
      </w:r>
      <w:r w:rsidR="00FA2C68" w:rsidRPr="001B5E82">
        <w:t xml:space="preserve">водят </w:t>
      </w:r>
      <w:r w:rsidRPr="001B5E82">
        <w:t xml:space="preserve">до високи нива на </w:t>
      </w:r>
      <w:r w:rsidR="0017610B" w:rsidRPr="001B5E82">
        <w:t>замърсяване</w:t>
      </w:r>
      <w:r w:rsidRPr="001B5E82">
        <w:t xml:space="preserve"> и неефективно използване на ресурсите и се очаква да </w:t>
      </w:r>
      <w:r w:rsidR="00FA2C68" w:rsidRPr="001B5E82">
        <w:t>нараснат</w:t>
      </w:r>
      <w:r w:rsidRPr="001B5E82">
        <w:t xml:space="preserve">, ако не се предприемат действия. </w:t>
      </w:r>
      <w:r w:rsidR="0017610B" w:rsidRPr="001B5E82">
        <w:t>Замърсяването с</w:t>
      </w:r>
      <w:r w:rsidRPr="001B5E82">
        <w:t xml:space="preserve"> пластмасови </w:t>
      </w:r>
      <w:r w:rsidR="00F87C12" w:rsidRPr="001B5E82">
        <w:t>торбички за пазаруване</w:t>
      </w:r>
      <w:r w:rsidRPr="001B5E82">
        <w:t xml:space="preserve"> води до замърсяване на околната среда и влошава широко разпространения проблем с отпадъците във водните басейни, което заплашва водните екосистеми в световен мащаб.</w:t>
      </w:r>
    </w:p>
    <w:p w:rsidR="00243257" w:rsidRPr="001B5E82" w:rsidRDefault="00243257" w:rsidP="003B4859">
      <w:pPr>
        <w:pStyle w:val="ManualConsidrant"/>
        <w:rPr>
          <w:rFonts w:eastAsia="Calibri" w:cs="Arial"/>
          <w:szCs w:val="22"/>
        </w:rPr>
      </w:pPr>
      <w:r w:rsidRPr="001B5E82">
        <w:t>(</w:t>
      </w:r>
      <w:r w:rsidR="003B4859" w:rsidRPr="00B147DE">
        <w:t>3</w:t>
      </w:r>
      <w:r w:rsidRPr="001B5E82">
        <w:t>)</w:t>
      </w:r>
      <w:r w:rsidRPr="001B5E82">
        <w:tab/>
        <w:t xml:space="preserve">Освен това, натрупването на пластмасови </w:t>
      </w:r>
      <w:r w:rsidR="00F87C12" w:rsidRPr="001B5E82">
        <w:t>торбички за пазаруване</w:t>
      </w:r>
      <w:r w:rsidRPr="001B5E82">
        <w:t xml:space="preserve"> в околната среда определено има отрицателни последици за някои икономически дейности.</w:t>
      </w:r>
    </w:p>
    <w:p w:rsidR="00243257" w:rsidRPr="001B5E82" w:rsidRDefault="00243257" w:rsidP="003B4859">
      <w:pPr>
        <w:pStyle w:val="ManualConsidrant"/>
        <w:rPr>
          <w:rFonts w:eastAsia="Calibri"/>
        </w:rPr>
      </w:pPr>
      <w:r w:rsidRPr="001B5E82">
        <w:t>(</w:t>
      </w:r>
      <w:r w:rsidR="003B4859" w:rsidRPr="00B147DE">
        <w:t>4</w:t>
      </w:r>
      <w:r w:rsidRPr="001B5E82">
        <w:t>)</w:t>
      </w:r>
      <w:r w:rsidRPr="001B5E82">
        <w:tab/>
      </w:r>
      <w:r w:rsidR="00512E04" w:rsidRPr="001B5E82">
        <w:t xml:space="preserve">Пластмасовите </w:t>
      </w:r>
      <w:r w:rsidR="000E18F0" w:rsidRPr="001B5E82">
        <w:t>торбички за пазаруване</w:t>
      </w:r>
      <w:r w:rsidRPr="001B5E82">
        <w:t xml:space="preserve"> с дебелина </w:t>
      </w:r>
      <w:r w:rsidR="00A039ED" w:rsidRPr="001B5E82">
        <w:t xml:space="preserve">на стената </w:t>
      </w:r>
      <w:r w:rsidRPr="001B5E82">
        <w:t>под 50 микрона</w:t>
      </w:r>
      <w:r w:rsidR="00512E04" w:rsidRPr="001B5E82">
        <w:t xml:space="preserve"> ("</w:t>
      </w:r>
      <w:r w:rsidR="000E18F0" w:rsidRPr="001B5E82">
        <w:t>тънки пластмасови торбички за пазаруване</w:t>
      </w:r>
      <w:r w:rsidR="00512E04" w:rsidRPr="001B5E82">
        <w:t>")</w:t>
      </w:r>
      <w:r w:rsidRPr="001B5E82">
        <w:t xml:space="preserve">, които представляват по-голямата част от общия брой пластмасови </w:t>
      </w:r>
      <w:r w:rsidR="00F87C12" w:rsidRPr="001B5E82">
        <w:t>торбички за пазаруване</w:t>
      </w:r>
      <w:r w:rsidRPr="001B5E82">
        <w:t xml:space="preserve">, </w:t>
      </w:r>
      <w:r w:rsidR="00B622BD" w:rsidRPr="001B5E82">
        <w:t>у</w:t>
      </w:r>
      <w:r w:rsidRPr="001B5E82">
        <w:t xml:space="preserve">потребявани в Съюза, по-рядко се използват повторно от по-дебелите пластмасови </w:t>
      </w:r>
      <w:r w:rsidR="00F87C12" w:rsidRPr="001B5E82">
        <w:t>торбички за пазаруване</w:t>
      </w:r>
      <w:r w:rsidR="002F7470" w:rsidRPr="001B5E82">
        <w:t xml:space="preserve">. Поради това </w:t>
      </w:r>
      <w:r w:rsidR="000E18F0" w:rsidRPr="001B5E82">
        <w:t xml:space="preserve">тънките пластмасови торбички за пазаруване, </w:t>
      </w:r>
      <w:r w:rsidRPr="001B5E82">
        <w:t xml:space="preserve">се превръщат в отпадък по-бързо и по-често са </w:t>
      </w:r>
      <w:r w:rsidR="0017610B" w:rsidRPr="001B5E82">
        <w:t>предмет за замърсяване</w:t>
      </w:r>
      <w:r w:rsidRPr="001B5E82">
        <w:t xml:space="preserve"> поради лекото си тегло.</w:t>
      </w:r>
    </w:p>
    <w:p w:rsidR="00243257" w:rsidRPr="001B5E82" w:rsidRDefault="002E2F81" w:rsidP="003B4859">
      <w:pPr>
        <w:pStyle w:val="ManualConsidrant"/>
        <w:rPr>
          <w:rFonts w:eastAsia="Calibri" w:cs="Arial"/>
          <w:iCs/>
          <w:szCs w:val="22"/>
        </w:rPr>
      </w:pPr>
      <w:r w:rsidRPr="001B5E82">
        <w:rPr>
          <w:noProof/>
        </w:rPr>
        <w:br w:type="page"/>
      </w:r>
      <w:r w:rsidR="00243257" w:rsidRPr="001B5E82">
        <w:rPr>
          <w:noProof/>
        </w:rPr>
        <w:t>(</w:t>
      </w:r>
      <w:r w:rsidR="003B4859" w:rsidRPr="00B147DE">
        <w:rPr>
          <w:noProof/>
        </w:rPr>
        <w:t>5</w:t>
      </w:r>
      <w:r w:rsidR="00243257" w:rsidRPr="001B5E82">
        <w:rPr>
          <w:noProof/>
        </w:rPr>
        <w:t>)</w:t>
      </w:r>
      <w:r w:rsidR="00243257" w:rsidRPr="001B5E82">
        <w:tab/>
        <w:t xml:space="preserve">Настоящите нива на рециклиране на </w:t>
      </w:r>
      <w:r w:rsidR="000E18F0" w:rsidRPr="001B5E82">
        <w:t xml:space="preserve">тънките пластмасови торбички за пазаруване, </w:t>
      </w:r>
      <w:r w:rsidR="00243257" w:rsidRPr="001B5E82">
        <w:t>са много ниски и поради редица практически и икономически трудности няма вероятност да се повишат значително в близкото бъдеще.</w:t>
      </w:r>
    </w:p>
    <w:p w:rsidR="00243257" w:rsidRPr="001B5E82" w:rsidRDefault="00243257" w:rsidP="003B4859">
      <w:pPr>
        <w:pStyle w:val="ManualConsidrant"/>
        <w:rPr>
          <w:rFonts w:eastAsia="Calibri" w:cs="Arial"/>
          <w:bCs/>
          <w:szCs w:val="22"/>
        </w:rPr>
      </w:pPr>
      <w:r w:rsidRPr="001B5E82">
        <w:rPr>
          <w:noProof/>
        </w:rPr>
        <w:t>(</w:t>
      </w:r>
      <w:r w:rsidR="003B4859" w:rsidRPr="00B147DE">
        <w:rPr>
          <w:noProof/>
        </w:rPr>
        <w:t>6</w:t>
      </w:r>
      <w:r w:rsidRPr="001B5E82">
        <w:rPr>
          <w:noProof/>
        </w:rPr>
        <w:t>)</w:t>
      </w:r>
      <w:r w:rsidRPr="001B5E82">
        <w:tab/>
        <w:t xml:space="preserve">В йерархията на отпадъците превенцията се нарежда на първо място. Пластмасовите </w:t>
      </w:r>
      <w:r w:rsidR="00F87C12" w:rsidRPr="001B5E82">
        <w:t>торбички за пазаруване</w:t>
      </w:r>
      <w:r w:rsidRPr="001B5E82">
        <w:t xml:space="preserve"> имат няколко предназначения и тяхното потребление ще продължи и в бъдеще. За да се гарантира, че необходимите пластмасови </w:t>
      </w:r>
      <w:r w:rsidR="00F87C12" w:rsidRPr="001B5E82">
        <w:t>торбички за пазаруване</w:t>
      </w:r>
      <w:r w:rsidRPr="001B5E82">
        <w:t xml:space="preserve"> няма да попаднат в околната среда</w:t>
      </w:r>
      <w:r w:rsidR="005A135B" w:rsidRPr="001B5E82">
        <w:t xml:space="preserve"> като отпадъци</w:t>
      </w:r>
      <w:r w:rsidRPr="001B5E82">
        <w:t xml:space="preserve">, следва да се въведат подходящи мерки и потребителите следва да бъдат информирани относно правилното </w:t>
      </w:r>
      <w:r w:rsidR="000175F5" w:rsidRPr="001B5E82">
        <w:t xml:space="preserve">третиране </w:t>
      </w:r>
      <w:r w:rsidRPr="001B5E82">
        <w:t>на отпадъци.</w:t>
      </w:r>
    </w:p>
    <w:p w:rsidR="00243257" w:rsidRPr="001B5E82" w:rsidRDefault="00243257" w:rsidP="003B4859">
      <w:pPr>
        <w:pStyle w:val="ManualConsidrant"/>
        <w:rPr>
          <w:rFonts w:eastAsia="Calibri" w:cs="Arial"/>
          <w:noProof/>
          <w:szCs w:val="22"/>
        </w:rPr>
      </w:pPr>
      <w:r w:rsidRPr="001B5E82">
        <w:t>(</w:t>
      </w:r>
      <w:r w:rsidR="003B4859" w:rsidRPr="00B147DE">
        <w:t>7</w:t>
      </w:r>
      <w:r w:rsidRPr="001B5E82">
        <w:t>)</w:t>
      </w:r>
      <w:r w:rsidRPr="001B5E82">
        <w:tab/>
        <w:t xml:space="preserve">Нивата на потребление на пластмасови </w:t>
      </w:r>
      <w:r w:rsidR="00F87C12" w:rsidRPr="001B5E82">
        <w:t>торбички за пазаруване</w:t>
      </w:r>
      <w:r w:rsidRPr="001B5E82">
        <w:t xml:space="preserve"> варират значително в Съюза поради различия в потребителските навици и осведомеността по въпросите на околната среда, и на ефективността на политическите мерки, предприети от държавите членки. Някои държави членки са успели значително да намалят нивата на потребление на пластмасови </w:t>
      </w:r>
      <w:r w:rsidR="00F87C12" w:rsidRPr="001B5E82">
        <w:t>торбички за пазаруване</w:t>
      </w:r>
      <w:r w:rsidRPr="001B5E82">
        <w:t xml:space="preserve">, като средното </w:t>
      </w:r>
      <w:r w:rsidR="00FA2C68" w:rsidRPr="001B5E82">
        <w:t xml:space="preserve">ниво </w:t>
      </w:r>
      <w:r w:rsidRPr="001B5E82">
        <w:t>на потребление в седемте държави членки с най-добри показатели възлиза на едва 20 % от средната стойност за</w:t>
      </w:r>
      <w:r w:rsidR="009818D8" w:rsidRPr="001B5E82">
        <w:t xml:space="preserve"> Съюза</w:t>
      </w:r>
      <w:r w:rsidRPr="001B5E82">
        <w:t>.</w:t>
      </w:r>
    </w:p>
    <w:p w:rsidR="00243257" w:rsidRPr="001B5E82" w:rsidRDefault="00243257" w:rsidP="003B4859">
      <w:pPr>
        <w:pStyle w:val="ManualConsidrant"/>
        <w:rPr>
          <w:rFonts w:eastAsia="Calibri" w:cs="Arial"/>
          <w:noProof/>
          <w:szCs w:val="22"/>
        </w:rPr>
      </w:pPr>
      <w:r w:rsidRPr="001B5E82">
        <w:rPr>
          <w:noProof/>
        </w:rPr>
        <w:t>(</w:t>
      </w:r>
      <w:r w:rsidR="003B4859" w:rsidRPr="00B147DE">
        <w:rPr>
          <w:noProof/>
        </w:rPr>
        <w:t>8</w:t>
      </w:r>
      <w:r w:rsidRPr="001B5E82">
        <w:rPr>
          <w:noProof/>
        </w:rPr>
        <w:t>)</w:t>
      </w:r>
      <w:r w:rsidRPr="001B5E82">
        <w:tab/>
      </w:r>
      <w:r w:rsidRPr="001B5E82">
        <w:rPr>
          <w:noProof/>
        </w:rPr>
        <w:t xml:space="preserve">Наличието и точността на данните относно настоящите нива на потребление на </w:t>
      </w:r>
      <w:r w:rsidR="000E18F0" w:rsidRPr="001B5E82">
        <w:rPr>
          <w:noProof/>
        </w:rPr>
        <w:t>тънки пластмасови торбички за пазаруване</w:t>
      </w:r>
      <w:r w:rsidR="000E18F0" w:rsidRPr="001B5E82" w:rsidDel="000E18F0">
        <w:rPr>
          <w:noProof/>
        </w:rPr>
        <w:t xml:space="preserve"> </w:t>
      </w:r>
      <w:r w:rsidRPr="001B5E82">
        <w:rPr>
          <w:noProof/>
        </w:rPr>
        <w:t xml:space="preserve">са различни за отделните държави членки. Точните и сравними данни относно потреблението са от </w:t>
      </w:r>
      <w:r w:rsidR="000A3F99" w:rsidRPr="001B5E82">
        <w:rPr>
          <w:noProof/>
        </w:rPr>
        <w:t>съществено</w:t>
      </w:r>
      <w:r w:rsidRPr="001B5E82">
        <w:rPr>
          <w:noProof/>
        </w:rPr>
        <w:t xml:space="preserve"> значение за оценяването на ефективността на мерките за намаляване му и за осигуряването на еднакви условия за прилагане. Ето защо следва да се изготви обща методология за изчисляване на годишното потребление на </w:t>
      </w:r>
      <w:r w:rsidR="000E18F0" w:rsidRPr="001B5E82">
        <w:rPr>
          <w:noProof/>
        </w:rPr>
        <w:t>тънки пластмасови торбички за пазаруване</w:t>
      </w:r>
      <w:r w:rsidR="000E18F0" w:rsidRPr="001B5E82" w:rsidDel="000E18F0">
        <w:rPr>
          <w:noProof/>
        </w:rPr>
        <w:t xml:space="preserve"> </w:t>
      </w:r>
      <w:r w:rsidRPr="001B5E82">
        <w:rPr>
          <w:noProof/>
        </w:rPr>
        <w:t xml:space="preserve">на </w:t>
      </w:r>
      <w:r w:rsidR="00977A02" w:rsidRPr="001B5E82">
        <w:rPr>
          <w:noProof/>
        </w:rPr>
        <w:t xml:space="preserve">човек </w:t>
      </w:r>
      <w:r w:rsidRPr="001B5E82">
        <w:rPr>
          <w:noProof/>
        </w:rPr>
        <w:t xml:space="preserve">с оглед наблюдение на напредъка при намаляването на потреблението на </w:t>
      </w:r>
      <w:r w:rsidR="00E17DB9" w:rsidRPr="001B5E82">
        <w:rPr>
          <w:noProof/>
        </w:rPr>
        <w:t>такива</w:t>
      </w:r>
      <w:r w:rsidRPr="001B5E82">
        <w:rPr>
          <w:noProof/>
        </w:rPr>
        <w:t xml:space="preserve"> </w:t>
      </w:r>
      <w:r w:rsidR="000E18F0" w:rsidRPr="001B5E82">
        <w:rPr>
          <w:noProof/>
        </w:rPr>
        <w:t>торбички</w:t>
      </w:r>
      <w:r w:rsidRPr="001B5E82">
        <w:rPr>
          <w:noProof/>
        </w:rPr>
        <w:t>.</w:t>
      </w:r>
    </w:p>
    <w:p w:rsidR="00243257" w:rsidRPr="001B5E82" w:rsidRDefault="002E2F81" w:rsidP="003B4859">
      <w:pPr>
        <w:pStyle w:val="ManualConsidrant"/>
        <w:rPr>
          <w:rFonts w:eastAsia="Calibri" w:cs="Arial"/>
          <w:iCs/>
          <w:szCs w:val="22"/>
        </w:rPr>
      </w:pPr>
      <w:r w:rsidRPr="001B5E82">
        <w:rPr>
          <w:noProof/>
        </w:rPr>
        <w:br w:type="page"/>
      </w:r>
      <w:r w:rsidR="00243257" w:rsidRPr="001B5E82">
        <w:rPr>
          <w:noProof/>
        </w:rPr>
        <w:t>(</w:t>
      </w:r>
      <w:r w:rsidR="003B4859" w:rsidRPr="00B147DE">
        <w:rPr>
          <w:noProof/>
        </w:rPr>
        <w:t>9</w:t>
      </w:r>
      <w:r w:rsidR="00243257" w:rsidRPr="001B5E82">
        <w:rPr>
          <w:noProof/>
        </w:rPr>
        <w:t>)</w:t>
      </w:r>
      <w:r w:rsidR="00243257" w:rsidRPr="001B5E82">
        <w:tab/>
        <w:t xml:space="preserve">Освен това е доказано, че информацията за потребителите играе решаваща роля за постигането на целите за намаляване на потреблението на пластмасови </w:t>
      </w:r>
      <w:r w:rsidR="00F87C12" w:rsidRPr="001B5E82">
        <w:t>торбички за пазаруване</w:t>
      </w:r>
      <w:r w:rsidR="00243257" w:rsidRPr="001B5E82">
        <w:t xml:space="preserve">. Поради това е необходимо да се положат усилия от страна на институциите за повишаване на осведомеността относно последиците за околната среда от пластмасовите </w:t>
      </w:r>
      <w:r w:rsidR="00F87C12" w:rsidRPr="001B5E82">
        <w:t>торбички за пазаруване</w:t>
      </w:r>
      <w:r w:rsidR="00243257" w:rsidRPr="001B5E82">
        <w:t xml:space="preserve"> и с цел да се </w:t>
      </w:r>
      <w:r w:rsidR="00977A02" w:rsidRPr="001B5E82">
        <w:t xml:space="preserve">приключи </w:t>
      </w:r>
      <w:r w:rsidR="00243257" w:rsidRPr="001B5E82">
        <w:t>с настоящото възприемане на пластмасата като безвреден и евтин материал.</w:t>
      </w:r>
    </w:p>
    <w:p w:rsidR="00243257" w:rsidRPr="001B5E82" w:rsidRDefault="00243257" w:rsidP="003B4859">
      <w:pPr>
        <w:pStyle w:val="ManualConsidrant"/>
        <w:rPr>
          <w:rFonts w:eastAsia="Calibri"/>
        </w:rPr>
      </w:pPr>
      <w:r w:rsidRPr="001B5E82">
        <w:t>(</w:t>
      </w:r>
      <w:r w:rsidR="003B4859" w:rsidRPr="00B147DE">
        <w:t>10</w:t>
      </w:r>
      <w:r w:rsidRPr="001B5E82">
        <w:t>)</w:t>
      </w:r>
      <w:r w:rsidRPr="001B5E82">
        <w:tab/>
        <w:t xml:space="preserve">За да насърчат устойчиви намаления на средното ниво на потребление на </w:t>
      </w:r>
      <w:r w:rsidR="000E18F0" w:rsidRPr="001B5E82">
        <w:t>тънки пластмасови торбички за пазаруване</w:t>
      </w:r>
      <w:r w:rsidRPr="001B5E82">
        <w:t xml:space="preserve">, държавите членки следва да вземат мерки за значително намаляване на потреблението на </w:t>
      </w:r>
      <w:r w:rsidR="000E18F0" w:rsidRPr="001B5E82">
        <w:t xml:space="preserve">тънки </w:t>
      </w:r>
      <w:r w:rsidRPr="001B5E82">
        <w:t xml:space="preserve">пластмасови </w:t>
      </w:r>
      <w:r w:rsidR="000E18F0" w:rsidRPr="001B5E82">
        <w:t xml:space="preserve">торбички </w:t>
      </w:r>
      <w:r w:rsidR="004A744F" w:rsidRPr="001B5E82">
        <w:t xml:space="preserve">за пазаруване </w:t>
      </w:r>
      <w:r w:rsidRPr="001B5E82">
        <w:t>в съответствие с общите цели на политиката на Съюза в областта на отпадъците и йерархията на отпадъците, както е предвидено в Директива 2008/98/ЕО на Европейския парламент и на Съвета</w:t>
      </w:r>
      <w:r w:rsidRPr="001B5E82">
        <w:rPr>
          <w:rStyle w:val="FootnoteReference"/>
        </w:rPr>
        <w:footnoteReference w:id="5"/>
      </w:r>
      <w:r w:rsidRPr="001B5E82">
        <w:t xml:space="preserve">. Такива мерки за намаляване следва да вземат предвид сегашните нива на потребление на пластмасови </w:t>
      </w:r>
      <w:r w:rsidR="00F87C12" w:rsidRPr="001B5E82">
        <w:t>торбички за пазаруване</w:t>
      </w:r>
      <w:r w:rsidRPr="001B5E82">
        <w:t xml:space="preserve"> в отделните държави членки, като по-високите нива изискват по-амбициозни усилия, както и да отчитат вече постигнатите намаления. За целите на наблюдението на напредъка в намаляването на </w:t>
      </w:r>
      <w:r w:rsidR="000175F5" w:rsidRPr="001B5E82">
        <w:t xml:space="preserve">потреблението </w:t>
      </w:r>
      <w:r w:rsidRPr="001B5E82">
        <w:t xml:space="preserve">на </w:t>
      </w:r>
      <w:r w:rsidR="004A744F" w:rsidRPr="001B5E82">
        <w:t>тънки пластмасови торбички за пазаруване</w:t>
      </w:r>
      <w:r w:rsidR="004A744F" w:rsidRPr="001B5E82" w:rsidDel="004A744F">
        <w:t xml:space="preserve"> </w:t>
      </w:r>
      <w:r w:rsidR="00343BCB" w:rsidRPr="001B5E82">
        <w:t xml:space="preserve">е необходимо </w:t>
      </w:r>
      <w:r w:rsidRPr="001B5E82">
        <w:t xml:space="preserve">националните органи </w:t>
      </w:r>
      <w:r w:rsidR="00343BCB" w:rsidRPr="001B5E82">
        <w:t xml:space="preserve">да </w:t>
      </w:r>
      <w:r w:rsidRPr="001B5E82">
        <w:t xml:space="preserve">предоставят данни за </w:t>
      </w:r>
      <w:r w:rsidR="00CA7A92" w:rsidRPr="001B5E82">
        <w:t>тяхното потребление в съответствие с член 12 от Директива 94/62/ЕО</w:t>
      </w:r>
      <w:r w:rsidRPr="001B5E82">
        <w:t>.</w:t>
      </w:r>
    </w:p>
    <w:p w:rsidR="00243257" w:rsidRPr="001B5E82" w:rsidRDefault="00243257" w:rsidP="003B4859">
      <w:pPr>
        <w:pStyle w:val="ManualConsidrant"/>
        <w:rPr>
          <w:rFonts w:eastAsia="Calibri"/>
        </w:rPr>
      </w:pPr>
      <w:r w:rsidRPr="001B5E82">
        <w:t>(</w:t>
      </w:r>
      <w:r w:rsidR="003B4859" w:rsidRPr="00B147DE">
        <w:t>11</w:t>
      </w:r>
      <w:r w:rsidRPr="001B5E82">
        <w:t>)</w:t>
      </w:r>
      <w:r w:rsidRPr="001B5E82">
        <w:tab/>
        <w:t xml:space="preserve">Мерките, които се предприемат от държавите членки, могат да включват използването на икономически инструменти като ценообразуване, данъци и налози, които са се оказали особено ефективни за намаляване на </w:t>
      </w:r>
      <w:r w:rsidR="00CA7A92" w:rsidRPr="001B5E82">
        <w:t xml:space="preserve">потреблението </w:t>
      </w:r>
      <w:r w:rsidRPr="001B5E82">
        <w:t xml:space="preserve">на пластмасови </w:t>
      </w:r>
      <w:r w:rsidR="00F87C12" w:rsidRPr="001B5E82">
        <w:t>торбички за пазаруване</w:t>
      </w:r>
      <w:r w:rsidRPr="001B5E82">
        <w:t>, и ограничения за търговия, като забрани</w:t>
      </w:r>
      <w:r w:rsidR="009D18AD" w:rsidRPr="001B5E82">
        <w:t xml:space="preserve"> </w:t>
      </w:r>
      <w:r w:rsidR="008F0AEB" w:rsidRPr="001B5E82">
        <w:t>чрез</w:t>
      </w:r>
      <w:r w:rsidR="009D18AD" w:rsidRPr="001B5E82">
        <w:t xml:space="preserve"> дерогация </w:t>
      </w:r>
      <w:r w:rsidR="008F0AEB" w:rsidRPr="001B5E82">
        <w:t>от</w:t>
      </w:r>
      <w:r w:rsidR="009D18AD" w:rsidRPr="001B5E82">
        <w:t xml:space="preserve"> член 18 от Директива 94/62/ЕО</w:t>
      </w:r>
      <w:r w:rsidR="00027F2F" w:rsidRPr="001B5E82">
        <w:rPr>
          <w:lang w:val="ru-RU"/>
        </w:rPr>
        <w:t>,</w:t>
      </w:r>
      <w:r w:rsidRPr="001B5E82">
        <w:t xml:space="preserve"> при условие че тези ограничения са пропорционални и недискриминационни.</w:t>
      </w:r>
    </w:p>
    <w:p w:rsidR="00243257" w:rsidRPr="001B5E82" w:rsidRDefault="002E2F81" w:rsidP="003B4859">
      <w:pPr>
        <w:pStyle w:val="ManualConsidrant"/>
        <w:rPr>
          <w:rFonts w:eastAsia="Calibri"/>
        </w:rPr>
      </w:pPr>
      <w:r w:rsidRPr="001B5E82">
        <w:br w:type="page"/>
      </w:r>
      <w:r w:rsidR="00243257" w:rsidRPr="001B5E82">
        <w:t>(</w:t>
      </w:r>
      <w:r w:rsidR="003B4859" w:rsidRPr="00B147DE">
        <w:t>12</w:t>
      </w:r>
      <w:r w:rsidR="00243257" w:rsidRPr="001B5E82">
        <w:t>)</w:t>
      </w:r>
      <w:r w:rsidR="00243257" w:rsidRPr="001B5E82">
        <w:tab/>
        <w:t xml:space="preserve">Тези мерки могат да варират в зависимост от въздействието на </w:t>
      </w:r>
      <w:r w:rsidR="004A744F" w:rsidRPr="001B5E82">
        <w:t>тънките пластмасови торбички за пазаруване</w:t>
      </w:r>
      <w:r w:rsidR="00A039ED" w:rsidRPr="001B5E82">
        <w:t xml:space="preserve"> </w:t>
      </w:r>
      <w:r w:rsidR="00243257" w:rsidRPr="001B5E82">
        <w:t>върху околната среда</w:t>
      </w:r>
      <w:r w:rsidR="002A7AAD" w:rsidRPr="001B5E82">
        <w:t>,</w:t>
      </w:r>
      <w:r w:rsidR="00243257" w:rsidRPr="001B5E82">
        <w:t xml:space="preserve"> след като бъдат оползотворени</w:t>
      </w:r>
      <w:r w:rsidR="00243257" w:rsidRPr="00B147DE">
        <w:t xml:space="preserve"> или обезвредени</w:t>
      </w:r>
      <w:r w:rsidR="00243257" w:rsidRPr="001B5E82">
        <w:t xml:space="preserve">, от техните характеристики на рециклиране и компостиране, </w:t>
      </w:r>
      <w:r w:rsidR="008F0AEB" w:rsidRPr="001B5E82">
        <w:t xml:space="preserve">от </w:t>
      </w:r>
      <w:r w:rsidR="00243257" w:rsidRPr="001B5E82">
        <w:t xml:space="preserve">издръжливостта им или </w:t>
      </w:r>
      <w:r w:rsidR="008F0AEB" w:rsidRPr="001B5E82">
        <w:t xml:space="preserve">от </w:t>
      </w:r>
      <w:r w:rsidR="00243257" w:rsidRPr="001B5E82">
        <w:t xml:space="preserve">конкретно планираното предназначение на тези </w:t>
      </w:r>
      <w:r w:rsidR="00A028D6" w:rsidRPr="001B5E82">
        <w:t>торбички</w:t>
      </w:r>
      <w:r w:rsidR="00243257" w:rsidRPr="001B5E82">
        <w:t xml:space="preserve">, </w:t>
      </w:r>
      <w:r w:rsidR="003B4859" w:rsidRPr="001B5E82">
        <w:t>и като се отчитат</w:t>
      </w:r>
      <w:r w:rsidR="00243257" w:rsidRPr="001B5E82">
        <w:t xml:space="preserve"> възможните отрицателни последици от тяхната замяна.</w:t>
      </w:r>
    </w:p>
    <w:p w:rsidR="00243257" w:rsidRPr="001B5E82" w:rsidRDefault="00243257" w:rsidP="0072217D">
      <w:pPr>
        <w:pStyle w:val="ManualConsidrant"/>
        <w:rPr>
          <w:rFonts w:eastAsia="Calibri" w:cs="Arial"/>
          <w:noProof/>
          <w:szCs w:val="22"/>
        </w:rPr>
      </w:pPr>
      <w:r w:rsidRPr="001B5E82">
        <w:rPr>
          <w:noProof/>
        </w:rPr>
        <w:t>(</w:t>
      </w:r>
      <w:r w:rsidR="003B4859" w:rsidRPr="00B147DE">
        <w:rPr>
          <w:noProof/>
        </w:rPr>
        <w:t>13</w:t>
      </w:r>
      <w:r w:rsidRPr="001B5E82">
        <w:rPr>
          <w:noProof/>
        </w:rPr>
        <w:t>)</w:t>
      </w:r>
      <w:r w:rsidRPr="001B5E82">
        <w:tab/>
      </w:r>
      <w:r w:rsidRPr="001B5E82">
        <w:rPr>
          <w:noProof/>
        </w:rPr>
        <w:t xml:space="preserve">Държавите членки могат да изберат да изключат от обхвата на директивата пластмасови </w:t>
      </w:r>
      <w:r w:rsidR="004A744F" w:rsidRPr="001B5E82">
        <w:rPr>
          <w:noProof/>
        </w:rPr>
        <w:t>торбички за пазаруване</w:t>
      </w:r>
      <w:r w:rsidR="003B4859" w:rsidRPr="001B5E82">
        <w:rPr>
          <w:noProof/>
        </w:rPr>
        <w:t xml:space="preserve"> с дебелина на стената под 15 микрона ("</w:t>
      </w:r>
      <w:r w:rsidR="0072217D" w:rsidRPr="001B5E82">
        <w:rPr>
          <w:noProof/>
        </w:rPr>
        <w:t>много тънки пластмасови торбички за пазаруване")</w:t>
      </w:r>
      <w:r w:rsidR="00D717A5" w:rsidRPr="001B5E82">
        <w:rPr>
          <w:noProof/>
        </w:rPr>
        <w:t xml:space="preserve">, </w:t>
      </w:r>
      <w:r w:rsidRPr="001B5E82">
        <w:rPr>
          <w:noProof/>
        </w:rPr>
        <w:t>предоставяни като първични опаковки за насипна храна, когато това се изисква за целите на хигиената или когато тяхното използване помага за предотвратяване на разхищаването на храни.</w:t>
      </w:r>
    </w:p>
    <w:p w:rsidR="00243257" w:rsidRPr="001B5E82" w:rsidRDefault="00243257" w:rsidP="003B4859">
      <w:pPr>
        <w:pStyle w:val="ManualConsidrant"/>
        <w:rPr>
          <w:rFonts w:eastAsia="Calibri" w:cs="Arial"/>
          <w:bCs/>
          <w:szCs w:val="22"/>
        </w:rPr>
      </w:pPr>
      <w:r w:rsidRPr="001B5E82">
        <w:rPr>
          <w:noProof/>
        </w:rPr>
        <w:t>(</w:t>
      </w:r>
      <w:r w:rsidR="003B4859" w:rsidRPr="00B147DE">
        <w:rPr>
          <w:noProof/>
        </w:rPr>
        <w:t>14</w:t>
      </w:r>
      <w:r w:rsidRPr="001B5E82">
        <w:rPr>
          <w:noProof/>
        </w:rPr>
        <w:t>)</w:t>
      </w:r>
      <w:r w:rsidRPr="001B5E82">
        <w:tab/>
      </w:r>
      <w:r w:rsidR="00D717A5" w:rsidRPr="001B5E82">
        <w:t xml:space="preserve">Държавите членки могат да използват свободно </w:t>
      </w:r>
      <w:r w:rsidR="00D717A5" w:rsidRPr="001B5E82">
        <w:rPr>
          <w:noProof/>
        </w:rPr>
        <w:t>п</w:t>
      </w:r>
      <w:r w:rsidRPr="001B5E82">
        <w:rPr>
          <w:noProof/>
        </w:rPr>
        <w:t xml:space="preserve">риходите, генерирани посредством мерките, предприети </w:t>
      </w:r>
      <w:r w:rsidR="00E85DDA" w:rsidRPr="001B5E82">
        <w:rPr>
          <w:noProof/>
        </w:rPr>
        <w:t>по Д</w:t>
      </w:r>
      <w:r w:rsidRPr="001B5E82">
        <w:rPr>
          <w:noProof/>
        </w:rPr>
        <w:t xml:space="preserve">иректива </w:t>
      </w:r>
      <w:r w:rsidR="000829B3" w:rsidRPr="001B5E82">
        <w:rPr>
          <w:rFonts w:eastAsia="Calibri" w:cs="Arial"/>
          <w:bCs/>
          <w:noProof/>
          <w:szCs w:val="22"/>
          <w:lang w:val="ru-RU" w:eastAsia="de-DE"/>
        </w:rPr>
        <w:t>94/62/</w:t>
      </w:r>
      <w:r w:rsidR="000829B3" w:rsidRPr="001B5E82">
        <w:rPr>
          <w:rFonts w:eastAsia="Calibri" w:cs="Arial"/>
          <w:bCs/>
          <w:noProof/>
          <w:szCs w:val="22"/>
          <w:lang w:val="en-US" w:eastAsia="de-DE"/>
        </w:rPr>
        <w:t>E</w:t>
      </w:r>
      <w:r w:rsidR="000829B3" w:rsidRPr="001B5E82">
        <w:rPr>
          <w:rFonts w:eastAsia="Calibri" w:cs="Arial"/>
          <w:bCs/>
          <w:noProof/>
          <w:szCs w:val="22"/>
          <w:lang w:eastAsia="de-DE"/>
        </w:rPr>
        <w:t>О</w:t>
      </w:r>
      <w:r w:rsidR="00E85DDA" w:rsidRPr="001B5E82">
        <w:rPr>
          <w:rFonts w:eastAsia="Calibri" w:cs="Arial"/>
          <w:bCs/>
          <w:noProof/>
          <w:szCs w:val="22"/>
          <w:lang w:eastAsia="de-DE"/>
        </w:rPr>
        <w:t>,</w:t>
      </w:r>
      <w:r w:rsidR="000829B3" w:rsidRPr="001B5E82">
        <w:rPr>
          <w:rFonts w:eastAsia="Calibri" w:cs="Arial"/>
          <w:b/>
          <w:bCs/>
          <w:noProof/>
          <w:szCs w:val="22"/>
          <w:lang w:val="ru-RU" w:eastAsia="de-DE"/>
        </w:rPr>
        <w:t xml:space="preserve"> </w:t>
      </w:r>
      <w:r w:rsidR="00E85DDA" w:rsidRPr="001B5E82">
        <w:rPr>
          <w:noProof/>
        </w:rPr>
        <w:t xml:space="preserve">за </w:t>
      </w:r>
      <w:r w:rsidRPr="001B5E82">
        <w:rPr>
          <w:noProof/>
        </w:rPr>
        <w:t xml:space="preserve">постигане на устойчиво намаление на потреблението на </w:t>
      </w:r>
      <w:r w:rsidR="004A744F" w:rsidRPr="001B5E82">
        <w:rPr>
          <w:noProof/>
        </w:rPr>
        <w:t>тънки пластмасови торбички за пазаруване</w:t>
      </w:r>
      <w:r w:rsidRPr="001B5E82">
        <w:rPr>
          <w:noProof/>
        </w:rPr>
        <w:t>.</w:t>
      </w:r>
    </w:p>
    <w:p w:rsidR="00243257" w:rsidRPr="001B5E82" w:rsidRDefault="00243257" w:rsidP="003B4859">
      <w:pPr>
        <w:pStyle w:val="ManualConsidrant"/>
        <w:rPr>
          <w:rFonts w:eastAsia="Calibri" w:cs="Arial"/>
          <w:iCs/>
          <w:szCs w:val="22"/>
        </w:rPr>
      </w:pPr>
      <w:r w:rsidRPr="001B5E82">
        <w:t>(</w:t>
      </w:r>
      <w:r w:rsidR="003B4859" w:rsidRPr="00B147DE">
        <w:t>15</w:t>
      </w:r>
      <w:r w:rsidRPr="001B5E82">
        <w:t>)</w:t>
      </w:r>
      <w:r w:rsidRPr="001B5E82">
        <w:tab/>
        <w:t xml:space="preserve">Програмите за осведоменост на потребителите като цяло и образователните програми за децата могат да играят важна роля за намаляване на </w:t>
      </w:r>
      <w:r w:rsidR="00E85DDA" w:rsidRPr="001B5E82">
        <w:t xml:space="preserve">потреблението </w:t>
      </w:r>
      <w:r w:rsidRPr="001B5E82">
        <w:t xml:space="preserve">на пластмасови </w:t>
      </w:r>
      <w:r w:rsidR="00F87C12" w:rsidRPr="001B5E82">
        <w:t>торбички за пазаруване</w:t>
      </w:r>
      <w:r w:rsidRPr="001B5E82">
        <w:t>.</w:t>
      </w:r>
    </w:p>
    <w:p w:rsidR="00243257" w:rsidRPr="001B5E82" w:rsidRDefault="00243257" w:rsidP="003B4859">
      <w:pPr>
        <w:pStyle w:val="ManualConsidrant"/>
      </w:pPr>
      <w:r w:rsidRPr="001B5E82">
        <w:t>(</w:t>
      </w:r>
      <w:r w:rsidR="003B4859" w:rsidRPr="00B147DE">
        <w:t>16</w:t>
      </w:r>
      <w:r w:rsidRPr="001B5E82">
        <w:t>)</w:t>
      </w:r>
      <w:r w:rsidRPr="001B5E82">
        <w:tab/>
        <w:t xml:space="preserve">Европейският стандарт EN 13432 „Изисквания, свързани с опаковките, оползотворявани чрез компостиране и биологично разграждане — </w:t>
      </w:r>
      <w:r w:rsidR="00E85DDA" w:rsidRPr="001B5E82">
        <w:t xml:space="preserve">Програма </w:t>
      </w:r>
      <w:r w:rsidRPr="001B5E82">
        <w:t xml:space="preserve">за изпитване и критерии за оценка за окончателно приемане на опаковките“ определя характеристиките, които даден материал трябва да притежава, за да бъде считан за „компостируем“, а именно той да може да бъде рециклиран чрез процес на органично </w:t>
      </w:r>
      <w:r w:rsidR="008D2FAC" w:rsidRPr="001B5E82">
        <w:t>оползотворяване</w:t>
      </w:r>
      <w:r w:rsidRPr="001B5E82">
        <w:t xml:space="preserve">, </w:t>
      </w:r>
      <w:r w:rsidR="006A3B92" w:rsidRPr="001B5E82">
        <w:t>който включва</w:t>
      </w:r>
      <w:r w:rsidRPr="001B5E82">
        <w:t xml:space="preserve"> компостиране и анаеробно разлагане. Комисията следва да </w:t>
      </w:r>
      <w:r w:rsidR="00DF32BD" w:rsidRPr="001B5E82">
        <w:t>поиска от</w:t>
      </w:r>
      <w:r w:rsidRPr="001B5E82">
        <w:t xml:space="preserve"> Европейския комитет по стандартизация да разработи отделен стандарт за компостируеми в домашни условия опаковки.</w:t>
      </w:r>
    </w:p>
    <w:p w:rsidR="000829B3" w:rsidRPr="001B5E82" w:rsidRDefault="002E2F81" w:rsidP="0072217D">
      <w:pPr>
        <w:pStyle w:val="ManualConsidrant"/>
        <w:rPr>
          <w:rFonts w:eastAsia="Calibri" w:cs="Arial"/>
          <w:bCs/>
          <w:noProof/>
          <w:szCs w:val="22"/>
        </w:rPr>
      </w:pPr>
      <w:r w:rsidRPr="001B5E82">
        <w:br w:type="page"/>
      </w:r>
      <w:r w:rsidR="000829B3" w:rsidRPr="001B5E82">
        <w:t>(</w:t>
      </w:r>
      <w:r w:rsidR="0072217D" w:rsidRPr="001B5E82">
        <w:t>17</w:t>
      </w:r>
      <w:r w:rsidR="000829B3" w:rsidRPr="001B5E82">
        <w:t>)</w:t>
      </w:r>
      <w:r w:rsidR="000829B3" w:rsidRPr="001B5E82">
        <w:tab/>
        <w:t>Важно е да се осигури признаването в целия С</w:t>
      </w:r>
      <w:r w:rsidR="00F870EC" w:rsidRPr="001B5E82">
        <w:t>ъюз</w:t>
      </w:r>
      <w:r w:rsidR="000829B3" w:rsidRPr="001B5E82">
        <w:t xml:space="preserve"> на етикетите или </w:t>
      </w:r>
      <w:r w:rsidR="00DF32BD" w:rsidRPr="001B5E82">
        <w:t>маркировките</w:t>
      </w:r>
      <w:r w:rsidR="000829B3" w:rsidRPr="001B5E82">
        <w:t xml:space="preserve"> за биоразградими и компостируеми </w:t>
      </w:r>
      <w:r w:rsidR="008F0AEB" w:rsidRPr="001B5E82">
        <w:t xml:space="preserve">пластмасови </w:t>
      </w:r>
      <w:r w:rsidR="00A028D6" w:rsidRPr="001B5E82">
        <w:t>торбички</w:t>
      </w:r>
      <w:r w:rsidR="008F0AEB" w:rsidRPr="001B5E82">
        <w:t xml:space="preserve"> за пазаруване</w:t>
      </w:r>
      <w:r w:rsidR="000829B3" w:rsidRPr="001B5E82">
        <w:t>.</w:t>
      </w:r>
    </w:p>
    <w:p w:rsidR="00243257" w:rsidRPr="001B5E82" w:rsidRDefault="00243257" w:rsidP="0072217D">
      <w:pPr>
        <w:pStyle w:val="ManualConsidrant"/>
        <w:rPr>
          <w:rFonts w:eastAsia="Calibri" w:cs="Arial"/>
          <w:szCs w:val="22"/>
        </w:rPr>
      </w:pPr>
      <w:r w:rsidRPr="001B5E82">
        <w:t>(</w:t>
      </w:r>
      <w:r w:rsidR="0072217D" w:rsidRPr="001B5E82">
        <w:t>18</w:t>
      </w:r>
      <w:r w:rsidRPr="001B5E82">
        <w:t>)</w:t>
      </w:r>
      <w:r w:rsidRPr="001B5E82">
        <w:tab/>
        <w:t xml:space="preserve">Някои пластмасови </w:t>
      </w:r>
      <w:r w:rsidR="00F87C12" w:rsidRPr="001B5E82">
        <w:t>торбички за пазаруване</w:t>
      </w:r>
      <w:r w:rsidRPr="001B5E82">
        <w:t xml:space="preserve"> са </w:t>
      </w:r>
      <w:r w:rsidR="00DF32BD" w:rsidRPr="001B5E82">
        <w:t xml:space="preserve">маркирани </w:t>
      </w:r>
      <w:r w:rsidRPr="001B5E82">
        <w:t xml:space="preserve">от производителите им като „биоразградими при окисляване“ или „разградими при окисляване“. При тези </w:t>
      </w:r>
      <w:r w:rsidR="00A028D6" w:rsidRPr="001B5E82">
        <w:t>торбички</w:t>
      </w:r>
      <w:r w:rsidRPr="001B5E82">
        <w:t xml:space="preserve">, в конвенционалната пластмаса са включени добавки. Поради наличието на такива добавки, с времето пластмасата се разпада на малки частици, които остават в околната среда. Следователно може да е подвеждащо подобни </w:t>
      </w:r>
      <w:r w:rsidR="00A028D6" w:rsidRPr="001B5E82">
        <w:t xml:space="preserve">торбички </w:t>
      </w:r>
      <w:r w:rsidRPr="001B5E82">
        <w:t xml:space="preserve">да се обозначават като „биоразградими“, тъй като те не могат да представляват решение на проблема </w:t>
      </w:r>
      <w:r w:rsidR="0017610B" w:rsidRPr="001B5E82">
        <w:t>със замърсяването</w:t>
      </w:r>
      <w:r w:rsidRPr="001B5E82">
        <w:t xml:space="preserve">, а напротив — могат да увеличат замърсяването. Комисията следва да разгледа въздействието от използването на разградимите при окисляване пластмасови </w:t>
      </w:r>
      <w:r w:rsidR="00A028D6" w:rsidRPr="001B5E82">
        <w:t xml:space="preserve">торбички </w:t>
      </w:r>
      <w:r w:rsidR="006A3B92" w:rsidRPr="001B5E82">
        <w:t xml:space="preserve">за пазаруване </w:t>
      </w:r>
      <w:r w:rsidRPr="001B5E82">
        <w:t xml:space="preserve">върху околната среда и да представи доклад на Европейския парламент и на Съвета, включващ, ако е уместно, </w:t>
      </w:r>
      <w:r w:rsidR="00E8637C" w:rsidRPr="001B5E82">
        <w:t>набор от</w:t>
      </w:r>
      <w:r w:rsidRPr="001B5E82">
        <w:t xml:space="preserve"> мерки за ограничаване на </w:t>
      </w:r>
      <w:r w:rsidR="006A3B92" w:rsidRPr="001B5E82">
        <w:t>тяхното потребление</w:t>
      </w:r>
      <w:r w:rsidRPr="001B5E82">
        <w:t xml:space="preserve"> или намаляване на евентуалните отрицателни последици от тях.</w:t>
      </w:r>
    </w:p>
    <w:p w:rsidR="00243257" w:rsidRPr="001B5E82" w:rsidRDefault="00243257" w:rsidP="0072217D">
      <w:pPr>
        <w:pStyle w:val="ManualConsidrant"/>
        <w:rPr>
          <w:rFonts w:eastAsia="Calibri" w:cs="Arial"/>
          <w:szCs w:val="22"/>
        </w:rPr>
      </w:pPr>
      <w:r w:rsidRPr="001B5E82">
        <w:t>(</w:t>
      </w:r>
      <w:r w:rsidR="0072217D" w:rsidRPr="001B5E82">
        <w:t>19</w:t>
      </w:r>
      <w:r w:rsidRPr="001B5E82">
        <w:t>)</w:t>
      </w:r>
      <w:r w:rsidRPr="001B5E82">
        <w:tab/>
        <w:t xml:space="preserve">Мерките, които държавите членки трябва да предприемат за намаляване на потреблението на </w:t>
      </w:r>
      <w:r w:rsidR="004A744F" w:rsidRPr="001B5E82">
        <w:t>пластмасови торбички за пазаруване</w:t>
      </w:r>
      <w:r w:rsidRPr="001B5E82">
        <w:t xml:space="preserve">, следва да водят до трайно намаляване на потреблението на </w:t>
      </w:r>
      <w:r w:rsidR="008F0AEB" w:rsidRPr="001B5E82">
        <w:t>тънки</w:t>
      </w:r>
      <w:r w:rsidRPr="001B5E82">
        <w:t xml:space="preserve"> пластмасови </w:t>
      </w:r>
      <w:r w:rsidR="00F87C12" w:rsidRPr="001B5E82">
        <w:t>торбички за пазаруване</w:t>
      </w:r>
      <w:r w:rsidRPr="001B5E82">
        <w:t xml:space="preserve"> и следва да не водят до общо нарастване на генерирането на опаковки.</w:t>
      </w:r>
    </w:p>
    <w:p w:rsidR="00243257" w:rsidRPr="001B5E82" w:rsidRDefault="002E2F81" w:rsidP="0072217D">
      <w:pPr>
        <w:pStyle w:val="ManualConsidrant"/>
        <w:rPr>
          <w:rFonts w:eastAsia="Calibri" w:cs="Arial"/>
          <w:noProof/>
          <w:szCs w:val="22"/>
        </w:rPr>
      </w:pPr>
      <w:r w:rsidRPr="001B5E82">
        <w:br w:type="page"/>
      </w:r>
      <w:r w:rsidR="00243257" w:rsidRPr="001B5E82">
        <w:t>(</w:t>
      </w:r>
      <w:r w:rsidR="0072217D" w:rsidRPr="001B5E82">
        <w:t>20</w:t>
      </w:r>
      <w:r w:rsidR="00243257" w:rsidRPr="001B5E82">
        <w:t>)</w:t>
      </w:r>
      <w:r w:rsidR="00243257" w:rsidRPr="001B5E82">
        <w:tab/>
        <w:t xml:space="preserve">Мерките, предвидени в настоящата директива, са в съответствие със Съобщението на Комисията </w:t>
      </w:r>
      <w:r w:rsidR="00F870EC" w:rsidRPr="001B5E82">
        <w:t xml:space="preserve">относно </w:t>
      </w:r>
      <w:r w:rsidR="00243257" w:rsidRPr="001B5E82">
        <w:t xml:space="preserve">Пътна карта за ефективно използване на ресурсите в Европа и следва да допринасят за дейности срещу </w:t>
      </w:r>
      <w:r w:rsidR="0017610B" w:rsidRPr="001B5E82">
        <w:t xml:space="preserve">замърсяването </w:t>
      </w:r>
      <w:r w:rsidR="003C34D0" w:rsidRPr="001B5E82">
        <w:t>в морските води</w:t>
      </w:r>
      <w:r w:rsidR="00243257" w:rsidRPr="001B5E82">
        <w:t>, предприети в съответствие с Директива 2008/56/ЕО на Европейския парламент и на Съвета</w:t>
      </w:r>
      <w:r w:rsidR="00243257" w:rsidRPr="001B5E82">
        <w:rPr>
          <w:rStyle w:val="FootnoteReference"/>
        </w:rPr>
        <w:footnoteReference w:id="6"/>
      </w:r>
      <w:r w:rsidR="00243257" w:rsidRPr="001B5E82">
        <w:t>.</w:t>
      </w:r>
    </w:p>
    <w:p w:rsidR="00243257" w:rsidRPr="001B5E82" w:rsidRDefault="00243257" w:rsidP="0072217D">
      <w:pPr>
        <w:pStyle w:val="ManualConsidrant"/>
        <w:rPr>
          <w:rFonts w:eastAsia="Calibri" w:cs="Arial"/>
          <w:noProof/>
          <w:szCs w:val="22"/>
        </w:rPr>
      </w:pPr>
      <w:r w:rsidRPr="001B5E82">
        <w:t>(</w:t>
      </w:r>
      <w:r w:rsidR="0072217D" w:rsidRPr="001B5E82">
        <w:t>21</w:t>
      </w:r>
      <w:r w:rsidRPr="001B5E82">
        <w:t>)</w:t>
      </w:r>
      <w:r w:rsidRPr="001B5E82">
        <w:tab/>
        <w:t>Директива 94/62/ЕО следва да бъде съответно изменена,</w:t>
      </w:r>
    </w:p>
    <w:p w:rsidR="00243257" w:rsidRPr="001B5E82" w:rsidRDefault="00243257" w:rsidP="00243257">
      <w:pPr>
        <w:pStyle w:val="Formuledadoption"/>
        <w:rPr>
          <w:rFonts w:eastAsia="Calibri" w:cs="Arial"/>
          <w:noProof/>
          <w:szCs w:val="22"/>
        </w:rPr>
      </w:pPr>
      <w:r w:rsidRPr="001B5E82">
        <w:t>ПРИЕХА НАСТОЯЩАТА ДИРЕКТИВА:</w:t>
      </w:r>
    </w:p>
    <w:p w:rsidR="00243257" w:rsidRPr="001B5E82" w:rsidRDefault="002E2F81" w:rsidP="00243257">
      <w:pPr>
        <w:pStyle w:val="Titrearticle"/>
        <w:rPr>
          <w:rFonts w:eastAsia="Calibri" w:cs="Arial"/>
          <w:noProof/>
          <w:szCs w:val="22"/>
        </w:rPr>
      </w:pPr>
      <w:r w:rsidRPr="001B5E82">
        <w:rPr>
          <w:noProof/>
        </w:rPr>
        <w:br w:type="page"/>
      </w:r>
      <w:r w:rsidR="00243257" w:rsidRPr="001B5E82">
        <w:rPr>
          <w:noProof/>
        </w:rPr>
        <w:t>Член 1</w:t>
      </w:r>
    </w:p>
    <w:p w:rsidR="00243257" w:rsidRPr="001B5E82" w:rsidRDefault="00243257" w:rsidP="00243257">
      <w:pPr>
        <w:autoSpaceDE w:val="0"/>
        <w:autoSpaceDN w:val="0"/>
        <w:adjustRightInd w:val="0"/>
        <w:rPr>
          <w:rFonts w:eastAsia="Calibri" w:cs="Arial"/>
          <w:noProof/>
          <w:szCs w:val="22"/>
        </w:rPr>
      </w:pPr>
      <w:r w:rsidRPr="001B5E82">
        <w:t>Директива 94/62/ЕО се изменя, както следва:</w:t>
      </w:r>
    </w:p>
    <w:p w:rsidR="00243257" w:rsidRPr="001B5E82" w:rsidRDefault="00243257" w:rsidP="00594C71">
      <w:pPr>
        <w:pStyle w:val="Point0"/>
        <w:rPr>
          <w:rFonts w:eastAsia="Calibri"/>
        </w:rPr>
      </w:pPr>
      <w:r w:rsidRPr="001B5E82">
        <w:t>1)</w:t>
      </w:r>
      <w:r w:rsidRPr="001B5E82">
        <w:tab/>
        <w:t xml:space="preserve">В член 3 се вмъкват </w:t>
      </w:r>
      <w:r w:rsidR="003641C0" w:rsidRPr="001B5E82">
        <w:t xml:space="preserve">следните </w:t>
      </w:r>
      <w:r w:rsidR="006579D2" w:rsidRPr="001B5E82">
        <w:t>точки</w:t>
      </w:r>
      <w:r w:rsidRPr="001B5E82">
        <w:t>:</w:t>
      </w:r>
    </w:p>
    <w:p w:rsidR="00243257" w:rsidRPr="001B5E82" w:rsidRDefault="00243257" w:rsidP="00594C71">
      <w:pPr>
        <w:pStyle w:val="Point1"/>
        <w:rPr>
          <w:rFonts w:eastAsia="Calibri" w:cs="Arial"/>
          <w:noProof/>
          <w:szCs w:val="22"/>
        </w:rPr>
      </w:pPr>
      <w:r w:rsidRPr="001B5E82">
        <w:rPr>
          <w:noProof/>
        </w:rPr>
        <w:t>„</w:t>
      </w:r>
      <w:r w:rsidR="00594C71" w:rsidRPr="001B5E82">
        <w:rPr>
          <w:noProof/>
        </w:rPr>
        <w:t>1а</w:t>
      </w:r>
      <w:r w:rsidRPr="001B5E82">
        <w:rPr>
          <w:noProof/>
        </w:rPr>
        <w:t>.</w:t>
      </w:r>
      <w:r w:rsidRPr="001B5E82">
        <w:rPr>
          <w:noProof/>
          <w:lang w:val="ru-RU"/>
        </w:rPr>
        <w:tab/>
      </w:r>
      <w:r w:rsidRPr="001B5E82">
        <w:t xml:space="preserve">„пластмаса“ </w:t>
      </w:r>
      <w:r w:rsidRPr="001B5E82">
        <w:rPr>
          <w:noProof/>
        </w:rPr>
        <w:t>означава полимер по смисъла на член 3, параграф 5 от Регламент (ЕО) № 1907/2006</w:t>
      </w:r>
      <w:r w:rsidR="000829B3" w:rsidRPr="001B5E82">
        <w:rPr>
          <w:noProof/>
        </w:rPr>
        <w:t xml:space="preserve"> на Европейския парламент и на Съвета</w:t>
      </w:r>
      <w:r w:rsidR="006579D2" w:rsidRPr="001B5E82">
        <w:rPr>
          <w:noProof/>
        </w:rPr>
        <w:t>*</w:t>
      </w:r>
      <w:r w:rsidRPr="001B5E82">
        <w:rPr>
          <w:noProof/>
        </w:rPr>
        <w:t xml:space="preserve">, към който може да са добавени добавки или други вещества и който може да функционира като основен структурен компонент за </w:t>
      </w:r>
      <w:r w:rsidR="00F87C12" w:rsidRPr="001B5E82">
        <w:rPr>
          <w:noProof/>
        </w:rPr>
        <w:t>торбички за пазаруване</w:t>
      </w:r>
      <w:r w:rsidR="000829B3" w:rsidRPr="001B5E82">
        <w:rPr>
          <w:noProof/>
        </w:rPr>
        <w:t>;</w:t>
      </w:r>
    </w:p>
    <w:p w:rsidR="00243257" w:rsidRPr="001B5E82" w:rsidRDefault="00594C71" w:rsidP="00F87C12">
      <w:pPr>
        <w:pStyle w:val="Point1"/>
        <w:rPr>
          <w:rFonts w:eastAsia="Calibri" w:cs="Arial"/>
          <w:bCs/>
          <w:iCs/>
          <w:szCs w:val="22"/>
        </w:rPr>
      </w:pPr>
      <w:r w:rsidRPr="001B5E82">
        <w:t>1б</w:t>
      </w:r>
      <w:r w:rsidR="00243257" w:rsidRPr="001B5E82">
        <w:t>.</w:t>
      </w:r>
      <w:r w:rsidR="00243257" w:rsidRPr="001B5E82">
        <w:rPr>
          <w:lang w:val="ru-RU"/>
        </w:rPr>
        <w:tab/>
      </w:r>
      <w:r w:rsidR="00243257" w:rsidRPr="001B5E82">
        <w:t xml:space="preserve">„пластмасови </w:t>
      </w:r>
      <w:r w:rsidR="004A744F" w:rsidRPr="001B5E82">
        <w:t xml:space="preserve">торбички </w:t>
      </w:r>
      <w:r w:rsidR="00243257" w:rsidRPr="001B5E82">
        <w:t xml:space="preserve">за </w:t>
      </w:r>
      <w:r w:rsidR="004A744F" w:rsidRPr="001B5E82">
        <w:t>пазаруване</w:t>
      </w:r>
      <w:r w:rsidR="00243257" w:rsidRPr="001B5E82">
        <w:t xml:space="preserve">“ означава </w:t>
      </w:r>
      <w:r w:rsidR="004A744F" w:rsidRPr="001B5E82">
        <w:t xml:space="preserve">торбички </w:t>
      </w:r>
      <w:r w:rsidR="00AE15AE" w:rsidRPr="001B5E82">
        <w:t xml:space="preserve">за </w:t>
      </w:r>
      <w:r w:rsidR="00F87C12" w:rsidRPr="001B5E82">
        <w:t>пазаруване</w:t>
      </w:r>
      <w:r w:rsidR="00243257" w:rsidRPr="001B5E82">
        <w:t>, със или без дръжка, произведени от пластмаса, които се предлагат на потребителите на мястото на продажба на стоките или продуктите</w:t>
      </w:r>
      <w:r w:rsidR="000829B3" w:rsidRPr="001B5E82">
        <w:t>;</w:t>
      </w:r>
    </w:p>
    <w:p w:rsidR="00243257" w:rsidRPr="001B5E82" w:rsidRDefault="00C9008F" w:rsidP="004A744F">
      <w:pPr>
        <w:pStyle w:val="Point1"/>
        <w:rPr>
          <w:rFonts w:eastAsia="Calibri"/>
        </w:rPr>
      </w:pPr>
      <w:r w:rsidRPr="00C9008F">
        <w:t>1</w:t>
      </w:r>
      <w:r w:rsidR="00243257" w:rsidRPr="00C9008F">
        <w:t>в.</w:t>
      </w:r>
      <w:r w:rsidR="00243257" w:rsidRPr="00C9008F">
        <w:tab/>
        <w:t>„</w:t>
      </w:r>
      <w:r w:rsidR="004A744F" w:rsidRPr="001B5E82">
        <w:t>тънки пластмасови торбички за пазаруване</w:t>
      </w:r>
      <w:r w:rsidR="00243257" w:rsidRPr="001B5E82">
        <w:t xml:space="preserve">“ означава пластмасови </w:t>
      </w:r>
      <w:r w:rsidR="004A744F" w:rsidRPr="001B5E82">
        <w:t xml:space="preserve">торбички </w:t>
      </w:r>
      <w:r w:rsidR="00243257" w:rsidRPr="001B5E82">
        <w:t xml:space="preserve">за </w:t>
      </w:r>
      <w:r w:rsidR="004A744F" w:rsidRPr="001B5E82">
        <w:t xml:space="preserve">пазаруване </w:t>
      </w:r>
      <w:r w:rsidR="00243257" w:rsidRPr="001B5E82">
        <w:t>с дебелина на стената под 50 микрона</w:t>
      </w:r>
      <w:r w:rsidR="000829B3" w:rsidRPr="001B5E82">
        <w:t>;</w:t>
      </w:r>
    </w:p>
    <w:p w:rsidR="00243257" w:rsidRPr="001B5E82" w:rsidRDefault="00C9008F" w:rsidP="004A744F">
      <w:pPr>
        <w:pStyle w:val="Point1"/>
        <w:rPr>
          <w:rFonts w:eastAsia="Calibri" w:cs="Arial"/>
          <w:bCs/>
          <w:szCs w:val="22"/>
        </w:rPr>
      </w:pPr>
      <w:r>
        <w:t>1</w:t>
      </w:r>
      <w:r w:rsidR="00243257" w:rsidRPr="001B5E82">
        <w:t>г.</w:t>
      </w:r>
      <w:r w:rsidR="00243257" w:rsidRPr="001B5E82">
        <w:rPr>
          <w:lang w:val="ru-RU"/>
        </w:rPr>
        <w:tab/>
      </w:r>
      <w:r w:rsidR="00243257" w:rsidRPr="001B5E82">
        <w:t xml:space="preserve">„много </w:t>
      </w:r>
      <w:r w:rsidR="004A744F" w:rsidRPr="001B5E82">
        <w:t>тънки пластмасови торбички за пазаруване</w:t>
      </w:r>
      <w:r w:rsidR="00243257" w:rsidRPr="001B5E82">
        <w:t xml:space="preserve">“ означава пластмасови </w:t>
      </w:r>
      <w:r w:rsidR="004A744F" w:rsidRPr="001B5E82">
        <w:t>торбички за пазаруване</w:t>
      </w:r>
      <w:r w:rsidR="00243257" w:rsidRPr="001B5E82">
        <w:t xml:space="preserve"> с дебелина на стената под 15 микрона, чието използване се налага за целите на хигиената или които се предлагат като първични опаковки за насипна храна, когато това помага за предотвратяване на разхищаването на храни</w:t>
      </w:r>
      <w:r w:rsidR="000829B3" w:rsidRPr="001B5E82">
        <w:t>;</w:t>
      </w:r>
    </w:p>
    <w:p w:rsidR="000D70D3" w:rsidRPr="001B5E82" w:rsidRDefault="002E2F81" w:rsidP="00C9008F">
      <w:pPr>
        <w:pStyle w:val="Point1"/>
      </w:pPr>
      <w:r w:rsidRPr="001B5E82">
        <w:br w:type="page"/>
      </w:r>
      <w:r w:rsidR="00C9008F">
        <w:t>1</w:t>
      </w:r>
      <w:r w:rsidR="00243257" w:rsidRPr="001B5E82">
        <w:t>д.</w:t>
      </w:r>
      <w:r w:rsidR="00243257" w:rsidRPr="001B5E82">
        <w:rPr>
          <w:lang w:val="ru-RU"/>
        </w:rPr>
        <w:tab/>
      </w:r>
      <w:r w:rsidR="00243257" w:rsidRPr="001B5E82">
        <w:t xml:space="preserve">„разградими при окисляване пластмасови </w:t>
      </w:r>
      <w:r w:rsidR="00F87C12" w:rsidRPr="001B5E82">
        <w:t>торбички за пазаруване</w:t>
      </w:r>
      <w:r w:rsidR="00243257" w:rsidRPr="001B5E82">
        <w:t xml:space="preserve">“ означава </w:t>
      </w:r>
      <w:r w:rsidR="006579D2" w:rsidRPr="001B5E82">
        <w:t xml:space="preserve">пластмасови </w:t>
      </w:r>
      <w:r w:rsidR="00F87C12" w:rsidRPr="001B5E82">
        <w:t>торбички за пазаруване</w:t>
      </w:r>
      <w:r w:rsidR="00243257" w:rsidRPr="001B5E82">
        <w:t>, произведени от пластмасови материали, които съдържат добавки, действащи като катализатор за разпадането на пластмасовия материал на микрофрагменти.</w:t>
      </w:r>
    </w:p>
    <w:p w:rsidR="000829B3" w:rsidRPr="001B5E82" w:rsidRDefault="00C9008F" w:rsidP="006579D2">
      <w:pPr>
        <w:pStyle w:val="Point1"/>
      </w:pPr>
      <w:r w:rsidRPr="00ED442C">
        <w:rPr>
          <w:rFonts w:eastAsia="Calibri"/>
        </w:rPr>
        <w:t>________________________</w:t>
      </w:r>
    </w:p>
    <w:p w:rsidR="000829B3" w:rsidRPr="001B5E82" w:rsidRDefault="000829B3" w:rsidP="002E2F81">
      <w:pPr>
        <w:pStyle w:val="Point1"/>
        <w:spacing w:before="0" w:after="0" w:line="240" w:lineRule="auto"/>
        <w:ind w:left="1418"/>
        <w:rPr>
          <w:rFonts w:eastAsia="Calibri" w:cs="Arial"/>
          <w:bCs/>
          <w:iCs/>
          <w:szCs w:val="22"/>
        </w:rPr>
      </w:pPr>
      <w:r w:rsidRPr="001B5E82">
        <w:rPr>
          <w:rFonts w:eastAsia="Calibri" w:cs="Arial"/>
          <w:b/>
          <w:noProof/>
          <w:szCs w:val="22"/>
          <w:lang w:val="ru-RU"/>
        </w:rPr>
        <w:t>*</w:t>
      </w:r>
      <w:r w:rsidRPr="001B5E82">
        <w:rPr>
          <w:rFonts w:eastAsia="Calibri" w:cs="Arial"/>
          <w:b/>
          <w:noProof/>
          <w:szCs w:val="22"/>
        </w:rPr>
        <w:tab/>
      </w:r>
      <w:r w:rsidR="003641C0" w:rsidRPr="001B5E82">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w:t>
      </w:r>
      <w:r w:rsidRPr="001B5E82">
        <w:t xml:space="preserve"> (O</w:t>
      </w:r>
      <w:r w:rsidR="003641C0" w:rsidRPr="001B5E82">
        <w:t>В</w:t>
      </w:r>
      <w:r w:rsidRPr="001B5E82">
        <w:t xml:space="preserve"> L 396, 30.12.2006</w:t>
      </w:r>
      <w:r w:rsidR="003641C0" w:rsidRPr="001B5E82">
        <w:t xml:space="preserve"> г.</w:t>
      </w:r>
      <w:r w:rsidRPr="001B5E82">
        <w:t xml:space="preserve">, </w:t>
      </w:r>
      <w:r w:rsidR="003641C0" w:rsidRPr="001B5E82">
        <w:t>стр</w:t>
      </w:r>
      <w:r w:rsidRPr="001B5E82">
        <w:t>.1).</w:t>
      </w:r>
      <w:r w:rsidR="000D70D3" w:rsidRPr="00C9008F">
        <w:rPr>
          <w:rFonts w:eastAsia="Calibri" w:cs="Arial"/>
          <w:iCs/>
          <w:szCs w:val="22"/>
          <w:lang w:val="ru-RU"/>
        </w:rPr>
        <w:t>“</w:t>
      </w:r>
      <w:r w:rsidRPr="00C9008F">
        <w:rPr>
          <w:rFonts w:eastAsia="Calibri" w:cs="Arial"/>
          <w:iCs/>
          <w:szCs w:val="22"/>
          <w:lang w:val="ru-RU"/>
        </w:rPr>
        <w:t>.</w:t>
      </w:r>
    </w:p>
    <w:p w:rsidR="00243257" w:rsidRPr="001B5E82" w:rsidRDefault="00243257" w:rsidP="002E2F81">
      <w:pPr>
        <w:pStyle w:val="Point0"/>
        <w:rPr>
          <w:rFonts w:eastAsia="Calibri"/>
        </w:rPr>
      </w:pPr>
      <w:r w:rsidRPr="001B5E82">
        <w:t>2)</w:t>
      </w:r>
      <w:r w:rsidRPr="001B5E82">
        <w:tab/>
        <w:t>В член 4 се вмъкват следните параграфи:</w:t>
      </w:r>
    </w:p>
    <w:p w:rsidR="00243257" w:rsidRPr="001B5E82" w:rsidRDefault="00243257" w:rsidP="001630E3">
      <w:pPr>
        <w:pStyle w:val="Point1"/>
      </w:pPr>
      <w:r w:rsidRPr="001B5E82">
        <w:t>„1a.</w:t>
      </w:r>
      <w:r w:rsidRPr="001B5E82">
        <w:tab/>
        <w:t xml:space="preserve">Държавите членки предприемат необходимите мерки за постигане на трайно намаление в потреблението на </w:t>
      </w:r>
      <w:r w:rsidR="001630E3" w:rsidRPr="001B5E82">
        <w:t>тънки пластмасови торбички за пазаруване</w:t>
      </w:r>
      <w:r w:rsidR="001630E3" w:rsidRPr="001B5E82" w:rsidDel="001630E3">
        <w:t xml:space="preserve"> </w:t>
      </w:r>
      <w:r w:rsidRPr="001B5E82">
        <w:t>на своята територия.</w:t>
      </w:r>
    </w:p>
    <w:p w:rsidR="00243257" w:rsidRPr="001B5E82" w:rsidRDefault="00243257" w:rsidP="00243257">
      <w:pPr>
        <w:pStyle w:val="Text2"/>
        <w:rPr>
          <w:rFonts w:eastAsia="Calibri"/>
        </w:rPr>
      </w:pPr>
      <w:r w:rsidRPr="001B5E82">
        <w:t>Тези мерки могат да включват прилагането на национални целеви показатели за намаляване на потреблението, запазването или въвеждането на икономически инструменти, както и ограничения за търговия чрез дерогация от член 18 от настоящата директива, при условие че тези ограничения са пропорционални и недискриминационни.</w:t>
      </w:r>
    </w:p>
    <w:p w:rsidR="00243257" w:rsidRPr="001B5E82" w:rsidRDefault="00243257" w:rsidP="001630E3">
      <w:pPr>
        <w:pStyle w:val="Text2"/>
        <w:rPr>
          <w:rFonts w:eastAsia="Calibri"/>
        </w:rPr>
      </w:pPr>
      <w:r w:rsidRPr="001B5E82">
        <w:t xml:space="preserve">Тези мерки могат да варират в зависимост от въздействието на </w:t>
      </w:r>
      <w:r w:rsidR="001630E3" w:rsidRPr="001B5E82">
        <w:t>тънките пластмасови торбички за пазаруване</w:t>
      </w:r>
      <w:r w:rsidR="00F27095" w:rsidRPr="001B5E82">
        <w:t xml:space="preserve"> </w:t>
      </w:r>
      <w:r w:rsidRPr="001B5E82">
        <w:t>върху околната среда</w:t>
      </w:r>
      <w:r w:rsidR="000D70D3" w:rsidRPr="001B5E82">
        <w:t>,</w:t>
      </w:r>
      <w:r w:rsidRPr="001B5E82">
        <w:t xml:space="preserve"> след като бъдат оползотворени или обезвредени, </w:t>
      </w:r>
      <w:r w:rsidR="008F0AEB" w:rsidRPr="001B5E82">
        <w:t xml:space="preserve">от </w:t>
      </w:r>
      <w:r w:rsidRPr="001B5E82">
        <w:t xml:space="preserve">техните характеристики на компостиране, </w:t>
      </w:r>
      <w:r w:rsidR="008F0AEB" w:rsidRPr="001B5E82">
        <w:t xml:space="preserve">от </w:t>
      </w:r>
      <w:r w:rsidRPr="001B5E82">
        <w:t xml:space="preserve">издръжливостта им или </w:t>
      </w:r>
      <w:r w:rsidR="008F0AEB" w:rsidRPr="001B5E82">
        <w:t xml:space="preserve">от </w:t>
      </w:r>
      <w:r w:rsidRPr="001B5E82">
        <w:t>конкретно планираното им предназначение.</w:t>
      </w:r>
    </w:p>
    <w:p w:rsidR="00243257" w:rsidRPr="001B5E82" w:rsidRDefault="002E2F81" w:rsidP="00F27095">
      <w:pPr>
        <w:pStyle w:val="Text2"/>
        <w:rPr>
          <w:rFonts w:eastAsia="Calibri"/>
        </w:rPr>
      </w:pPr>
      <w:r w:rsidRPr="001B5E82">
        <w:br w:type="page"/>
      </w:r>
      <w:r w:rsidR="00243257" w:rsidRPr="001B5E82">
        <w:t>Мерките, предприети от държавите членки, включват един от следните елементи, или и двата</w:t>
      </w:r>
      <w:r w:rsidR="00F27095" w:rsidRPr="001B5E82">
        <w:t xml:space="preserve"> заедно</w:t>
      </w:r>
      <w:r w:rsidR="00243257" w:rsidRPr="001B5E82">
        <w:t>:</w:t>
      </w:r>
    </w:p>
    <w:p w:rsidR="00243257" w:rsidRPr="001B5E82" w:rsidRDefault="00243257" w:rsidP="001630E3">
      <w:pPr>
        <w:pStyle w:val="Point2"/>
        <w:rPr>
          <w:rFonts w:eastAsia="Calibri" w:cs="Arial"/>
          <w:noProof/>
          <w:szCs w:val="22"/>
        </w:rPr>
      </w:pPr>
      <w:r w:rsidRPr="001B5E82">
        <w:rPr>
          <w:noProof/>
        </w:rPr>
        <w:t>а)</w:t>
      </w:r>
      <w:r w:rsidRPr="001B5E82">
        <w:tab/>
      </w:r>
      <w:r w:rsidRPr="001B5E82">
        <w:rPr>
          <w:noProof/>
        </w:rPr>
        <w:t xml:space="preserve">приемане на мерки, които да гарантират, че нивото на годишното потребление не превишава съответно 90 </w:t>
      </w:r>
      <w:r w:rsidR="001630E3" w:rsidRPr="001B5E82">
        <w:rPr>
          <w:noProof/>
        </w:rPr>
        <w:t>тънки пластмасови торбички за пазаруване</w:t>
      </w:r>
      <w:r w:rsidRPr="001B5E82">
        <w:rPr>
          <w:noProof/>
        </w:rPr>
        <w:t xml:space="preserve"> на </w:t>
      </w:r>
      <w:r w:rsidR="006947C4" w:rsidRPr="001B5E82">
        <w:rPr>
          <w:noProof/>
        </w:rPr>
        <w:t xml:space="preserve">човек </w:t>
      </w:r>
      <w:r w:rsidRPr="001B5E82">
        <w:rPr>
          <w:noProof/>
        </w:rPr>
        <w:t xml:space="preserve">до 31 декември 2019 г. и 40 </w:t>
      </w:r>
      <w:r w:rsidR="001630E3" w:rsidRPr="001B5E82">
        <w:rPr>
          <w:noProof/>
        </w:rPr>
        <w:t>тънки пластмасови торбички за пазаруване</w:t>
      </w:r>
      <w:r w:rsidR="001630E3" w:rsidRPr="001B5E82" w:rsidDel="001630E3">
        <w:rPr>
          <w:noProof/>
        </w:rPr>
        <w:t xml:space="preserve"> </w:t>
      </w:r>
      <w:r w:rsidRPr="001B5E82">
        <w:rPr>
          <w:noProof/>
        </w:rPr>
        <w:t xml:space="preserve">на </w:t>
      </w:r>
      <w:r w:rsidR="006947C4" w:rsidRPr="001B5E82">
        <w:rPr>
          <w:noProof/>
        </w:rPr>
        <w:t xml:space="preserve">човек </w:t>
      </w:r>
      <w:r w:rsidRPr="001B5E82">
        <w:rPr>
          <w:noProof/>
        </w:rPr>
        <w:t>до 31 декември 2025 г</w:t>
      </w:r>
      <w:r w:rsidR="006947C4" w:rsidRPr="001B5E82">
        <w:rPr>
          <w:noProof/>
        </w:rPr>
        <w:t xml:space="preserve">., </w:t>
      </w:r>
      <w:r w:rsidRPr="001B5E82">
        <w:rPr>
          <w:noProof/>
        </w:rPr>
        <w:t xml:space="preserve">или равностойни цели, изразени в тегло. Много </w:t>
      </w:r>
      <w:r w:rsidR="001630E3" w:rsidRPr="001B5E82">
        <w:rPr>
          <w:noProof/>
        </w:rPr>
        <w:t>тънките пластмасови торбички за пазаруване</w:t>
      </w:r>
      <w:r w:rsidRPr="001B5E82">
        <w:rPr>
          <w:noProof/>
        </w:rPr>
        <w:t xml:space="preserve"> могат да бъдат изключени от националните цели в областта на потреблението;</w:t>
      </w:r>
    </w:p>
    <w:p w:rsidR="00243257" w:rsidRPr="001B5E82" w:rsidRDefault="00243257" w:rsidP="001630E3">
      <w:pPr>
        <w:pStyle w:val="Point2"/>
        <w:rPr>
          <w:rFonts w:eastAsia="Calibri" w:cs="Arial"/>
          <w:noProof/>
          <w:szCs w:val="22"/>
        </w:rPr>
      </w:pPr>
      <w:r w:rsidRPr="001B5E82">
        <w:rPr>
          <w:noProof/>
        </w:rPr>
        <w:t>б)</w:t>
      </w:r>
      <w:r w:rsidRPr="001B5E82">
        <w:tab/>
      </w:r>
      <w:r w:rsidRPr="001B5E82">
        <w:rPr>
          <w:noProof/>
        </w:rPr>
        <w:t xml:space="preserve">приемане на инструменти, с които да се гарантира, че до 31 декември 2018 г. </w:t>
      </w:r>
      <w:r w:rsidR="001630E3" w:rsidRPr="001B5E82">
        <w:rPr>
          <w:noProof/>
        </w:rPr>
        <w:t>тънките пластмасови торбички за пазаруване</w:t>
      </w:r>
      <w:r w:rsidR="001630E3" w:rsidRPr="001B5E82" w:rsidDel="001630E3">
        <w:rPr>
          <w:noProof/>
        </w:rPr>
        <w:t xml:space="preserve"> </w:t>
      </w:r>
      <w:r w:rsidRPr="001B5E82">
        <w:rPr>
          <w:noProof/>
        </w:rPr>
        <w:t xml:space="preserve">ще престанат да се предлагат безплатно на мястото на продажба на стоките или продуктите, освен ако не се прилагат инструменти с равностойна ефективност. Много </w:t>
      </w:r>
      <w:r w:rsidR="001630E3" w:rsidRPr="001B5E82">
        <w:rPr>
          <w:noProof/>
        </w:rPr>
        <w:t>тънките пластмасови торбички за пазаруване</w:t>
      </w:r>
      <w:r w:rsidRPr="001B5E82">
        <w:rPr>
          <w:noProof/>
        </w:rPr>
        <w:t xml:space="preserve"> могат да бъдат изключени от тези </w:t>
      </w:r>
      <w:r w:rsidR="001630E3" w:rsidRPr="001B5E82">
        <w:rPr>
          <w:noProof/>
        </w:rPr>
        <w:t>мерки</w:t>
      </w:r>
      <w:r w:rsidRPr="001B5E82">
        <w:rPr>
          <w:noProof/>
        </w:rPr>
        <w:t>.</w:t>
      </w:r>
    </w:p>
    <w:p w:rsidR="00243257" w:rsidRPr="001B5E82" w:rsidRDefault="00243257" w:rsidP="00594C71">
      <w:pPr>
        <w:pStyle w:val="Text2"/>
        <w:rPr>
          <w:rFonts w:eastAsia="Calibri"/>
        </w:rPr>
      </w:pPr>
      <w:r w:rsidRPr="001B5E82">
        <w:t>От …</w:t>
      </w:r>
      <w:r w:rsidR="00A9545D" w:rsidRPr="001B5E82">
        <w:rPr>
          <w:rStyle w:val="FootnoteReference"/>
        </w:rPr>
        <w:footnoteReference w:customMarkFollows="1" w:id="7"/>
        <w:sym w:font="Symbol" w:char="F02B"/>
      </w:r>
      <w:r w:rsidRPr="001B5E82">
        <w:t xml:space="preserve"> държавите членки докладват относно годишното потребление на </w:t>
      </w:r>
      <w:r w:rsidR="001630E3" w:rsidRPr="001B5E82">
        <w:t>тънки пластмасови торбички за пазаруване</w:t>
      </w:r>
      <w:r w:rsidRPr="001B5E82">
        <w:t xml:space="preserve">, когато </w:t>
      </w:r>
      <w:r w:rsidR="00594C71" w:rsidRPr="001B5E82">
        <w:t xml:space="preserve">предоставят на Комисията данни относно опаковките и отпадъците от опаковки </w:t>
      </w:r>
      <w:r w:rsidRPr="001B5E82">
        <w:t xml:space="preserve">в съответствие с член </w:t>
      </w:r>
      <w:r w:rsidR="001630E3" w:rsidRPr="001B5E82">
        <w:t xml:space="preserve">12 </w:t>
      </w:r>
      <w:r w:rsidRPr="001B5E82">
        <w:t>от настоящата директива.</w:t>
      </w:r>
    </w:p>
    <w:p w:rsidR="00243257" w:rsidRPr="001B5E82" w:rsidRDefault="00243257" w:rsidP="001630E3">
      <w:pPr>
        <w:pStyle w:val="Text2"/>
        <w:rPr>
          <w:rFonts w:eastAsia="Calibri"/>
        </w:rPr>
      </w:pPr>
      <w:r w:rsidRPr="001B5E82">
        <w:t>До …</w:t>
      </w:r>
      <w:r w:rsidR="00A9545D" w:rsidRPr="001B5E82">
        <w:rPr>
          <w:rStyle w:val="FootnoteReference"/>
        </w:rPr>
        <w:footnoteReference w:customMarkFollows="1" w:id="8"/>
        <w:sym w:font="Symbol" w:char="F02B"/>
      </w:r>
      <w:r w:rsidR="00A9545D" w:rsidRPr="001B5E82">
        <w:rPr>
          <w:rStyle w:val="FootnoteReference"/>
        </w:rPr>
        <w:sym w:font="Symbol" w:char="F02B"/>
      </w:r>
      <w:r w:rsidRPr="001B5E82">
        <w:t xml:space="preserve"> Комисията приема акт за изпълнение, </w:t>
      </w:r>
      <w:r w:rsidR="00A9545D" w:rsidRPr="001B5E82">
        <w:t>с</w:t>
      </w:r>
      <w:r w:rsidRPr="001B5E82">
        <w:t xml:space="preserve"> който се определя методологията за изчисляване на годишното потребление на </w:t>
      </w:r>
      <w:r w:rsidR="001630E3" w:rsidRPr="001B5E82">
        <w:t>тънки пластмасови торбички за пазаруване</w:t>
      </w:r>
      <w:r w:rsidR="006947C4" w:rsidRPr="001B5E82">
        <w:t xml:space="preserve"> </w:t>
      </w:r>
      <w:r w:rsidRPr="001B5E82">
        <w:t xml:space="preserve">на </w:t>
      </w:r>
      <w:r w:rsidR="006947C4" w:rsidRPr="001B5E82">
        <w:t xml:space="preserve">човек </w:t>
      </w:r>
      <w:r w:rsidRPr="001B5E82">
        <w:t>и се адаптират форматите</w:t>
      </w:r>
      <w:r w:rsidR="001630E3" w:rsidRPr="001B5E82">
        <w:t xml:space="preserve"> за докладване</w:t>
      </w:r>
      <w:r w:rsidRPr="001B5E82">
        <w:t xml:space="preserve">, приети съгласно член 12, параграф 3. Този акт за изпълнение се приема в съответствие с процедурата по </w:t>
      </w:r>
      <w:r w:rsidR="002315BC" w:rsidRPr="001B5E82">
        <w:t xml:space="preserve">регулиране, посочена в </w:t>
      </w:r>
      <w:r w:rsidRPr="001B5E82">
        <w:t>член 21, параграф 2.</w:t>
      </w:r>
    </w:p>
    <w:p w:rsidR="00243257" w:rsidRPr="001B5E82" w:rsidRDefault="002E2F81" w:rsidP="001630E3">
      <w:pPr>
        <w:pStyle w:val="Point1"/>
        <w:rPr>
          <w:rFonts w:eastAsia="Calibri" w:cs="Arial"/>
          <w:iCs/>
          <w:noProof/>
          <w:szCs w:val="22"/>
        </w:rPr>
      </w:pPr>
      <w:r w:rsidRPr="001B5E82">
        <w:rPr>
          <w:noProof/>
        </w:rPr>
        <w:br w:type="page"/>
      </w:r>
      <w:r w:rsidR="00243257" w:rsidRPr="001B5E82">
        <w:rPr>
          <w:noProof/>
        </w:rPr>
        <w:t>1б.</w:t>
      </w:r>
      <w:r w:rsidR="00243257" w:rsidRPr="00B147DE">
        <w:rPr>
          <w:noProof/>
          <w:lang w:val="ru-RU"/>
        </w:rPr>
        <w:tab/>
      </w:r>
      <w:r w:rsidR="00243257" w:rsidRPr="001B5E82">
        <w:rPr>
          <w:noProof/>
        </w:rPr>
        <w:t xml:space="preserve">Без да се засяга член 15, държавите членки могат да предприемат мерки, като например икономически инструменти и национални целеви показатели за намаляване на потреблението, по отношение на всеки вид пластмасови </w:t>
      </w:r>
      <w:r w:rsidR="001630E3" w:rsidRPr="001B5E82">
        <w:rPr>
          <w:noProof/>
        </w:rPr>
        <w:t>торбички за пазаруване</w:t>
      </w:r>
      <w:r w:rsidR="00243257" w:rsidRPr="001B5E82">
        <w:rPr>
          <w:noProof/>
        </w:rPr>
        <w:t>, независимо от дебелината на техните стени.</w:t>
      </w:r>
    </w:p>
    <w:p w:rsidR="00243257" w:rsidRPr="001B5E82" w:rsidRDefault="00243257" w:rsidP="000C312A">
      <w:pPr>
        <w:pStyle w:val="Point1"/>
        <w:rPr>
          <w:rFonts w:eastAsia="Calibri" w:cs="Arial"/>
          <w:iCs/>
          <w:szCs w:val="22"/>
        </w:rPr>
      </w:pPr>
      <w:r w:rsidRPr="001B5E82">
        <w:t>1в.</w:t>
      </w:r>
      <w:r w:rsidRPr="001B5E82">
        <w:rPr>
          <w:lang w:val="ru-RU"/>
        </w:rPr>
        <w:tab/>
      </w:r>
      <w:r w:rsidR="00714A82" w:rsidRPr="001B5E82">
        <w:t xml:space="preserve">Поне </w:t>
      </w:r>
      <w:r w:rsidRPr="001B5E82">
        <w:t xml:space="preserve">през първата година </w:t>
      </w:r>
      <w:r w:rsidR="00714A82" w:rsidRPr="001B5E82">
        <w:t>след …</w:t>
      </w:r>
      <w:r w:rsidR="00A9545D" w:rsidRPr="001B5E82">
        <w:rPr>
          <w:rStyle w:val="FootnoteReference"/>
        </w:rPr>
        <w:footnoteReference w:customMarkFollows="1" w:id="9"/>
        <w:sym w:font="Symbol" w:char="F02B"/>
      </w:r>
      <w:r w:rsidRPr="001B5E82">
        <w:t xml:space="preserve"> Комисията и държавите членки активно насърчават кампании за информиране и повишаване на осведомеността, насочени към широката общественост, относно отрицателните последици за околната среда от прекомерното </w:t>
      </w:r>
      <w:r w:rsidR="000C312A" w:rsidRPr="001B5E82">
        <w:t xml:space="preserve">потребление </w:t>
      </w:r>
      <w:r w:rsidRPr="001B5E82">
        <w:t xml:space="preserve">на </w:t>
      </w:r>
      <w:r w:rsidR="001630E3" w:rsidRPr="001B5E82">
        <w:t>тънки пластмасови торбички за пазаруване</w:t>
      </w:r>
      <w:r w:rsidRPr="001B5E82">
        <w:t>.</w:t>
      </w:r>
      <w:r w:rsidR="00714A82" w:rsidRPr="001B5E82">
        <w:t>".</w:t>
      </w:r>
    </w:p>
    <w:p w:rsidR="00243257" w:rsidRPr="001B5E82" w:rsidRDefault="00351861" w:rsidP="00351861">
      <w:pPr>
        <w:pStyle w:val="Point0"/>
      </w:pPr>
      <w:r w:rsidRPr="001B5E82">
        <w:t>3</w:t>
      </w:r>
      <w:r w:rsidR="00243257" w:rsidRPr="001B5E82">
        <w:t>)</w:t>
      </w:r>
      <w:r w:rsidR="00243257" w:rsidRPr="001B5E82">
        <w:tab/>
        <w:t xml:space="preserve">Вмъква се </w:t>
      </w:r>
      <w:r w:rsidR="000829B3" w:rsidRPr="001B5E82">
        <w:t xml:space="preserve">следният </w:t>
      </w:r>
      <w:r w:rsidR="00243257" w:rsidRPr="001B5E82">
        <w:t>член:</w:t>
      </w:r>
    </w:p>
    <w:p w:rsidR="00594C71" w:rsidRPr="001B5E82" w:rsidRDefault="00C9008F" w:rsidP="00C9008F">
      <w:pPr>
        <w:pStyle w:val="Text1"/>
        <w:rPr>
          <w:rFonts w:eastAsia="Calibri" w:cs="Arial"/>
          <w:i/>
          <w:iCs/>
          <w:szCs w:val="22"/>
        </w:rPr>
      </w:pPr>
      <w:r>
        <w:rPr>
          <w:i/>
          <w:iCs/>
        </w:rPr>
        <w:t>„</w:t>
      </w:r>
      <w:r w:rsidR="000829B3" w:rsidRPr="001B5E82">
        <w:rPr>
          <w:i/>
          <w:iCs/>
        </w:rPr>
        <w:t>Член 8а</w:t>
      </w:r>
      <w:r>
        <w:rPr>
          <w:i/>
          <w:iCs/>
        </w:rPr>
        <w:br/>
      </w:r>
      <w:r w:rsidR="00351861" w:rsidRPr="001B5E82">
        <w:rPr>
          <w:i/>
          <w:iCs/>
        </w:rPr>
        <w:t>Специфични мерки</w:t>
      </w:r>
      <w:r w:rsidR="000C312A" w:rsidRPr="001B5E82">
        <w:rPr>
          <w:i/>
          <w:iCs/>
        </w:rPr>
        <w:t xml:space="preserve"> за биоразградими и компостируеми пластмасови торбички за пазаруване</w:t>
      </w:r>
    </w:p>
    <w:p w:rsidR="00243257" w:rsidRPr="001B5E82" w:rsidRDefault="00243257" w:rsidP="00A028D6">
      <w:pPr>
        <w:pStyle w:val="Text1"/>
        <w:rPr>
          <w:rFonts w:eastAsia="Calibri" w:cs="Arial"/>
          <w:noProof/>
          <w:szCs w:val="22"/>
        </w:rPr>
      </w:pPr>
      <w:r w:rsidRPr="001B5E82">
        <w:t>До ...</w:t>
      </w:r>
      <w:r w:rsidR="00A9545D" w:rsidRPr="001B5E82">
        <w:rPr>
          <w:rStyle w:val="FootnoteReference"/>
        </w:rPr>
        <w:footnoteReference w:customMarkFollows="1" w:id="10"/>
        <w:sym w:font="Symbol" w:char="F02B"/>
      </w:r>
      <w:r w:rsidR="00A9545D" w:rsidRPr="001B5E82">
        <w:rPr>
          <w:rStyle w:val="FootnoteReference"/>
        </w:rPr>
        <w:sym w:font="Symbol" w:char="F02B"/>
      </w:r>
      <w:r w:rsidR="00A9545D" w:rsidRPr="001B5E82">
        <w:t xml:space="preserve"> </w:t>
      </w:r>
      <w:r w:rsidRPr="001B5E82">
        <w:t xml:space="preserve">Комисията приема акт за изпълнение, в който се определят спецификациите на етикетите или маркировките, за да се осигури </w:t>
      </w:r>
      <w:r w:rsidR="003F74A1" w:rsidRPr="001B5E82">
        <w:t>признаването н</w:t>
      </w:r>
      <w:r w:rsidRPr="001B5E82">
        <w:t>а територията на целия С</w:t>
      </w:r>
      <w:r w:rsidR="00F27922" w:rsidRPr="001B5E82">
        <w:t>ъюз</w:t>
      </w:r>
      <w:r w:rsidRPr="001B5E82">
        <w:t xml:space="preserve"> на биоразградимите и компостируемите пластмасови </w:t>
      </w:r>
      <w:r w:rsidR="00F87C12" w:rsidRPr="001B5E82">
        <w:t>торбички за пазаруване</w:t>
      </w:r>
      <w:r w:rsidRPr="001B5E82">
        <w:t xml:space="preserve"> и да се предостави на потребителите точната информация относно характеристиките на компостиране на такива </w:t>
      </w:r>
      <w:r w:rsidR="00A028D6" w:rsidRPr="001B5E82">
        <w:t>торбички</w:t>
      </w:r>
      <w:r w:rsidRPr="001B5E82">
        <w:t xml:space="preserve">. Този акт за изпълнение се приема в съответствие с процедурата по </w:t>
      </w:r>
      <w:r w:rsidR="003F74A1" w:rsidRPr="001B5E82">
        <w:t xml:space="preserve">регулиране, посочена в </w:t>
      </w:r>
      <w:r w:rsidRPr="001B5E82">
        <w:t>член 21, параграф 2.</w:t>
      </w:r>
    </w:p>
    <w:p w:rsidR="00243257" w:rsidRPr="001B5E82" w:rsidRDefault="00243257" w:rsidP="00C9008F">
      <w:pPr>
        <w:pStyle w:val="Text1"/>
        <w:rPr>
          <w:rFonts w:eastAsia="Calibri" w:cs="Arial"/>
          <w:noProof/>
          <w:szCs w:val="22"/>
        </w:rPr>
      </w:pPr>
      <w:r w:rsidRPr="001B5E82">
        <w:br w:type="page"/>
      </w:r>
      <w:r w:rsidR="003F74A1" w:rsidRPr="001B5E82">
        <w:t xml:space="preserve">Най-късно осемнадесет месеца след приемането на посочения акт за изпълнение държавите </w:t>
      </w:r>
      <w:r w:rsidRPr="001B5E82">
        <w:t xml:space="preserve">членки гарантират, че биоразградимите и компостируеми пластмасови </w:t>
      </w:r>
      <w:r w:rsidR="00F87C12" w:rsidRPr="001B5E82">
        <w:t>торбички за пазаруване</w:t>
      </w:r>
      <w:r w:rsidRPr="001B5E82">
        <w:t xml:space="preserve"> са етикетирани в съответствие със спецификациите, </w:t>
      </w:r>
      <w:r w:rsidR="003F74A1" w:rsidRPr="001B5E82">
        <w:t xml:space="preserve">предвидени </w:t>
      </w:r>
      <w:r w:rsidRPr="001B5E82">
        <w:t>в този акт за изпълнение.</w:t>
      </w:r>
      <w:r w:rsidR="00C9008F">
        <w:t>“</w:t>
      </w:r>
      <w:r w:rsidR="003F74A1" w:rsidRPr="001B5E82">
        <w:t>.</w:t>
      </w:r>
    </w:p>
    <w:p w:rsidR="00077F9A" w:rsidRPr="001B5E82" w:rsidRDefault="00351861" w:rsidP="00077F9A">
      <w:pPr>
        <w:pStyle w:val="Point0"/>
      </w:pPr>
      <w:r w:rsidRPr="001B5E82">
        <w:t>4</w:t>
      </w:r>
      <w:r w:rsidR="00243257" w:rsidRPr="001B5E82">
        <w:t>)</w:t>
      </w:r>
      <w:r w:rsidR="00243257" w:rsidRPr="001B5E82">
        <w:tab/>
        <w:t xml:space="preserve">Вмъква се </w:t>
      </w:r>
      <w:r w:rsidR="00077F9A" w:rsidRPr="001B5E82">
        <w:t>следният член:</w:t>
      </w:r>
    </w:p>
    <w:p w:rsidR="00F87C12" w:rsidRPr="001B5E82" w:rsidRDefault="00C9008F" w:rsidP="00C9008F">
      <w:pPr>
        <w:pStyle w:val="Text1"/>
        <w:rPr>
          <w:rFonts w:eastAsia="Calibri" w:cs="Arial"/>
          <w:i/>
          <w:iCs/>
          <w:szCs w:val="22"/>
        </w:rPr>
      </w:pPr>
      <w:r>
        <w:rPr>
          <w:i/>
          <w:iCs/>
        </w:rPr>
        <w:t>„</w:t>
      </w:r>
      <w:r w:rsidR="00077F9A" w:rsidRPr="001B5E82">
        <w:rPr>
          <w:i/>
          <w:iCs/>
        </w:rPr>
        <w:t xml:space="preserve">Член </w:t>
      </w:r>
      <w:r w:rsidR="00D70FE5" w:rsidRPr="001B5E82">
        <w:rPr>
          <w:i/>
          <w:iCs/>
        </w:rPr>
        <w:t>20</w:t>
      </w:r>
      <w:r w:rsidR="00077F9A" w:rsidRPr="001B5E82">
        <w:rPr>
          <w:i/>
          <w:iCs/>
        </w:rPr>
        <w:t>а</w:t>
      </w:r>
      <w:r>
        <w:rPr>
          <w:i/>
          <w:iCs/>
        </w:rPr>
        <w:br/>
      </w:r>
      <w:r w:rsidR="00F87C12" w:rsidRPr="001B5E82">
        <w:rPr>
          <w:i/>
          <w:iCs/>
        </w:rPr>
        <w:t>Доклад относно пластмасови</w:t>
      </w:r>
      <w:r w:rsidR="00351861" w:rsidRPr="001B5E82">
        <w:rPr>
          <w:i/>
          <w:iCs/>
        </w:rPr>
        <w:t>те</w:t>
      </w:r>
      <w:r w:rsidR="00F87C12" w:rsidRPr="001B5E82">
        <w:rPr>
          <w:i/>
          <w:iCs/>
        </w:rPr>
        <w:t xml:space="preserve"> торбички за пазаруване</w:t>
      </w:r>
    </w:p>
    <w:p w:rsidR="00243257" w:rsidRPr="001B5E82" w:rsidRDefault="00243257" w:rsidP="0017610B">
      <w:pPr>
        <w:pStyle w:val="Point1"/>
        <w:rPr>
          <w:rFonts w:eastAsia="Calibri" w:cs="Arial"/>
          <w:noProof/>
          <w:szCs w:val="22"/>
        </w:rPr>
      </w:pPr>
      <w:r w:rsidRPr="001B5E82">
        <w:t>1.</w:t>
      </w:r>
      <w:r w:rsidRPr="001B5E82">
        <w:tab/>
      </w:r>
      <w:r w:rsidRPr="001B5E82">
        <w:rPr>
          <w:noProof/>
        </w:rPr>
        <w:t>До ...</w:t>
      </w:r>
      <w:r w:rsidR="00A9545D" w:rsidRPr="001B5E82">
        <w:rPr>
          <w:rStyle w:val="FootnoteReference"/>
          <w:noProof/>
        </w:rPr>
        <w:footnoteReference w:customMarkFollows="1" w:id="11"/>
        <w:sym w:font="Symbol" w:char="F02B"/>
      </w:r>
      <w:r w:rsidRPr="001B5E82">
        <w:rPr>
          <w:noProof/>
        </w:rPr>
        <w:t xml:space="preserve"> Комисията представя доклад на Европейския парламент и на Съвета, в който се оценява ефективността </w:t>
      </w:r>
      <w:r w:rsidR="00F27922" w:rsidRPr="001B5E82">
        <w:rPr>
          <w:noProof/>
        </w:rPr>
        <w:t xml:space="preserve">на равнището на Съюза </w:t>
      </w:r>
      <w:r w:rsidRPr="001B5E82">
        <w:rPr>
          <w:noProof/>
        </w:rPr>
        <w:t xml:space="preserve">на мерките в член 4, параграф 1a за борба срещу </w:t>
      </w:r>
      <w:r w:rsidR="0017610B" w:rsidRPr="001B5E82">
        <w:rPr>
          <w:noProof/>
        </w:rPr>
        <w:t>замърсяването</w:t>
      </w:r>
      <w:r w:rsidRPr="001B5E82">
        <w:rPr>
          <w:noProof/>
        </w:rPr>
        <w:t xml:space="preserve">, промяна на поведението на потребителите и насърчаване на предотвратяването на генерирането на отпадъци. Ако оценката покаже, че приетите мерки не са ефективни, Комисията разглежда други възможни начини за постигане на намаление на потреблението на </w:t>
      </w:r>
      <w:r w:rsidR="00F87C12" w:rsidRPr="001B5E82">
        <w:rPr>
          <w:noProof/>
        </w:rPr>
        <w:t>тънки пластмасови торбички за пазаруване</w:t>
      </w:r>
      <w:r w:rsidRPr="001B5E82">
        <w:rPr>
          <w:noProof/>
        </w:rPr>
        <w:t xml:space="preserve">, </w:t>
      </w:r>
      <w:r w:rsidR="003F74A1" w:rsidRPr="001B5E82">
        <w:rPr>
          <w:noProof/>
        </w:rPr>
        <w:t xml:space="preserve">включително </w:t>
      </w:r>
      <w:r w:rsidRPr="001B5E82">
        <w:rPr>
          <w:noProof/>
        </w:rPr>
        <w:t>определянето на реалистични и постижими цели на равнище</w:t>
      </w:r>
      <w:r w:rsidR="003F74A1" w:rsidRPr="001B5E82">
        <w:rPr>
          <w:noProof/>
        </w:rPr>
        <w:t>то на</w:t>
      </w:r>
      <w:r w:rsidRPr="001B5E82">
        <w:rPr>
          <w:noProof/>
        </w:rPr>
        <w:t xml:space="preserve"> </w:t>
      </w:r>
      <w:r w:rsidR="00077F9A" w:rsidRPr="001B5E82">
        <w:rPr>
          <w:noProof/>
        </w:rPr>
        <w:t>Съюз</w:t>
      </w:r>
      <w:r w:rsidR="003F74A1" w:rsidRPr="001B5E82">
        <w:rPr>
          <w:noProof/>
        </w:rPr>
        <w:t>а</w:t>
      </w:r>
      <w:r w:rsidRPr="001B5E82">
        <w:rPr>
          <w:noProof/>
        </w:rPr>
        <w:t>, и ако е уместно — представя законодателно предложение.</w:t>
      </w:r>
    </w:p>
    <w:p w:rsidR="00243257" w:rsidRPr="001B5E82" w:rsidRDefault="002E2F81" w:rsidP="003C4C9E">
      <w:pPr>
        <w:pStyle w:val="Point1"/>
        <w:rPr>
          <w:rFonts w:eastAsia="Calibri" w:cs="Arial"/>
          <w:noProof/>
          <w:szCs w:val="22"/>
        </w:rPr>
      </w:pPr>
      <w:r w:rsidRPr="001B5E82">
        <w:rPr>
          <w:noProof/>
        </w:rPr>
        <w:br w:type="page"/>
      </w:r>
      <w:r w:rsidR="00243257" w:rsidRPr="001B5E82">
        <w:rPr>
          <w:noProof/>
        </w:rPr>
        <w:t>2.</w:t>
      </w:r>
      <w:r w:rsidR="00243257" w:rsidRPr="001B5E82">
        <w:tab/>
      </w:r>
      <w:r w:rsidR="00243257" w:rsidRPr="001B5E82">
        <w:rPr>
          <w:noProof/>
        </w:rPr>
        <w:t>До ...</w:t>
      </w:r>
      <w:r w:rsidR="00A9545D" w:rsidRPr="001B5E82">
        <w:rPr>
          <w:rStyle w:val="FootnoteReference"/>
          <w:noProof/>
        </w:rPr>
        <w:footnoteReference w:customMarkFollows="1" w:id="12"/>
        <w:sym w:font="Symbol" w:char="F02B"/>
      </w:r>
      <w:r w:rsidR="00243257" w:rsidRPr="001B5E82">
        <w:rPr>
          <w:noProof/>
        </w:rPr>
        <w:t xml:space="preserve"> Комисията представя доклад на Европейския парламент и на Съвета, в който се разглежда въздействието от използването на разградими при окисляване пластмасови </w:t>
      </w:r>
      <w:r w:rsidR="00F87C12" w:rsidRPr="001B5E82">
        <w:rPr>
          <w:noProof/>
        </w:rPr>
        <w:t>торбички за пазаруване</w:t>
      </w:r>
      <w:r w:rsidR="003F74A1" w:rsidRPr="001B5E82">
        <w:rPr>
          <w:noProof/>
        </w:rPr>
        <w:t xml:space="preserve"> </w:t>
      </w:r>
      <w:r w:rsidR="00243257" w:rsidRPr="001B5E82">
        <w:rPr>
          <w:noProof/>
        </w:rPr>
        <w:t>върху околната среда и ако е уместно — представя законодателно предложение.</w:t>
      </w:r>
    </w:p>
    <w:p w:rsidR="00243257" w:rsidRPr="001B5E82" w:rsidRDefault="00243257" w:rsidP="00F87C12">
      <w:pPr>
        <w:pStyle w:val="Point1"/>
        <w:rPr>
          <w:rFonts w:eastAsia="Calibri" w:cs="Arial"/>
          <w:bCs/>
          <w:szCs w:val="22"/>
        </w:rPr>
      </w:pPr>
      <w:r w:rsidRPr="001B5E82">
        <w:t>3.</w:t>
      </w:r>
      <w:r w:rsidRPr="001B5E82">
        <w:tab/>
      </w:r>
      <w:r w:rsidR="00077F9A" w:rsidRPr="001B5E82">
        <w:rPr>
          <w:noProof/>
        </w:rPr>
        <w:t>До ...</w:t>
      </w:r>
      <w:r w:rsidR="00A9545D" w:rsidRPr="001B5E82">
        <w:rPr>
          <w:rStyle w:val="FootnoteReference"/>
          <w:noProof/>
        </w:rPr>
        <w:footnoteReference w:customMarkFollows="1" w:id="13"/>
        <w:sym w:font="Symbol" w:char="F02B"/>
      </w:r>
      <w:r w:rsidR="00A9545D" w:rsidRPr="001B5E82">
        <w:rPr>
          <w:rStyle w:val="FootnoteReference"/>
          <w:noProof/>
        </w:rPr>
        <w:sym w:font="Symbol" w:char="F02B"/>
      </w:r>
      <w:r w:rsidR="00077F9A" w:rsidRPr="001B5E82">
        <w:rPr>
          <w:rFonts w:eastAsia="Calibri" w:cs="Arial"/>
          <w:b/>
          <w:noProof/>
          <w:szCs w:val="22"/>
          <w:lang w:val="ru-RU"/>
        </w:rPr>
        <w:t xml:space="preserve"> </w:t>
      </w:r>
      <w:r w:rsidRPr="001B5E82">
        <w:t xml:space="preserve">Комисията прави оценка на въздействието по време на целия жизнен цикъл на различните възможности за намаляване на потреблението на много </w:t>
      </w:r>
      <w:r w:rsidR="00F87C12" w:rsidRPr="001B5E82">
        <w:t>тънките пластмасови торбички за пазаруване</w:t>
      </w:r>
      <w:r w:rsidRPr="001B5E82">
        <w:t>, и ако е уместно — представя законодателно предложение.</w:t>
      </w:r>
      <w:r w:rsidR="003F74A1" w:rsidRPr="001B5E82">
        <w:t>".</w:t>
      </w:r>
    </w:p>
    <w:p w:rsidR="00243257" w:rsidRPr="001B5E82" w:rsidRDefault="00351861" w:rsidP="00351861">
      <w:pPr>
        <w:pStyle w:val="Point0"/>
        <w:rPr>
          <w:rFonts w:eastAsia="Calibri" w:cs="Arial"/>
          <w:bCs/>
          <w:noProof/>
          <w:szCs w:val="22"/>
        </w:rPr>
      </w:pPr>
      <w:r w:rsidRPr="001B5E82">
        <w:t>5</w:t>
      </w:r>
      <w:r w:rsidR="00243257" w:rsidRPr="001B5E82">
        <w:t>)</w:t>
      </w:r>
      <w:r w:rsidR="00243257" w:rsidRPr="001B5E82">
        <w:tab/>
      </w:r>
      <w:r w:rsidR="00243257" w:rsidRPr="001B5E82">
        <w:rPr>
          <w:noProof/>
        </w:rPr>
        <w:t xml:space="preserve">В член 22, параграф 3a, първата алинея се </w:t>
      </w:r>
      <w:r w:rsidR="00F54154" w:rsidRPr="001B5E82">
        <w:rPr>
          <w:noProof/>
        </w:rPr>
        <w:t>заменя със следното</w:t>
      </w:r>
      <w:r w:rsidR="00243257" w:rsidRPr="001B5E82">
        <w:rPr>
          <w:noProof/>
        </w:rPr>
        <w:t>:</w:t>
      </w:r>
    </w:p>
    <w:p w:rsidR="00243257" w:rsidRPr="001B5E82" w:rsidRDefault="00243257" w:rsidP="00351861">
      <w:pPr>
        <w:pStyle w:val="Point1"/>
        <w:rPr>
          <w:rFonts w:eastAsia="Calibri" w:cs="Arial"/>
          <w:szCs w:val="22"/>
        </w:rPr>
      </w:pPr>
      <w:r w:rsidRPr="001B5E82">
        <w:rPr>
          <w:noProof/>
        </w:rPr>
        <w:t>„3a.</w:t>
      </w:r>
      <w:r w:rsidRPr="001B5E82">
        <w:rPr>
          <w:noProof/>
          <w:lang w:val="ru-RU"/>
        </w:rPr>
        <w:tab/>
      </w:r>
      <w:r w:rsidRPr="001B5E82">
        <w:rPr>
          <w:noProof/>
        </w:rPr>
        <w:t>При положение че са постигнати целите, определени в член 4 и член 6 , държавите членки могат да транспонират разпоредбите на член 4, параграф 1а и член 7 чрез споразумения между компетентните органи и заинтересованите икономически сектори.“</w:t>
      </w:r>
      <w:r w:rsidR="00F54154" w:rsidRPr="001B5E82">
        <w:rPr>
          <w:noProof/>
        </w:rPr>
        <w:t>.</w:t>
      </w:r>
    </w:p>
    <w:p w:rsidR="00243257" w:rsidRPr="001B5E82" w:rsidRDefault="002E2F81" w:rsidP="00243257">
      <w:pPr>
        <w:pStyle w:val="Titrearticle"/>
        <w:rPr>
          <w:rFonts w:eastAsia="Calibri" w:cs="Arial"/>
          <w:noProof/>
          <w:szCs w:val="22"/>
        </w:rPr>
      </w:pPr>
      <w:r w:rsidRPr="001B5E82">
        <w:rPr>
          <w:noProof/>
        </w:rPr>
        <w:br w:type="page"/>
      </w:r>
      <w:r w:rsidR="00243257" w:rsidRPr="001B5E82">
        <w:rPr>
          <w:noProof/>
        </w:rPr>
        <w:t>Член 2</w:t>
      </w:r>
    </w:p>
    <w:p w:rsidR="00243257" w:rsidRPr="001B5E82" w:rsidRDefault="00243257" w:rsidP="00C9008F">
      <w:pPr>
        <w:pStyle w:val="ManualNumPar1"/>
        <w:rPr>
          <w:rFonts w:eastAsia="Calibri"/>
        </w:rPr>
      </w:pPr>
      <w:r w:rsidRPr="001B5E82">
        <w:t>1.</w:t>
      </w:r>
      <w:r w:rsidRPr="001B5E82">
        <w:tab/>
        <w:t xml:space="preserve">Държавите членки въвеждат в сила законовите, подзаконовите и административните разпоредби, необходими за </w:t>
      </w:r>
      <w:r w:rsidR="00F54154" w:rsidRPr="001B5E82">
        <w:t>да се съобразят</w:t>
      </w:r>
      <w:r w:rsidRPr="001B5E82">
        <w:t xml:space="preserve"> с настоящата директива, </w:t>
      </w:r>
      <w:r w:rsidR="00F54154" w:rsidRPr="001B5E82">
        <w:t xml:space="preserve">до </w:t>
      </w:r>
      <w:r w:rsidRPr="001B5E82">
        <w:t>…</w:t>
      </w:r>
      <w:r w:rsidR="00A9545D" w:rsidRPr="001B5E82">
        <w:rPr>
          <w:rStyle w:val="FootnoteReference"/>
        </w:rPr>
        <w:footnoteReference w:customMarkFollows="1" w:id="14"/>
        <w:sym w:font="Symbol" w:char="F02B"/>
      </w:r>
      <w:r w:rsidRPr="001B5E82">
        <w:t xml:space="preserve">. Те незабавно </w:t>
      </w:r>
      <w:r w:rsidR="00F54154" w:rsidRPr="001B5E82">
        <w:t>информират</w:t>
      </w:r>
      <w:r w:rsidRPr="001B5E82">
        <w:t xml:space="preserve"> Комисията </w:t>
      </w:r>
      <w:r w:rsidR="00F54154" w:rsidRPr="001B5E82">
        <w:t>за това</w:t>
      </w:r>
      <w:r w:rsidRPr="001B5E82">
        <w:t>.</w:t>
      </w:r>
    </w:p>
    <w:p w:rsidR="00243257" w:rsidRPr="001B5E82" w:rsidRDefault="00243257" w:rsidP="00243257">
      <w:pPr>
        <w:pStyle w:val="Text1"/>
        <w:rPr>
          <w:rFonts w:eastAsia="Calibri" w:cs="Arial"/>
          <w:noProof/>
          <w:szCs w:val="22"/>
        </w:rPr>
      </w:pPr>
      <w:r w:rsidRPr="001B5E82">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rsidR="00243257" w:rsidRPr="001B5E82" w:rsidRDefault="00243257" w:rsidP="00243257">
      <w:pPr>
        <w:pStyle w:val="ManualNumPar1"/>
        <w:rPr>
          <w:rFonts w:eastAsia="Calibri" w:cs="Arial"/>
          <w:noProof/>
          <w:szCs w:val="22"/>
        </w:rPr>
      </w:pPr>
      <w:r w:rsidRPr="001B5E82">
        <w:t>2.</w:t>
      </w:r>
      <w:r w:rsidRPr="001B5E82">
        <w:tab/>
        <w:t>Държавите членки съобщават на Комисията текста на основните разпоредби от националното законодателство, които приемат в областта, уредена с настоящата директива.</w:t>
      </w:r>
    </w:p>
    <w:p w:rsidR="00243257" w:rsidRPr="001B5E82" w:rsidRDefault="002E2F81" w:rsidP="00243257">
      <w:pPr>
        <w:pStyle w:val="Titrearticle"/>
        <w:rPr>
          <w:rFonts w:eastAsia="Calibri" w:cs="Arial"/>
          <w:noProof/>
          <w:szCs w:val="22"/>
        </w:rPr>
      </w:pPr>
      <w:r w:rsidRPr="001B5E82">
        <w:rPr>
          <w:noProof/>
        </w:rPr>
        <w:br w:type="page"/>
      </w:r>
      <w:r w:rsidR="00243257" w:rsidRPr="001B5E82">
        <w:rPr>
          <w:noProof/>
        </w:rPr>
        <w:t>Член 3</w:t>
      </w:r>
    </w:p>
    <w:p w:rsidR="00243257" w:rsidRPr="001B5E82" w:rsidRDefault="00243257" w:rsidP="00243257">
      <w:pPr>
        <w:rPr>
          <w:rFonts w:eastAsia="Calibri" w:cs="Arial"/>
          <w:noProof/>
          <w:szCs w:val="22"/>
        </w:rPr>
      </w:pPr>
      <w:r w:rsidRPr="001B5E82">
        <w:t xml:space="preserve">Настоящата директива влиза в сила на двадесетия ден след публикуването ѝ в </w:t>
      </w:r>
      <w:r w:rsidRPr="001B5E82">
        <w:rPr>
          <w:i/>
        </w:rPr>
        <w:t>Официален вестник на Европейския съюз</w:t>
      </w:r>
      <w:r w:rsidRPr="001B5E82">
        <w:t>.</w:t>
      </w:r>
    </w:p>
    <w:p w:rsidR="00243257" w:rsidRPr="001B5E82" w:rsidRDefault="00243257" w:rsidP="00243257">
      <w:pPr>
        <w:pStyle w:val="Titrearticle"/>
        <w:rPr>
          <w:rFonts w:eastAsia="Calibri" w:cs="Arial"/>
          <w:noProof/>
          <w:szCs w:val="22"/>
        </w:rPr>
      </w:pPr>
      <w:r w:rsidRPr="001B5E82">
        <w:rPr>
          <w:noProof/>
        </w:rPr>
        <w:t>Член 4</w:t>
      </w:r>
    </w:p>
    <w:p w:rsidR="00243257" w:rsidRPr="001B5E82" w:rsidRDefault="00243257" w:rsidP="00243257">
      <w:pPr>
        <w:rPr>
          <w:rFonts w:eastAsia="Calibri" w:cs="Arial"/>
          <w:noProof/>
          <w:szCs w:val="22"/>
        </w:rPr>
      </w:pPr>
      <w:r w:rsidRPr="001B5E82">
        <w:t>Адресати на настоящата директива са държавите членки.</w:t>
      </w:r>
    </w:p>
    <w:p w:rsidR="00243257" w:rsidRPr="001B5E82" w:rsidRDefault="00243257" w:rsidP="00077F9A">
      <w:pPr>
        <w:widowControl w:val="0"/>
        <w:spacing w:before="0" w:after="0" w:line="380" w:lineRule="exact"/>
        <w:jc w:val="both"/>
        <w:rPr>
          <w:rFonts w:eastAsia="Calibri" w:cs="Arial"/>
          <w:noProof/>
          <w:szCs w:val="22"/>
        </w:rPr>
      </w:pPr>
      <w:r w:rsidRPr="001B5E82">
        <w:t xml:space="preserve">Съставено в </w:t>
      </w:r>
      <w:r w:rsidR="00077F9A" w:rsidRPr="001B5E82">
        <w:t>… на</w:t>
      </w:r>
    </w:p>
    <w:p w:rsidR="00243257" w:rsidRPr="001B5E82" w:rsidRDefault="00243257" w:rsidP="00243257">
      <w:pPr>
        <w:pStyle w:val="Institutionquisigne"/>
        <w:rPr>
          <w:rFonts w:eastAsia="Calibri" w:cs="Arial"/>
          <w:noProof/>
          <w:szCs w:val="22"/>
        </w:rPr>
      </w:pPr>
      <w:r w:rsidRPr="001B5E82">
        <w:rPr>
          <w:noProof/>
        </w:rPr>
        <w:t>За Европейския парламент</w:t>
      </w:r>
      <w:r w:rsidRPr="001B5E82">
        <w:tab/>
      </w:r>
      <w:r w:rsidRPr="001B5E82">
        <w:rPr>
          <w:noProof/>
        </w:rPr>
        <w:t>За Съвета</w:t>
      </w:r>
    </w:p>
    <w:p w:rsidR="0034434D" w:rsidRPr="00243257" w:rsidRDefault="00243257" w:rsidP="00243257">
      <w:pPr>
        <w:pStyle w:val="Personnequisigne"/>
      </w:pPr>
      <w:r w:rsidRPr="001B5E82">
        <w:t>Председател</w:t>
      </w:r>
      <w:r w:rsidRPr="001B5E82">
        <w:tab/>
      </w:r>
      <w:r w:rsidRPr="001B5E82">
        <w:rPr>
          <w:noProof/>
        </w:rPr>
        <w:t>Председател</w:t>
      </w:r>
    </w:p>
    <w:p w:rsidR="00EB62D4" w:rsidRPr="00C9008F" w:rsidRDefault="00EB62D4" w:rsidP="00EB62D4">
      <w:pPr>
        <w:pStyle w:val="Lignefinal"/>
      </w:pPr>
    </w:p>
    <w:sectPr w:rsidR="00EB62D4" w:rsidRPr="00C9008F" w:rsidSect="008A4B07">
      <w:headerReference w:type="even" r:id="rId16"/>
      <w:headerReference w:type="default" r:id="rId17"/>
      <w:footerReference w:type="even" r:id="rId18"/>
      <w:headerReference w:type="first" r:id="rId19"/>
      <w:footerReference w:type="first" r:id="rId20"/>
      <w:footnotePr>
        <w:numRestart w:val="eachPage"/>
      </w:footnotePr>
      <w:pgSz w:w="11907" w:h="1683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BB8" w:rsidRDefault="00FA6BB8" w:rsidP="00D051BB">
      <w:pPr>
        <w:spacing w:before="0" w:after="0" w:line="240" w:lineRule="auto"/>
      </w:pPr>
      <w:r>
        <w:separator/>
      </w:r>
    </w:p>
  </w:endnote>
  <w:endnote w:type="continuationSeparator" w:id="0">
    <w:p w:rsidR="00FA6BB8" w:rsidRDefault="00FA6BB8" w:rsidP="00D051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8F" w:rsidRPr="008A4B07" w:rsidRDefault="00C9008F" w:rsidP="008A4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8A4B07" w:rsidRPr="0035025C" w:rsidTr="008A4B07">
      <w:trPr>
        <w:jc w:val="center"/>
      </w:trPr>
      <w:tc>
        <w:tcPr>
          <w:tcW w:w="5000" w:type="pct"/>
          <w:gridSpan w:val="7"/>
          <w:shd w:val="clear" w:color="auto" w:fill="auto"/>
          <w:tcMar>
            <w:top w:w="57" w:type="dxa"/>
          </w:tcMar>
        </w:tcPr>
        <w:p w:rsidR="008A4B07" w:rsidRPr="0035025C" w:rsidRDefault="008A4B07" w:rsidP="0035025C">
          <w:pPr>
            <w:pStyle w:val="FooterText"/>
            <w:pBdr>
              <w:top w:val="single" w:sz="4" w:space="1" w:color="auto"/>
            </w:pBdr>
            <w:spacing w:before="200"/>
            <w:rPr>
              <w:sz w:val="2"/>
              <w:szCs w:val="2"/>
            </w:rPr>
          </w:pPr>
          <w:bookmarkStart w:id="2" w:name="FOOTER_LEGACTS"/>
        </w:p>
      </w:tc>
    </w:tr>
    <w:tr w:rsidR="008A4B07" w:rsidRPr="00B310DC" w:rsidTr="008A4B07">
      <w:trPr>
        <w:jc w:val="center"/>
      </w:trPr>
      <w:tc>
        <w:tcPr>
          <w:tcW w:w="2500" w:type="pct"/>
          <w:gridSpan w:val="2"/>
          <w:shd w:val="clear" w:color="auto" w:fill="auto"/>
          <w:tcMar>
            <w:top w:w="0" w:type="dxa"/>
          </w:tcMar>
        </w:tcPr>
        <w:p w:rsidR="008A4B07" w:rsidRPr="00AD7BF2" w:rsidRDefault="008A4B07" w:rsidP="0035025C">
          <w:pPr>
            <w:pStyle w:val="FooterText"/>
          </w:pPr>
          <w:r>
            <w:t xml:space="preserve">5094/1/15 REV 1 </w:t>
          </w:r>
        </w:p>
      </w:tc>
      <w:tc>
        <w:tcPr>
          <w:tcW w:w="625" w:type="pct"/>
          <w:shd w:val="clear" w:color="auto" w:fill="auto"/>
          <w:tcMar>
            <w:top w:w="0" w:type="dxa"/>
          </w:tcMar>
        </w:tcPr>
        <w:p w:rsidR="008A4B07" w:rsidRPr="00AD7BF2" w:rsidRDefault="008A4B07" w:rsidP="0035025C">
          <w:pPr>
            <w:pStyle w:val="FooterText"/>
            <w:jc w:val="center"/>
          </w:pPr>
        </w:p>
      </w:tc>
      <w:tc>
        <w:tcPr>
          <w:tcW w:w="1287" w:type="pct"/>
          <w:gridSpan w:val="3"/>
          <w:shd w:val="clear" w:color="auto" w:fill="auto"/>
          <w:tcMar>
            <w:top w:w="0" w:type="dxa"/>
          </w:tcMar>
        </w:tcPr>
        <w:p w:rsidR="008A4B07" w:rsidRPr="002511D8" w:rsidRDefault="008A4B07" w:rsidP="0035025C">
          <w:pPr>
            <w:pStyle w:val="FooterText"/>
            <w:jc w:val="center"/>
          </w:pPr>
          <w:r>
            <w:t>BK/rb</w:t>
          </w:r>
        </w:p>
      </w:tc>
      <w:tc>
        <w:tcPr>
          <w:tcW w:w="588" w:type="pct"/>
          <w:shd w:val="clear" w:color="auto" w:fill="auto"/>
          <w:tcMar>
            <w:top w:w="0" w:type="dxa"/>
          </w:tcMar>
        </w:tcPr>
        <w:p w:rsidR="008A4B07" w:rsidRPr="00B310DC" w:rsidRDefault="008A4B07" w:rsidP="0035025C">
          <w:pPr>
            <w:pStyle w:val="FooterText"/>
            <w:jc w:val="right"/>
          </w:pPr>
          <w:r>
            <w:fldChar w:fldCharType="begin"/>
          </w:r>
          <w:r>
            <w:instrText xml:space="preserve"> PAGE  \* MERGEFORMAT </w:instrText>
          </w:r>
          <w:r>
            <w:fldChar w:fldCharType="separate"/>
          </w:r>
          <w:r w:rsidR="000216ED">
            <w:rPr>
              <w:noProof/>
            </w:rPr>
            <w:t>2</w:t>
          </w:r>
          <w:r>
            <w:fldChar w:fldCharType="end"/>
          </w:r>
        </w:p>
      </w:tc>
    </w:tr>
    <w:tr w:rsidR="008A4B07" w:rsidRPr="0035025C" w:rsidTr="008A4B07">
      <w:trPr>
        <w:jc w:val="center"/>
      </w:trPr>
      <w:tc>
        <w:tcPr>
          <w:tcW w:w="1774" w:type="pct"/>
          <w:shd w:val="clear" w:color="auto" w:fill="auto"/>
        </w:tcPr>
        <w:p w:rsidR="008A4B07" w:rsidRPr="00AD7BF2" w:rsidRDefault="008A4B07" w:rsidP="0035025C">
          <w:pPr>
            <w:pStyle w:val="FooterText"/>
            <w:spacing w:before="40"/>
          </w:pPr>
        </w:p>
      </w:tc>
      <w:tc>
        <w:tcPr>
          <w:tcW w:w="1494" w:type="pct"/>
          <w:gridSpan w:val="3"/>
          <w:shd w:val="clear" w:color="auto" w:fill="auto"/>
        </w:tcPr>
        <w:p w:rsidR="008A4B07" w:rsidRPr="00AD7BF2" w:rsidRDefault="008A4B07" w:rsidP="0035025C">
          <w:pPr>
            <w:pStyle w:val="FooterText"/>
            <w:spacing w:before="40"/>
            <w:jc w:val="center"/>
          </w:pPr>
          <w:r>
            <w:t>DGE 1</w:t>
          </w:r>
        </w:p>
      </w:tc>
      <w:tc>
        <w:tcPr>
          <w:tcW w:w="1107" w:type="pct"/>
          <w:shd w:val="clear" w:color="auto" w:fill="auto"/>
        </w:tcPr>
        <w:p w:rsidR="008A4B07" w:rsidRPr="0035025C" w:rsidRDefault="008A4B07" w:rsidP="0035025C">
          <w:pPr>
            <w:pStyle w:val="FooterText"/>
            <w:jc w:val="right"/>
            <w:rPr>
              <w:b/>
              <w:position w:val="-4"/>
              <w:sz w:val="36"/>
            </w:rPr>
          </w:pPr>
        </w:p>
      </w:tc>
      <w:tc>
        <w:tcPr>
          <w:tcW w:w="625" w:type="pct"/>
          <w:gridSpan w:val="2"/>
          <w:shd w:val="clear" w:color="auto" w:fill="auto"/>
        </w:tcPr>
        <w:p w:rsidR="008A4B07" w:rsidRPr="0035025C" w:rsidRDefault="008A4B07" w:rsidP="0035025C">
          <w:pPr>
            <w:pStyle w:val="FooterText"/>
            <w:jc w:val="right"/>
            <w:rPr>
              <w:sz w:val="16"/>
            </w:rPr>
          </w:pPr>
          <w:r>
            <w:rPr>
              <w:b/>
              <w:position w:val="-4"/>
              <w:sz w:val="36"/>
            </w:rPr>
            <w:t>BG</w:t>
          </w:r>
        </w:p>
      </w:tc>
    </w:tr>
    <w:bookmarkEnd w:id="2"/>
  </w:tbl>
  <w:p w:rsidR="00D051BB" w:rsidRPr="008A4B07" w:rsidRDefault="00D051BB" w:rsidP="008A4B0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8A4B07" w:rsidRPr="0035025C" w:rsidTr="008A4B07">
      <w:trPr>
        <w:jc w:val="center"/>
      </w:trPr>
      <w:tc>
        <w:tcPr>
          <w:tcW w:w="5000" w:type="pct"/>
          <w:gridSpan w:val="7"/>
          <w:shd w:val="clear" w:color="auto" w:fill="auto"/>
          <w:tcMar>
            <w:top w:w="57" w:type="dxa"/>
          </w:tcMar>
        </w:tcPr>
        <w:p w:rsidR="008A4B07" w:rsidRPr="0035025C" w:rsidRDefault="008A4B07" w:rsidP="0035025C">
          <w:pPr>
            <w:pStyle w:val="FooterText"/>
            <w:pBdr>
              <w:top w:val="single" w:sz="4" w:space="1" w:color="auto"/>
            </w:pBdr>
            <w:spacing w:before="200"/>
            <w:rPr>
              <w:sz w:val="2"/>
              <w:szCs w:val="2"/>
            </w:rPr>
          </w:pPr>
        </w:p>
      </w:tc>
    </w:tr>
    <w:tr w:rsidR="008A4B07" w:rsidRPr="00B310DC" w:rsidTr="008A4B07">
      <w:trPr>
        <w:jc w:val="center"/>
      </w:trPr>
      <w:tc>
        <w:tcPr>
          <w:tcW w:w="2500" w:type="pct"/>
          <w:gridSpan w:val="2"/>
          <w:shd w:val="clear" w:color="auto" w:fill="auto"/>
          <w:tcMar>
            <w:top w:w="0" w:type="dxa"/>
          </w:tcMar>
        </w:tcPr>
        <w:p w:rsidR="008A4B07" w:rsidRPr="00AD7BF2" w:rsidRDefault="008A4B07" w:rsidP="0035025C">
          <w:pPr>
            <w:pStyle w:val="FooterText"/>
          </w:pPr>
          <w:r>
            <w:t xml:space="preserve">5094/1/15 REV 1 </w:t>
          </w:r>
        </w:p>
      </w:tc>
      <w:tc>
        <w:tcPr>
          <w:tcW w:w="625" w:type="pct"/>
          <w:shd w:val="clear" w:color="auto" w:fill="auto"/>
          <w:tcMar>
            <w:top w:w="0" w:type="dxa"/>
          </w:tcMar>
        </w:tcPr>
        <w:p w:rsidR="008A4B07" w:rsidRPr="00AD7BF2" w:rsidRDefault="008A4B07" w:rsidP="0035025C">
          <w:pPr>
            <w:pStyle w:val="FooterText"/>
            <w:jc w:val="center"/>
          </w:pPr>
        </w:p>
      </w:tc>
      <w:tc>
        <w:tcPr>
          <w:tcW w:w="1287" w:type="pct"/>
          <w:gridSpan w:val="3"/>
          <w:shd w:val="clear" w:color="auto" w:fill="auto"/>
          <w:tcMar>
            <w:top w:w="0" w:type="dxa"/>
          </w:tcMar>
        </w:tcPr>
        <w:p w:rsidR="008A4B07" w:rsidRPr="002511D8" w:rsidRDefault="008A4B07" w:rsidP="0035025C">
          <w:pPr>
            <w:pStyle w:val="FooterText"/>
            <w:jc w:val="center"/>
          </w:pPr>
          <w:r>
            <w:t>BK/rb</w:t>
          </w:r>
        </w:p>
      </w:tc>
      <w:tc>
        <w:tcPr>
          <w:tcW w:w="588" w:type="pct"/>
          <w:shd w:val="clear" w:color="auto" w:fill="auto"/>
          <w:tcMar>
            <w:top w:w="0" w:type="dxa"/>
          </w:tcMar>
        </w:tcPr>
        <w:p w:rsidR="008A4B07" w:rsidRPr="00B310DC" w:rsidRDefault="008A4B07" w:rsidP="0035025C">
          <w:pPr>
            <w:pStyle w:val="FooterText"/>
            <w:jc w:val="right"/>
          </w:pPr>
        </w:p>
      </w:tc>
    </w:tr>
    <w:tr w:rsidR="008A4B07" w:rsidRPr="0035025C" w:rsidTr="008A4B07">
      <w:trPr>
        <w:jc w:val="center"/>
      </w:trPr>
      <w:tc>
        <w:tcPr>
          <w:tcW w:w="1774" w:type="pct"/>
          <w:shd w:val="clear" w:color="auto" w:fill="auto"/>
        </w:tcPr>
        <w:p w:rsidR="008A4B07" w:rsidRPr="00AD7BF2" w:rsidRDefault="008A4B07" w:rsidP="0035025C">
          <w:pPr>
            <w:pStyle w:val="FooterText"/>
            <w:spacing w:before="40"/>
          </w:pPr>
        </w:p>
      </w:tc>
      <w:tc>
        <w:tcPr>
          <w:tcW w:w="1494" w:type="pct"/>
          <w:gridSpan w:val="3"/>
          <w:shd w:val="clear" w:color="auto" w:fill="auto"/>
        </w:tcPr>
        <w:p w:rsidR="008A4B07" w:rsidRPr="00AD7BF2" w:rsidRDefault="008A4B07" w:rsidP="0035025C">
          <w:pPr>
            <w:pStyle w:val="FooterText"/>
            <w:spacing w:before="40"/>
            <w:jc w:val="center"/>
          </w:pPr>
          <w:r>
            <w:t>DGE 1</w:t>
          </w:r>
        </w:p>
      </w:tc>
      <w:tc>
        <w:tcPr>
          <w:tcW w:w="1107" w:type="pct"/>
          <w:shd w:val="clear" w:color="auto" w:fill="auto"/>
        </w:tcPr>
        <w:p w:rsidR="008A4B07" w:rsidRPr="0035025C" w:rsidRDefault="008A4B07" w:rsidP="0035025C">
          <w:pPr>
            <w:pStyle w:val="FooterText"/>
            <w:jc w:val="right"/>
            <w:rPr>
              <w:b/>
              <w:position w:val="-4"/>
              <w:sz w:val="36"/>
            </w:rPr>
          </w:pPr>
        </w:p>
      </w:tc>
      <w:tc>
        <w:tcPr>
          <w:tcW w:w="625" w:type="pct"/>
          <w:gridSpan w:val="2"/>
          <w:shd w:val="clear" w:color="auto" w:fill="auto"/>
        </w:tcPr>
        <w:p w:rsidR="008A4B07" w:rsidRPr="0035025C" w:rsidRDefault="008A4B07" w:rsidP="0035025C">
          <w:pPr>
            <w:pStyle w:val="FooterText"/>
            <w:jc w:val="right"/>
            <w:rPr>
              <w:sz w:val="16"/>
            </w:rPr>
          </w:pPr>
          <w:r>
            <w:rPr>
              <w:b/>
              <w:position w:val="-4"/>
              <w:sz w:val="36"/>
            </w:rPr>
            <w:t>BG</w:t>
          </w:r>
        </w:p>
      </w:tc>
    </w:tr>
  </w:tbl>
  <w:p w:rsidR="00D051BB" w:rsidRPr="008A4B07" w:rsidRDefault="00D051BB" w:rsidP="008A4B07">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6B3" w:rsidRPr="008A4B07" w:rsidRDefault="00DB76B3" w:rsidP="008A4B0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6B3" w:rsidRPr="008A4B07" w:rsidRDefault="00DB76B3" w:rsidP="008A4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BB8" w:rsidRDefault="00FA6BB8" w:rsidP="00D051BB">
      <w:pPr>
        <w:spacing w:before="0" w:after="0" w:line="240" w:lineRule="auto"/>
      </w:pPr>
      <w:r>
        <w:separator/>
      </w:r>
    </w:p>
  </w:footnote>
  <w:footnote w:type="continuationSeparator" w:id="0">
    <w:p w:rsidR="00FA6BB8" w:rsidRDefault="00FA6BB8" w:rsidP="00D051BB">
      <w:pPr>
        <w:spacing w:before="0" w:after="0" w:line="240" w:lineRule="auto"/>
      </w:pPr>
      <w:r>
        <w:continuationSeparator/>
      </w:r>
    </w:p>
  </w:footnote>
  <w:footnote w:id="1">
    <w:p w:rsidR="00243257" w:rsidRPr="00F74C33" w:rsidRDefault="00243257" w:rsidP="00B147DE">
      <w:pPr>
        <w:pStyle w:val="FootnoteText"/>
        <w:rPr>
          <w:szCs w:val="24"/>
        </w:rPr>
      </w:pPr>
      <w:r>
        <w:rPr>
          <w:rStyle w:val="FootnoteReference"/>
        </w:rPr>
        <w:footnoteRef/>
      </w:r>
      <w:r>
        <w:tab/>
        <w:t xml:space="preserve">OВ C </w:t>
      </w:r>
      <w:r w:rsidR="009818D8">
        <w:t>214, 8.7.2014 г.</w:t>
      </w:r>
      <w:r>
        <w:t>, стp</w:t>
      </w:r>
      <w:r w:rsidR="009818D8">
        <w:t>.</w:t>
      </w:r>
      <w:r w:rsidR="005A135B">
        <w:t xml:space="preserve"> </w:t>
      </w:r>
      <w:r w:rsidR="009818D8">
        <w:t>40</w:t>
      </w:r>
      <w:r>
        <w:t>.</w:t>
      </w:r>
    </w:p>
  </w:footnote>
  <w:footnote w:id="2">
    <w:p w:rsidR="00243257" w:rsidRPr="00F74C33" w:rsidRDefault="00243257" w:rsidP="002E17E5">
      <w:pPr>
        <w:pStyle w:val="FootnoteText"/>
        <w:rPr>
          <w:szCs w:val="24"/>
        </w:rPr>
      </w:pPr>
      <w:r>
        <w:rPr>
          <w:rStyle w:val="FootnoteReference"/>
        </w:rPr>
        <w:footnoteRef/>
      </w:r>
      <w:r>
        <w:tab/>
        <w:t>ОВ C</w:t>
      </w:r>
      <w:r w:rsidR="009818D8">
        <w:t xml:space="preserve"> 174, 7.6.2014 г., стр. 43.</w:t>
      </w:r>
    </w:p>
  </w:footnote>
  <w:footnote w:id="3">
    <w:p w:rsidR="009818D8" w:rsidRPr="001B6E5E" w:rsidRDefault="009818D8" w:rsidP="00631BE3">
      <w:pPr>
        <w:pStyle w:val="FootnoteText"/>
      </w:pPr>
      <w:r>
        <w:rPr>
          <w:rStyle w:val="FootnoteReference"/>
        </w:rPr>
        <w:footnoteRef/>
      </w:r>
      <w:r w:rsidRPr="00C72D91">
        <w:tab/>
      </w:r>
      <w:r>
        <w:t>Позиция на Европейския парламент от</w:t>
      </w:r>
      <w:r w:rsidRPr="00C72D91">
        <w:t xml:space="preserve"> </w:t>
      </w:r>
      <w:r w:rsidR="005A135B" w:rsidRPr="00B147DE">
        <w:t xml:space="preserve">16 </w:t>
      </w:r>
      <w:r w:rsidR="005A135B">
        <w:t>април 2014 г.</w:t>
      </w:r>
      <w:r w:rsidRPr="00C72D91">
        <w:t xml:space="preserve"> (</w:t>
      </w:r>
      <w:r>
        <w:t>все още непубликувана в ОВ</w:t>
      </w:r>
      <w:r w:rsidRPr="00C72D91">
        <w:t xml:space="preserve">) </w:t>
      </w:r>
      <w:r>
        <w:t>и позиция на Съвета на първо четене от</w:t>
      </w:r>
      <w:r w:rsidRPr="00C72D91">
        <w:t xml:space="preserve"> </w:t>
      </w:r>
      <w:r w:rsidR="00631BE3">
        <w:t>2 март 2015 г.</w:t>
      </w:r>
      <w:r w:rsidR="00631BE3" w:rsidRPr="00631BE3">
        <w:t xml:space="preserve"> [(ОВ …)] [(все още непубликувана в Официален вестник)]. Позиция на Европейския парламент от …</w:t>
      </w:r>
      <w:r w:rsidR="00ED442C">
        <w:t xml:space="preserve"> </w:t>
      </w:r>
      <w:r w:rsidR="00631BE3" w:rsidRPr="00631BE3">
        <w:t>[(ОВ …)] [(все още непубликувана в Официален вестник)]</w:t>
      </w:r>
      <w:r w:rsidR="00631BE3">
        <w:t xml:space="preserve">. </w:t>
      </w:r>
    </w:p>
  </w:footnote>
  <w:footnote w:id="4">
    <w:p w:rsidR="00243257" w:rsidRPr="00F74C33" w:rsidRDefault="00243257" w:rsidP="003C4C9E">
      <w:pPr>
        <w:pStyle w:val="FootnoteText"/>
        <w:rPr>
          <w:szCs w:val="24"/>
        </w:rPr>
      </w:pPr>
      <w:r>
        <w:rPr>
          <w:rStyle w:val="FootnoteReference"/>
        </w:rPr>
        <w:footnoteRef/>
      </w:r>
      <w:r>
        <w:tab/>
      </w:r>
      <w:r w:rsidR="003641C0" w:rsidRPr="003641C0">
        <w:t xml:space="preserve">Директива 94/62/ЕО на Европейския парламент и на Съвета от 20 декември 1994 </w:t>
      </w:r>
      <w:r w:rsidR="003641C0">
        <w:t>г.</w:t>
      </w:r>
      <w:r w:rsidR="003641C0" w:rsidRPr="003641C0">
        <w:t xml:space="preserve"> относно опаковките и отпадъците от опаковки</w:t>
      </w:r>
      <w:r w:rsidR="003641C0">
        <w:t xml:space="preserve"> (</w:t>
      </w:r>
      <w:r>
        <w:t>ОВ L 365, 31.12.1994 г., стр. 10</w:t>
      </w:r>
      <w:r w:rsidR="003641C0">
        <w:t>)</w:t>
      </w:r>
      <w:r>
        <w:t>.</w:t>
      </w:r>
    </w:p>
  </w:footnote>
  <w:footnote w:id="5">
    <w:p w:rsidR="00243257" w:rsidRPr="00F74C33" w:rsidRDefault="00243257" w:rsidP="003C4C9E">
      <w:pPr>
        <w:pStyle w:val="FootnoteText"/>
        <w:rPr>
          <w:szCs w:val="24"/>
        </w:rPr>
      </w:pPr>
      <w:r>
        <w:rPr>
          <w:rStyle w:val="FootnoteReference"/>
        </w:rPr>
        <w:footnoteRef/>
      </w:r>
      <w:r>
        <w:tab/>
      </w:r>
      <w:r w:rsidR="003641C0" w:rsidRPr="003641C0">
        <w:t xml:space="preserve">Директива 2008/98/ЕО на Европейския парламент и на Съвета от 19 ноември 2008 </w:t>
      </w:r>
      <w:r w:rsidR="003641C0">
        <w:t>г.</w:t>
      </w:r>
      <w:r w:rsidR="003641C0" w:rsidRPr="003641C0">
        <w:t xml:space="preserve"> относно отпадъците и за отмяна на определени директиви</w:t>
      </w:r>
      <w:r w:rsidR="003641C0">
        <w:t xml:space="preserve"> (</w:t>
      </w:r>
      <w:r>
        <w:t xml:space="preserve">ОВ L </w:t>
      </w:r>
      <w:r w:rsidRPr="009818D8">
        <w:t>312</w:t>
      </w:r>
      <w:r>
        <w:t>, 22.11.2008 г., стр. 3</w:t>
      </w:r>
      <w:r w:rsidR="003641C0">
        <w:t>)</w:t>
      </w:r>
      <w:r>
        <w:t>.</w:t>
      </w:r>
    </w:p>
  </w:footnote>
  <w:footnote w:id="6">
    <w:p w:rsidR="00243257" w:rsidRPr="006F36FA" w:rsidRDefault="00243257" w:rsidP="00F870EC">
      <w:pPr>
        <w:pStyle w:val="FootnoteText"/>
        <w:rPr>
          <w:szCs w:val="24"/>
        </w:rPr>
      </w:pPr>
      <w:r>
        <w:rPr>
          <w:rStyle w:val="FootnoteReference"/>
        </w:rPr>
        <w:footnoteRef/>
      </w:r>
      <w:r>
        <w:tab/>
      </w:r>
      <w:r w:rsidR="003641C0" w:rsidRPr="003641C0">
        <w:t xml:space="preserve">Директива 2008/56/ЕО на </w:t>
      </w:r>
      <w:r w:rsidR="008F0AEB">
        <w:t>Е</w:t>
      </w:r>
      <w:r w:rsidR="003641C0" w:rsidRPr="003641C0">
        <w:t xml:space="preserve">вропейския парламент и на </w:t>
      </w:r>
      <w:r w:rsidR="008F0AEB">
        <w:t>С</w:t>
      </w:r>
      <w:r w:rsidR="003641C0" w:rsidRPr="003641C0">
        <w:t xml:space="preserve">ъвета от 17 юни 2008 </w:t>
      </w:r>
      <w:r w:rsidR="003641C0">
        <w:t>г.</w:t>
      </w:r>
      <w:r w:rsidR="003641C0" w:rsidRPr="003641C0">
        <w:t xml:space="preserve"> за създаване на рамка за действие на Общността в областта на политиката за морска среда (Рамкова директива за морска стратегия)</w:t>
      </w:r>
      <w:r w:rsidR="003641C0">
        <w:t xml:space="preserve"> (</w:t>
      </w:r>
      <w:r>
        <w:t>ОВ L 164, 25.6.2008 г., стр. 19</w:t>
      </w:r>
      <w:r w:rsidR="003641C0">
        <w:t>)</w:t>
      </w:r>
      <w:r>
        <w:t>.</w:t>
      </w:r>
    </w:p>
  </w:footnote>
  <w:footnote w:id="7">
    <w:p w:rsidR="00A9545D" w:rsidRDefault="00A9545D">
      <w:pPr>
        <w:pStyle w:val="FootnoteText"/>
      </w:pPr>
      <w:r w:rsidRPr="00A9545D">
        <w:rPr>
          <w:rStyle w:val="FootnoteReference"/>
        </w:rPr>
        <w:sym w:font="Symbol" w:char="F02B"/>
      </w:r>
      <w:r>
        <w:tab/>
      </w:r>
      <w:r w:rsidRPr="000A327C">
        <w:t>ОВ: моля въведете датата = датата на влизане в сила на настоящата директива + 36 месеца</w:t>
      </w:r>
      <w:r w:rsidRPr="008D257D">
        <w:rPr>
          <w:rFonts w:eastAsia="Calibri" w:cs="Arial"/>
          <w:b/>
          <w:szCs w:val="22"/>
          <w:lang w:val="ru-RU"/>
        </w:rPr>
        <w:t>.</w:t>
      </w:r>
    </w:p>
  </w:footnote>
  <w:footnote w:id="8">
    <w:p w:rsidR="00A9545D" w:rsidRDefault="00A9545D">
      <w:pPr>
        <w:pStyle w:val="FootnoteText"/>
      </w:pPr>
      <w:r w:rsidRPr="00A9545D">
        <w:rPr>
          <w:rStyle w:val="FootnoteReference"/>
        </w:rPr>
        <w:sym w:font="Symbol" w:char="F02B"/>
      </w:r>
      <w:r w:rsidRPr="00A9545D">
        <w:rPr>
          <w:rStyle w:val="FootnoteReference"/>
        </w:rPr>
        <w:sym w:font="Symbol" w:char="F02B"/>
      </w:r>
      <w:r>
        <w:tab/>
      </w:r>
      <w:r w:rsidRPr="000A327C">
        <w:t xml:space="preserve">ОВ: моля въведете датата = датата на влизане в сила на настоящата директива + </w:t>
      </w:r>
      <w:r>
        <w:t>12</w:t>
      </w:r>
      <w:r w:rsidRPr="000A327C">
        <w:t> месеца</w:t>
      </w:r>
      <w:r w:rsidRPr="003F37B4">
        <w:rPr>
          <w:rFonts w:eastAsia="Calibri" w:cs="Arial"/>
          <w:b/>
          <w:szCs w:val="22"/>
          <w:lang w:val="ru-RU"/>
        </w:rPr>
        <w:t>.</w:t>
      </w:r>
    </w:p>
  </w:footnote>
  <w:footnote w:id="9">
    <w:p w:rsidR="00A9545D" w:rsidRDefault="00A9545D">
      <w:pPr>
        <w:pStyle w:val="FootnoteText"/>
      </w:pPr>
      <w:r w:rsidRPr="00A9545D">
        <w:rPr>
          <w:rStyle w:val="FootnoteReference"/>
        </w:rPr>
        <w:sym w:font="Symbol" w:char="F02B"/>
      </w:r>
      <w:r>
        <w:tab/>
      </w:r>
      <w:r w:rsidRPr="00243257">
        <w:t xml:space="preserve">ОВ: </w:t>
      </w:r>
      <w:r>
        <w:t>м</w:t>
      </w:r>
      <w:r w:rsidRPr="00243257">
        <w:t xml:space="preserve">оля въведете датата </w:t>
      </w:r>
      <w:r w:rsidRPr="00921FD1">
        <w:t xml:space="preserve">= </w:t>
      </w:r>
      <w:r w:rsidRPr="0069523C">
        <w:t>осемнадесет месеца</w:t>
      </w:r>
      <w:r w:rsidRPr="0069523C">
        <w:rPr>
          <w:rFonts w:eastAsia="Calibri" w:cs="Arial"/>
          <w:noProof/>
          <w:szCs w:val="22"/>
          <w:lang w:val="ru-RU" w:eastAsia="en-GB"/>
        </w:rPr>
        <w:t xml:space="preserve"> </w:t>
      </w:r>
      <w:r w:rsidRPr="00243257">
        <w:t>след влизането в сила на настоящата директива</w:t>
      </w:r>
      <w:r>
        <w:t>.</w:t>
      </w:r>
    </w:p>
  </w:footnote>
  <w:footnote w:id="10">
    <w:p w:rsidR="00A9545D" w:rsidRDefault="00A9545D">
      <w:pPr>
        <w:pStyle w:val="FootnoteText"/>
      </w:pPr>
      <w:r w:rsidRPr="00A9545D">
        <w:rPr>
          <w:rStyle w:val="FootnoteReference"/>
        </w:rPr>
        <w:sym w:font="Symbol" w:char="F02B"/>
      </w:r>
      <w:r w:rsidRPr="00A9545D">
        <w:rPr>
          <w:rStyle w:val="FootnoteReference"/>
        </w:rPr>
        <w:sym w:font="Symbol" w:char="F02B"/>
      </w:r>
      <w:r w:rsidR="00067DA1">
        <w:tab/>
      </w:r>
      <w:r w:rsidRPr="00243257">
        <w:t>ОВ: моля въведете датата — две години след влизането в сила на настоящата директива</w:t>
      </w:r>
      <w:r w:rsidRPr="00FD4763">
        <w:rPr>
          <w:rFonts w:eastAsia="Calibri" w:cs="Arial"/>
          <w:b/>
          <w:iCs/>
          <w:szCs w:val="22"/>
          <w:lang w:val="ru-RU"/>
        </w:rPr>
        <w:t>.</w:t>
      </w:r>
    </w:p>
  </w:footnote>
  <w:footnote w:id="11">
    <w:p w:rsidR="00A9545D" w:rsidRDefault="00A9545D">
      <w:pPr>
        <w:pStyle w:val="FootnoteText"/>
      </w:pPr>
      <w:r w:rsidRPr="00A9545D">
        <w:rPr>
          <w:rStyle w:val="FootnoteReference"/>
        </w:rPr>
        <w:sym w:font="Symbol" w:char="F02B"/>
      </w:r>
      <w:r w:rsidR="00067DA1">
        <w:tab/>
      </w:r>
      <w:r w:rsidRPr="000A327C">
        <w:t xml:space="preserve">ОВ: моля въведете датата = датата на влизане в сила на настоящата директива + </w:t>
      </w:r>
      <w:r>
        <w:t>78</w:t>
      </w:r>
      <w:r w:rsidRPr="000A327C">
        <w:t> месеца</w:t>
      </w:r>
      <w:r w:rsidRPr="00457869">
        <w:rPr>
          <w:rFonts w:eastAsia="Calibri" w:cs="Arial"/>
          <w:b/>
          <w:szCs w:val="22"/>
          <w:lang w:val="ru-RU"/>
        </w:rPr>
        <w:t>.</w:t>
      </w:r>
    </w:p>
  </w:footnote>
  <w:footnote w:id="12">
    <w:p w:rsidR="00A9545D" w:rsidRDefault="00A9545D">
      <w:pPr>
        <w:pStyle w:val="FootnoteText"/>
      </w:pPr>
      <w:r w:rsidRPr="00A9545D">
        <w:rPr>
          <w:rStyle w:val="FootnoteReference"/>
        </w:rPr>
        <w:sym w:font="Symbol" w:char="F02B"/>
      </w:r>
      <w:r w:rsidR="00067DA1">
        <w:tab/>
      </w:r>
      <w:r>
        <w:t>О</w:t>
      </w:r>
      <w:r w:rsidRPr="000A327C">
        <w:t xml:space="preserve">В: моля въведете датата = датата на влизане в сила на настоящата директива + </w:t>
      </w:r>
      <w:r>
        <w:t>24</w:t>
      </w:r>
      <w:r w:rsidRPr="000A327C">
        <w:t> месеца</w:t>
      </w:r>
      <w:r w:rsidRPr="00C77495">
        <w:rPr>
          <w:rFonts w:eastAsia="Calibri" w:cs="Arial"/>
          <w:b/>
          <w:szCs w:val="22"/>
          <w:lang w:val="ru-RU"/>
        </w:rPr>
        <w:t>.</w:t>
      </w:r>
    </w:p>
  </w:footnote>
  <w:footnote w:id="13">
    <w:p w:rsidR="00A9545D" w:rsidRDefault="00A9545D">
      <w:pPr>
        <w:pStyle w:val="FootnoteText"/>
      </w:pPr>
      <w:r w:rsidRPr="00A9545D">
        <w:rPr>
          <w:rStyle w:val="FootnoteReference"/>
        </w:rPr>
        <w:sym w:font="Symbol" w:char="F02B"/>
      </w:r>
      <w:r w:rsidRPr="00A9545D">
        <w:rPr>
          <w:rStyle w:val="FootnoteReference"/>
        </w:rPr>
        <w:sym w:font="Symbol" w:char="F02B"/>
      </w:r>
      <w:r w:rsidR="00067DA1">
        <w:tab/>
      </w:r>
      <w:r w:rsidRPr="000A327C">
        <w:t xml:space="preserve">ОВ: моля въведете датата = датата на влизане в сила на настоящата директива + </w:t>
      </w:r>
      <w:r>
        <w:t>24</w:t>
      </w:r>
      <w:r w:rsidRPr="000A327C">
        <w:t> месеца</w:t>
      </w:r>
      <w:r w:rsidRPr="00266535">
        <w:rPr>
          <w:rFonts w:eastAsia="Calibri" w:cs="Arial"/>
          <w:b/>
          <w:szCs w:val="22"/>
          <w:lang w:val="ru-RU"/>
        </w:rPr>
        <w:t>.</w:t>
      </w:r>
    </w:p>
  </w:footnote>
  <w:footnote w:id="14">
    <w:p w:rsidR="00A9545D" w:rsidRDefault="00A9545D">
      <w:pPr>
        <w:pStyle w:val="FootnoteText"/>
      </w:pPr>
      <w:r w:rsidRPr="00A9545D">
        <w:rPr>
          <w:rStyle w:val="FootnoteReference"/>
        </w:rPr>
        <w:sym w:font="Symbol" w:char="F02B"/>
      </w:r>
      <w:r w:rsidR="00067DA1">
        <w:tab/>
      </w:r>
      <w:r w:rsidRPr="000C312A">
        <w:t>ОВ: моля въведете датата = осемнадесет месеца след влизането в сила на настоящата директива.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8F" w:rsidRPr="008A4B07" w:rsidRDefault="00C9008F" w:rsidP="008A4B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8F" w:rsidRPr="008A4B07" w:rsidRDefault="00C9008F" w:rsidP="008A4B07">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8F" w:rsidRPr="008A4B07" w:rsidRDefault="00C9008F" w:rsidP="008A4B07">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6B3" w:rsidRPr="008A4B07" w:rsidRDefault="00DB76B3" w:rsidP="008A4B0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6B3" w:rsidRPr="008A4B07" w:rsidRDefault="00DB76B3" w:rsidP="008A4B0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6B3" w:rsidRPr="008A4B07" w:rsidRDefault="00DB76B3" w:rsidP="008A4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1E2AED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4B062F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32C3F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DB824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5A2E2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0619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378F41A"/>
    <w:lvl w:ilvl="0">
      <w:start w:val="1"/>
      <w:numFmt w:val="decimal"/>
      <w:pStyle w:val="ListNumber"/>
      <w:lvlText w:val="%1."/>
      <w:lvlJc w:val="left"/>
      <w:pPr>
        <w:tabs>
          <w:tab w:val="num" w:pos="360"/>
        </w:tabs>
        <w:ind w:left="360" w:hanging="360"/>
      </w:pPr>
    </w:lvl>
  </w:abstractNum>
  <w:abstractNum w:abstractNumId="7">
    <w:nsid w:val="FFFFFF89"/>
    <w:multiLevelType w:val="singleLevel"/>
    <w:tmpl w:val="EC10C0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12">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4">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6">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8">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0">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1">
    <w:nsid w:val="38F424D0"/>
    <w:multiLevelType w:val="multilevel"/>
    <w:tmpl w:val="48741C5E"/>
    <w:name w:val="Points"/>
    <w:lvl w:ilvl="0">
      <w:start w:val="1"/>
      <w:numFmt w:val="decimal"/>
      <w:lvlRestart w:val="0"/>
      <w:pStyle w:val="Point123"/>
      <w:lvlText w:val="%1."/>
      <w:lvlJc w:val="left"/>
      <w:pPr>
        <w:tabs>
          <w:tab w:val="num" w:pos="567"/>
        </w:tabs>
        <w:ind w:left="567" w:hanging="567"/>
      </w:pPr>
      <w:rPr>
        <w:rFonts w:cs="Times New Roman"/>
      </w:rPr>
    </w:lvl>
    <w:lvl w:ilvl="1">
      <w:start w:val="1"/>
      <w:numFmt w:val="lowerLetter"/>
      <w:pStyle w:val="Pointabc"/>
      <w:lvlText w:val="%2)"/>
      <w:lvlJc w:val="left"/>
      <w:pPr>
        <w:tabs>
          <w:tab w:val="num" w:pos="567"/>
        </w:tabs>
        <w:ind w:left="567" w:hanging="567"/>
      </w:pPr>
      <w:rPr>
        <w:rFonts w:cs="Times New Roman"/>
      </w:rPr>
    </w:lvl>
    <w:lvl w:ilvl="2">
      <w:start w:val="1"/>
      <w:numFmt w:val="decimal"/>
      <w:pStyle w:val="Point1231"/>
      <w:lvlText w:val="%3."/>
      <w:lvlJc w:val="left"/>
      <w:pPr>
        <w:tabs>
          <w:tab w:val="num" w:pos="1134"/>
        </w:tabs>
        <w:ind w:left="1134" w:hanging="567"/>
      </w:pPr>
      <w:rPr>
        <w:rFonts w:cs="Times New Roman"/>
      </w:rPr>
    </w:lvl>
    <w:lvl w:ilvl="3">
      <w:start w:val="1"/>
      <w:numFmt w:val="lowerLetter"/>
      <w:pStyle w:val="Pointabc1"/>
      <w:lvlText w:val="%4)"/>
      <w:lvlJc w:val="left"/>
      <w:pPr>
        <w:tabs>
          <w:tab w:val="num" w:pos="1134"/>
        </w:tabs>
        <w:ind w:left="1134" w:hanging="567"/>
      </w:pPr>
      <w:rPr>
        <w:rFonts w:cs="Times New Roman"/>
      </w:rPr>
    </w:lvl>
    <w:lvl w:ilvl="4">
      <w:start w:val="1"/>
      <w:numFmt w:val="decimal"/>
      <w:pStyle w:val="Point1232"/>
      <w:lvlText w:val="%5."/>
      <w:lvlJc w:val="left"/>
      <w:pPr>
        <w:tabs>
          <w:tab w:val="num" w:pos="1701"/>
        </w:tabs>
        <w:ind w:left="1701" w:hanging="567"/>
      </w:pPr>
      <w:rPr>
        <w:rFonts w:cs="Times New Roman"/>
      </w:rPr>
    </w:lvl>
    <w:lvl w:ilvl="5">
      <w:start w:val="1"/>
      <w:numFmt w:val="lowerLetter"/>
      <w:pStyle w:val="Pointabc2"/>
      <w:lvlText w:val="%6)"/>
      <w:lvlJc w:val="left"/>
      <w:pPr>
        <w:tabs>
          <w:tab w:val="num" w:pos="1701"/>
        </w:tabs>
        <w:ind w:left="1701" w:hanging="567"/>
      </w:pPr>
      <w:rPr>
        <w:rFonts w:cs="Times New Roman"/>
      </w:rPr>
    </w:lvl>
    <w:lvl w:ilvl="6">
      <w:start w:val="1"/>
      <w:numFmt w:val="decimal"/>
      <w:pStyle w:val="Point1233"/>
      <w:lvlText w:val="%7."/>
      <w:lvlJc w:val="left"/>
      <w:pPr>
        <w:tabs>
          <w:tab w:val="num" w:pos="2268"/>
        </w:tabs>
        <w:ind w:left="2268" w:hanging="567"/>
      </w:pPr>
      <w:rPr>
        <w:rFonts w:cs="Times New Roman"/>
      </w:rPr>
    </w:lvl>
    <w:lvl w:ilvl="7">
      <w:start w:val="1"/>
      <w:numFmt w:val="lowerLetter"/>
      <w:pStyle w:val="Pointabc3"/>
      <w:lvlText w:val="%8)"/>
      <w:lvlJc w:val="left"/>
      <w:pPr>
        <w:tabs>
          <w:tab w:val="num" w:pos="2268"/>
        </w:tabs>
        <w:ind w:left="2268" w:hanging="567"/>
      </w:pPr>
      <w:rPr>
        <w:rFonts w:cs="Times New Roman"/>
      </w:rPr>
    </w:lvl>
    <w:lvl w:ilvl="8">
      <w:start w:val="1"/>
      <w:numFmt w:val="lowerLetter"/>
      <w:pStyle w:val="Pointabc4"/>
      <w:lvlText w:val="%9)"/>
      <w:lvlJc w:val="left"/>
      <w:pPr>
        <w:tabs>
          <w:tab w:val="num" w:pos="2835"/>
        </w:tabs>
        <w:ind w:left="2835" w:hanging="567"/>
      </w:pPr>
      <w:rPr>
        <w:rFonts w:cs="Times New Roman"/>
      </w:rPr>
    </w:lvl>
  </w:abstractNum>
  <w:abstractNum w:abstractNumId="22">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3">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4">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5">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6">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7">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28">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rPr>
        <w:rFonts w:cs="Times New Roman"/>
      </w:rPr>
    </w:lvl>
    <w:lvl w:ilvl="1">
      <w:start w:val="1"/>
      <w:numFmt w:val="lowerRoman"/>
      <w:pStyle w:val="Pointivx1"/>
      <w:lvlText w:val="%2)"/>
      <w:lvlJc w:val="left"/>
      <w:pPr>
        <w:tabs>
          <w:tab w:val="num" w:pos="1134"/>
        </w:tabs>
        <w:ind w:left="1134" w:hanging="567"/>
      </w:pPr>
      <w:rPr>
        <w:rFonts w:cs="Times New Roman"/>
      </w:rPr>
    </w:lvl>
    <w:lvl w:ilvl="2">
      <w:start w:val="1"/>
      <w:numFmt w:val="lowerRoman"/>
      <w:pStyle w:val="Pointivx2"/>
      <w:lvlText w:val="%3)"/>
      <w:lvlJc w:val="left"/>
      <w:pPr>
        <w:tabs>
          <w:tab w:val="num" w:pos="1701"/>
        </w:tabs>
        <w:ind w:left="1701" w:hanging="567"/>
      </w:pPr>
      <w:rPr>
        <w:rFonts w:cs="Times New Roman"/>
      </w:rPr>
    </w:lvl>
    <w:lvl w:ilvl="3">
      <w:start w:val="1"/>
      <w:numFmt w:val="lowerRoman"/>
      <w:pStyle w:val="Pointivx3"/>
      <w:lvlText w:val="%4)"/>
      <w:lvlJc w:val="left"/>
      <w:pPr>
        <w:tabs>
          <w:tab w:val="num" w:pos="2268"/>
        </w:tabs>
        <w:ind w:left="2268" w:hanging="567"/>
      </w:pPr>
      <w:rPr>
        <w:rFonts w:cs="Times New Roman"/>
      </w:rPr>
    </w:lvl>
    <w:lvl w:ilvl="4">
      <w:start w:val="1"/>
      <w:numFmt w:val="lowerRoman"/>
      <w:pStyle w:val="Pointivx4"/>
      <w:lvlText w:val="%5)"/>
      <w:lvlJc w:val="left"/>
      <w:pPr>
        <w:tabs>
          <w:tab w:val="num" w:pos="2835"/>
        </w:tabs>
        <w:ind w:left="2835" w:hanging="567"/>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2">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3">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4">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77280071"/>
    <w:multiLevelType w:val="multilevel"/>
    <w:tmpl w:val="39C25228"/>
    <w:name w:val="Heading 123"/>
    <w:lvl w:ilvl="0">
      <w:start w:val="1"/>
      <w:numFmt w:val="decimal"/>
      <w:lvlRestart w:val="0"/>
      <w:pStyle w:val="Heading123"/>
      <w:lvlText w:val="%1."/>
      <w:lvlJc w:val="left"/>
      <w:pPr>
        <w:tabs>
          <w:tab w:val="num" w:pos="567"/>
        </w:tabs>
        <w:ind w:left="567" w:hanging="567"/>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37">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29"/>
  </w:num>
  <w:num w:numId="2">
    <w:abstractNumId w:val="23"/>
  </w:num>
  <w:num w:numId="3">
    <w:abstractNumId w:val="22"/>
  </w:num>
  <w:num w:numId="4">
    <w:abstractNumId w:val="24"/>
  </w:num>
  <w:num w:numId="5">
    <w:abstractNumId w:val="20"/>
  </w:num>
  <w:num w:numId="6">
    <w:abstractNumId w:val="11"/>
  </w:num>
  <w:num w:numId="7">
    <w:abstractNumId w:val="19"/>
  </w:num>
  <w:num w:numId="8">
    <w:abstractNumId w:val="17"/>
  </w:num>
  <w:num w:numId="9">
    <w:abstractNumId w:val="15"/>
  </w:num>
  <w:num w:numId="10">
    <w:abstractNumId w:val="31"/>
  </w:num>
  <w:num w:numId="11">
    <w:abstractNumId w:val="32"/>
  </w:num>
  <w:num w:numId="12">
    <w:abstractNumId w:val="21"/>
  </w:num>
  <w:num w:numId="13">
    <w:abstractNumId w:val="28"/>
  </w:num>
  <w:num w:numId="14">
    <w:abstractNumId w:val="12"/>
  </w:num>
  <w:num w:numId="15">
    <w:abstractNumId w:val="35"/>
  </w:num>
  <w:num w:numId="16">
    <w:abstractNumId w:val="16"/>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13"/>
  </w:num>
  <w:num w:numId="26">
    <w:abstractNumId w:val="25"/>
  </w:num>
  <w:num w:numId="27">
    <w:abstractNumId w:val="27"/>
  </w:num>
  <w:num w:numId="28">
    <w:abstractNumId w:val="26"/>
  </w:num>
  <w:num w:numId="29">
    <w:abstractNumId w:val="36"/>
  </w:num>
  <w:num w:numId="30">
    <w:abstractNumId w:val="14"/>
  </w:num>
  <w:num w:numId="31">
    <w:abstractNumId w:val="8"/>
  </w:num>
  <w:num w:numId="32">
    <w:abstractNumId w:val="37"/>
  </w:num>
  <w:num w:numId="33">
    <w:abstractNumId w:val="18"/>
  </w:num>
  <w:num w:numId="34">
    <w:abstractNumId w:val="10"/>
  </w:num>
  <w:num w:numId="35">
    <w:abstractNumId w:val="9"/>
  </w:num>
  <w:num w:numId="36">
    <w:abstractNumId w:val="34"/>
  </w:num>
  <w:num w:numId="37">
    <w:abstractNumId w:val="30"/>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396"/>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
    <w:docVar w:name="Council" w:val="true"/>
    <w:docVar w:name="DocuWriteMetaData" w:val="&lt;metadataset docuwriteversion=&quot;3.4.3&quot; technicalblockguid=&quot;dbf772f3-1c86-427e-8015-90ee3ec150ae&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2&quo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 /&gt;_x000d__x000a_    &lt;/basicdatatype&gt;_x000d__x000a_  &lt;/metadata&gt;_x000d__x000a_  &lt;metadata key=&quot;md_HeadingText&quot; translate=&quot;false&quot;&gt;_x000d__x000a_    &lt;headingtex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_x000d__x000a_      &lt;formattedtext&gt;_x000d__x000a_        &lt;xaml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amp;lt;FlowDocument xmlns=&quot;http://schemas.microsoft.com/winfx/2006/xaml/presentation&quot;&amp;gt;&amp;lt;Paragraph&amp;g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5&quot; text=&quot;Legislative Act&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3-04&lt;/text&gt;_x000d__x000a_  &lt;/metadata&gt;_x000d__x000a_  &lt;metadata key=&quot;md_Prefix&quot; translate=&quot;false&quot;&gt;_x000d__x000a_    &lt;text&gt;&lt;/text&gt;_x000d__x000a_  &lt;/metadata&gt;_x000d__x000a_  &lt;metadata key=&quot;md_DocumentNumber&quot; translate=&quot;false&quot;&gt;_x000d__x000a_    &lt;text&gt;5094&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ENV 6&lt;/text&gt;_x000d__x000a_      &lt;text&gt;MI 11&lt;/text&gt;_x000d__x000a_      &lt;text&gt;IND 9&lt;/text&gt;_x000d__x000a_      &lt;text&gt;CONSOM 5&lt;/text&gt;_x000d__x000a_      &lt;text&gt;CODEC 16&lt;/text&gt;_x000d__x000a_      &lt;text&gt;PARLNAT 14&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 translate=&quot;false&quot;&gt;_x000d__x000a_    &lt;textlist&gt;_x000d__x000a_      &lt;text&gt;2013/0371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amp;#1055;&amp;#1086;&amp;#1079;&amp;#1080;&amp;#1094;&amp;#1080;&amp;#1103; &amp;#1085;&amp;#1072; &amp;#1057;&amp;#1098;&amp;#1074;&amp;#1077;&amp;#1090;&amp;#1072; &amp;#1085;&amp;#1072; &amp;#1087;&amp;#1098;&amp;#1088;&amp;#1074;&amp;#1086; &amp;#1095;&amp;#1077;&amp;#1090;&amp;#1077;&amp;#1085;&amp;#1077; &amp;#1089; &amp;#1086;&amp;#1075;&amp;#1083;&amp;#1077;&amp;#1076; &amp;#1087;&amp;#1088;&amp;#1080;&amp;#1077;&amp;#1084;&amp;#1072;&amp;#1085;&amp;#1077;&amp;#1090;&amp;#1086; &amp;#1085;&amp;#1072; &amp;#1044;&amp;#1048;&amp;#1056;&amp;#1045;&amp;#1050;&amp;#1058;&amp;#1048;&amp;#1042;&amp;#1040; &amp;#1053;&amp;#1040; &amp;#1045;&amp;#1042;&amp;#1056;&amp;#1054;&amp;#1055;&amp;#1045;&amp;#1049;&amp;#1057;&amp;#1050;&amp;#1048;&amp;#1071; &amp;#1055;&amp;#1040;&amp;#1056;&amp;#1051;&amp;#1040;&amp;#1052;&amp;#1045;&amp;#1053;&amp;#1058; &amp;#1048; &amp;#1053;&amp;#1040; &amp;#1057;&amp;#1066;&amp;#1042;&amp;#1045;&amp;#1058;&amp;#1040; &amp;#1079;&amp;#1072; &amp;#1080;&amp;#1079;&amp;#1084;&amp;#1077;&amp;#1085;&amp;#1077;&amp;#1085;&amp;#1080;&amp;#1077; &amp;#1085;&amp;#1072; &amp;#1044;&amp;#1080;&amp;#1088;&amp;#1077;&amp;#1082;&amp;#1090;&amp;#1080;&amp;#1074;&amp;#1072; 94/62/&amp;#1045;&amp;#1054; &amp;#1087;&amp;#1086; &amp;#1086;&amp;#1090;&amp;#1085;&amp;#1086;&amp;#1096;&amp;#1077;&amp;#1085;&amp;#1080;&amp;#1077; &amp;#1085;&amp;#1072; &amp;#1085;&amp;#1072;&amp;#1084;&amp;#1072;&amp;#1083;&amp;#1103;&amp;#1074;&amp;#1072;&amp;#1085;&amp;#1077; &amp;#1085;&amp;#1072; &amp;#1087;&amp;#1086;&amp;#1090;&amp;#1088;&amp;#1077;&amp;#1073;&amp;#1083;&amp;#1077;&amp;#1085;&amp;#1080;&amp;#1077;&amp;#1090;&amp;#1086; &amp;#1085;&amp;#1072; &amp;#1090;&amp;#1098;&amp;#1085;&amp;#1082;&amp;#1080; &amp;#1087;&amp;#1083;&amp;#1072;&amp;#1089;&amp;#1090;&amp;#1084;&amp;#1072;&amp;#1089;&amp;#1086;&amp;#1074;&amp;#1080; &amp;#1090;&amp;#1086;&amp;#1088;&amp;#1073;&amp;#1080;&amp;#1095;&amp;#1082;&amp;#1080; &amp;#1079;&amp;#1072; &amp;#1087;&amp;#1072;&amp;#1079;&amp;#1072;&amp;#1088;&amp;#1091;&amp;#1074;&amp;#1072;&amp;#1085;&amp;#1077;  - &amp;#1055;&amp;#1088;&amp;#1080;&amp;#1077;&amp;#1090;&amp;#1072; &amp;#1086;&amp;#1090; &amp;#1057;&amp;#1098;&amp;#1074;&amp;#1077;&amp;#1090;&amp;#1072; &amp;#1085;&amp;#1072; 2 &amp;#1084;&amp;#1072;&amp;#1088;&amp;#1090; 2015 &amp;#107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xml:space=&quot;preserve&quot;&amp;gt;&amp;#1055;&amp;#1086;&amp;#1079;&amp;#1080;&amp;#1094;&amp;#1080;&amp;#1103; &amp;#1085;&amp;#1072; &amp;#1057;&amp;#1098;&amp;#1074;&amp;#1077;&amp;#1090;&amp;#1072; &amp;#1085;&amp;#1072; &amp;#1087;&amp;#1098;&amp;#1088;&amp;#1074;&amp;#1086; &amp;#1095;&amp;#1077;&amp;#1090;&amp;#1077;&amp;#1085;&amp;#1077; &amp;#1089; &amp;#1086;&amp;#1075;&amp;#1083;&amp;#1077;&amp;#1076; &amp;#1087;&amp;#1088;&amp;#1080;&amp;#1077;&amp;#1084;&amp;#1072;&amp;#1085;&amp;#1077;&amp;#1090;&amp;#1086; &amp;#1085;&amp;#1072; &amp;#1044;&amp;#1048;&amp;#1056;&amp;#1045;&amp;#1050;&amp;#1058;&amp;#1048;&amp;#1042;&amp;#1040; &amp;#1053;&amp;#1040; &amp;#1045;&amp;#1042;&amp;#1056;&amp;#1054;&amp;#1055;&amp;#1045;&amp;#1049;&amp;#1057;&amp;#1050;&amp;#1048;&amp;#1071; &amp;#1055;&amp;#1040;&amp;#1056;&amp;#1051;&amp;#1040;&amp;#1052;&amp;#1045;&amp;#1053;&amp;#1058; &amp;#1048; &amp;#1053;&amp;#1040; &amp;#1057;&amp;#1066;&amp;#1042;&amp;#1045;&amp;#1058;&amp;#1040; &amp;#1079;&amp;#1072; &amp;#1080;&amp;#1079;&amp;#1084;&amp;#1077;&amp;#1085;&amp;#1077;&amp;#1085;&amp;#1080;&amp;#1077; &amp;#1085;&amp;#1072; &amp;#1044;&amp;#1080;&amp;#1088;&amp;#1077;&amp;#1082;&amp;#1090;&amp;#1080;&amp;#1074;&amp;#1072; 94/62/&amp;#1045;&amp;#1054; &amp;#1087;&amp;#1086; &amp;#1086;&amp;#1090;&amp;#1085;&amp;#1086;&amp;#1096;&amp;#1077;&amp;#1085;&amp;#1080;&amp;#1077; &amp;#1085;&amp;#1072; &amp;#1085;&amp;#1072;&amp;#1084;&amp;#1072;&amp;#1083;&amp;#1103;&amp;#1074;&amp;#1072;&amp;#1085;&amp;#1077; &amp;#1085;&amp;#1072; &amp;#1087;&amp;#1086;&amp;#1090;&amp;#1088;&amp;#1077;&amp;#1073;&amp;#1083;&amp;#1077;&amp;#1085;&amp;#1080;&amp;#1077;&amp;#1090;&amp;#1086; &amp;#1085;&amp;#1072; &amp;#1090;&amp;#1098;&amp;#1085;&amp;#1082;&amp;#1080; &amp;#1087;&amp;#1083;&amp;#1072;&amp;#1089;&amp;#1090;&amp;#1084;&amp;#1072;&amp;#1089;&amp;#1086;&amp;#1074;&amp;#1080; &amp;#1090;&amp;#1086;&amp;#1088;&amp;#1073;&amp;#1080;&amp;#1095;&amp;#1082;&amp;#1080; &amp;#1079;&amp;#1072; &amp;#1087;&amp;#1072;&amp;#1079;&amp;#1072;&amp;#1088;&amp;#1091;&amp;#1074;&amp;#1072;&amp;#1085;&amp;#1077; &amp;lt;/Run&amp;gt;&amp;lt;LineBreak /&amp;gt;&amp;lt;Run FontFamily=&quot;Times New Roman&quot;&amp;gt;- &amp;#1055;&amp;#1088;&amp;#1080;&amp;#1077;&amp;#1090;&amp;#1072; &amp;#1086;&amp;#1090; &amp;#1057;&amp;#1098;&amp;#1074;&amp;#1077;&amp;#1090;&amp;#1072; &amp;#1085;&amp;#1072; 2 &amp;#1084;&amp;#1072;&amp;#1088;&amp;#1090; 2015 &amp;#1075;.&amp;lt;/Run&amp;gt;&amp;lt;/Paragraph&amp;gt;&amp;lt;/FlowDocument&amp;gt;&lt;/xaml&gt;_x000d__x000a_  &lt;/metadata&gt;_x000d__x000a_  &lt;metadata key=&quot;md_SubjectFootnote&quot; /&gt;_x000d__x000a_  &lt;metadata key=&quot;md_DG&quot; translate=&quot;false&quot;&gt;_x000d__x000a_    &lt;text&gt;DGE 1&lt;/text&gt;_x000d__x000a_  &lt;/metadata&gt;_x000d__x000a_  &lt;metadata key=&quot;md_Initials&quot; translate=&quot;false&quot;&gt;_x000d__x000a_    &lt;text&gt;BK/rb&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4&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4&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ocuWriteMetaDataSource1" w:val="&lt;metadataset docuwriteversion=&quot;3.0.2&quot; technicalblockguid=&quot;41dda50a-37bc-4473-af72-4525e68c5a95&quot;&gt;_x000d__x000a_  &lt;metadata key=&quot;md_DocumentLanguages&quot; translate=&quot;false&quot;&gt;_x000d__x000a_    &lt;basicdatatypelist&gt;_x000d__x000a_      &lt;language key=&quot;LT&quot; text=&quot;LT&quot; /&gt;_x000d__x000a_    &lt;/basicdatatypelist&gt;_x000d__x000a_  &lt;/metadata&gt;_x000d__x000a_  &lt;metadata key=&quot;md_OriginalLanguages&quot; translate=&quot;false&quot;&gt;_x000d__x000a_    &lt;basicdatatypelist&gt;_x000d__x000a_      &lt;language key=&quot;LT&quot; text=&quot;LT&quot; /&gt;_x000d__x000a_    &lt;/basicdatatypelist&gt;_x000d__x000a_  &lt;/metadata&gt;_x000d__x000a_  &lt;metadata key=&quot;md_UniqueHeading&quot; translate=&quot;false&quot;&gt;_x000d__x000a_    &lt;basicdatatype&gt;_x000d__x000a_      &lt;heading key=&quot;uh_36&quot; text=&quot;PRANE&amp;#352;IMAS&quot; /&gt;_x000d__x000a_    &lt;/basicdatatype&gt;_x000d__x000a_  &lt;/metadata&gt;_x000d__x000a_  &lt;metadata key=&quot;md_HeadingText&quot; translate=&quot;false&quot;&gt;_x000d__x000a_    &lt;headingtext text=&quot;PRANE&amp;#352;IMAS&quot;&gt;_x000d__x000a_      &lt;formattedtext&gt;_x000d__x000a_        &lt;xaml text=&quot;PRANE&amp;#352;IMAS&quot;&gt;&amp;lt;FlowDocument xmlns=&quot;http://schemas.microsoft.com/winfx/2006/xaml/presentation&quot;&amp;gt;&amp;lt;Paragraph&amp;gt;PRANE&amp;#352;IMAS&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EUROPOS S&amp;#260;JUNGOS TARYBA&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iuselis&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9843&lt;/text&gt;_x000d__x000a_  &lt;/metadata&gt;_x000d__x000a_  &lt;metadata key=&quot;md_YearDocumentNumber&quot; translate=&quot;false&quot;&gt;_x000d__x000a_    &lt;text&gt;2014&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 /&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 translate=&quot;false&quot;&gt;_x000d__x000a_    &lt;basicdatatype&gt;_x000d__x000a_      &lt;typeofheading key=&quot;typeofhead_06&quot; text=&quot;Other&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 translate=&quot;false&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or_09&quot; text=&quot;Tarybos generalinio sekretoriato&quot; /&gt;_x000d__x000a_    &lt;/basicdatatype&gt;_x000d__x000a_  &lt;/metadata&gt;_x000d__x000a_  &lt;metadata key=&quot;md_Recipient&quot; translate=&quot;false&quot;&gt;_x000d__x000a_    &lt;basicdatatype&gt;_x000d__x000a_      &lt;recipient key=&quot;re_07&quot; text=&quot;Delegacijoms&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gt;_x000d__x000a_      &lt;text&gt;SN 2427/14&lt;/text&gt;_x000d__x000a_    &lt;/textlist&gt;_x000d__x000a_  &lt;/metadata&gt;_x000d__x000a_  &lt;metadata key=&quot;md_CommissionDocuments&quot; translate=&quot;false&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Tarybos reglamento, ,kuriuo &amp;#303;gyvendinamas Tarybos reglamentas (ES) Nr. 36/2012 d&amp;#279;l ribojam&amp;#371;j&amp;#371; priemoni&amp;#371;, atsi&amp;#382;velgiant &amp;#303; pad&amp;#279;t&amp;#303; Sirijoje, projektas &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amp;gt;Tarybos reglamento, ,&amp;lt;Span FontFamily=&quot;Times New Roman&quot; FontSize=&quot;16&quot; xml:lang=&quot;en-gb&quot;&amp;gt;kuriuo &amp;#303;gyvendinamas Tarybos reglamentas (ES) Nr. 36/2012 d&amp;#279;l ribojam&amp;#371;j&amp;#371; priemoni&amp;#371;, atsi&amp;#382;velgiant &amp;#303; pad&amp;#279;t&amp;#303; Sirijoje,&amp;lt;/Span&amp;gt; projektas&amp;lt;Span FontFamily=&quot;Times New Roman&quot; FontSize=&quot;16&quot; xml:lang=&quot;en-gb&quot; xml:space=&quot;preserve&quot;&amp;gt; &amp;lt;/Span&amp;gt;&amp;lt;/Paragraph&amp;gt;&amp;lt;/FlowDocument&amp;gt;&lt;/xaml&gt;_x000d__x000a_  &lt;/metadata&gt;_x000d__x000a_  &lt;metadata key=&quot;md_SubjectFootnote&quot; /&gt;_x000d__x000a_  &lt;metadata key=&quot;md_DG&quot; translate=&quot;false&quot;&gt;_x000d__x000a_    &lt;text&gt;&lt;/text&gt;_x000d__x000a_  &lt;/metadata&gt;_x000d__x000a_  &lt;metadata key=&quot;md_Initials&quot; translate=&quot;false&quot;&gt;_x000d__x000a_    &lt;text&gt;&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4&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4&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lt;/metadataset&gt;"/>
    <w:docVar w:name="DW_DocType" w:val="DW_LEGACTS"/>
    <w:docVar w:name="LW_DocType" w:val="DW_LEGACTS"/>
    <w:docVar w:name="VSSDB_IniPath" w:val="\\at100\user\wovo\SEILEG\vss\srcsafe.ini"/>
    <w:docVar w:name="VSSDB_ProjectPath" w:val="$/DocuWrite/DOT/DW_COUNCIL"/>
  </w:docVars>
  <w:rsids>
    <w:rsidRoot w:val="00D051BB"/>
    <w:rsid w:val="000008FE"/>
    <w:rsid w:val="00004464"/>
    <w:rsid w:val="000175F5"/>
    <w:rsid w:val="00017AE3"/>
    <w:rsid w:val="000216ED"/>
    <w:rsid w:val="00027F2F"/>
    <w:rsid w:val="00045720"/>
    <w:rsid w:val="00065A26"/>
    <w:rsid w:val="00067DA1"/>
    <w:rsid w:val="00074231"/>
    <w:rsid w:val="00077F9A"/>
    <w:rsid w:val="000829B3"/>
    <w:rsid w:val="0008371F"/>
    <w:rsid w:val="00084690"/>
    <w:rsid w:val="0008585A"/>
    <w:rsid w:val="00087B49"/>
    <w:rsid w:val="000A3F99"/>
    <w:rsid w:val="000B2216"/>
    <w:rsid w:val="000B525D"/>
    <w:rsid w:val="000C312A"/>
    <w:rsid w:val="000D3471"/>
    <w:rsid w:val="000D70D3"/>
    <w:rsid w:val="000E18F0"/>
    <w:rsid w:val="000F1456"/>
    <w:rsid w:val="000F6099"/>
    <w:rsid w:val="0010285E"/>
    <w:rsid w:val="0012036F"/>
    <w:rsid w:val="00123AED"/>
    <w:rsid w:val="0012604F"/>
    <w:rsid w:val="001552E5"/>
    <w:rsid w:val="0016142C"/>
    <w:rsid w:val="001630E3"/>
    <w:rsid w:val="00174257"/>
    <w:rsid w:val="00175490"/>
    <w:rsid w:val="00175E8B"/>
    <w:rsid w:val="0017610B"/>
    <w:rsid w:val="00182F2F"/>
    <w:rsid w:val="0018527D"/>
    <w:rsid w:val="00196EB6"/>
    <w:rsid w:val="001B5E82"/>
    <w:rsid w:val="001E6698"/>
    <w:rsid w:val="001E73AC"/>
    <w:rsid w:val="0021093B"/>
    <w:rsid w:val="002315BC"/>
    <w:rsid w:val="00236BB1"/>
    <w:rsid w:val="00243257"/>
    <w:rsid w:val="0024373B"/>
    <w:rsid w:val="002511D8"/>
    <w:rsid w:val="00270276"/>
    <w:rsid w:val="002A286E"/>
    <w:rsid w:val="002A7AAD"/>
    <w:rsid w:val="002B3E62"/>
    <w:rsid w:val="002C3992"/>
    <w:rsid w:val="002C46A5"/>
    <w:rsid w:val="002D27E0"/>
    <w:rsid w:val="002D6CCF"/>
    <w:rsid w:val="002E17E5"/>
    <w:rsid w:val="002E2F81"/>
    <w:rsid w:val="002F7470"/>
    <w:rsid w:val="00316657"/>
    <w:rsid w:val="00332E4C"/>
    <w:rsid w:val="00343BCB"/>
    <w:rsid w:val="0034434D"/>
    <w:rsid w:val="00347882"/>
    <w:rsid w:val="00351739"/>
    <w:rsid w:val="00351861"/>
    <w:rsid w:val="0036165E"/>
    <w:rsid w:val="003641C0"/>
    <w:rsid w:val="0036744C"/>
    <w:rsid w:val="003A41C7"/>
    <w:rsid w:val="003B2B9C"/>
    <w:rsid w:val="003B4859"/>
    <w:rsid w:val="003C221D"/>
    <w:rsid w:val="003C34D0"/>
    <w:rsid w:val="003C4C9E"/>
    <w:rsid w:val="003C50DC"/>
    <w:rsid w:val="003D40BC"/>
    <w:rsid w:val="003D6B27"/>
    <w:rsid w:val="003D792A"/>
    <w:rsid w:val="003F74A1"/>
    <w:rsid w:val="004042CA"/>
    <w:rsid w:val="00414945"/>
    <w:rsid w:val="00434DF7"/>
    <w:rsid w:val="00435B46"/>
    <w:rsid w:val="00437099"/>
    <w:rsid w:val="0044759C"/>
    <w:rsid w:val="004676CE"/>
    <w:rsid w:val="00482CAA"/>
    <w:rsid w:val="00487D41"/>
    <w:rsid w:val="00494D68"/>
    <w:rsid w:val="004A744F"/>
    <w:rsid w:val="004D0849"/>
    <w:rsid w:val="004E0A1E"/>
    <w:rsid w:val="005108CC"/>
    <w:rsid w:val="00512E04"/>
    <w:rsid w:val="00513703"/>
    <w:rsid w:val="005145D3"/>
    <w:rsid w:val="00522151"/>
    <w:rsid w:val="00532B92"/>
    <w:rsid w:val="00554C6F"/>
    <w:rsid w:val="00594C71"/>
    <w:rsid w:val="005A135B"/>
    <w:rsid w:val="005A5ADA"/>
    <w:rsid w:val="005B4998"/>
    <w:rsid w:val="005E2839"/>
    <w:rsid w:val="005E7001"/>
    <w:rsid w:val="005F6E0B"/>
    <w:rsid w:val="00600EE8"/>
    <w:rsid w:val="006101C5"/>
    <w:rsid w:val="00631402"/>
    <w:rsid w:val="00631BE3"/>
    <w:rsid w:val="006351BB"/>
    <w:rsid w:val="00646A27"/>
    <w:rsid w:val="00650CC7"/>
    <w:rsid w:val="006579D2"/>
    <w:rsid w:val="00690E14"/>
    <w:rsid w:val="00692830"/>
    <w:rsid w:val="006947C4"/>
    <w:rsid w:val="006961A4"/>
    <w:rsid w:val="006A3B92"/>
    <w:rsid w:val="006E052B"/>
    <w:rsid w:val="006E2112"/>
    <w:rsid w:val="00712F00"/>
    <w:rsid w:val="00714A82"/>
    <w:rsid w:val="007161AD"/>
    <w:rsid w:val="0072217D"/>
    <w:rsid w:val="00725421"/>
    <w:rsid w:val="007532B8"/>
    <w:rsid w:val="00755B19"/>
    <w:rsid w:val="007622C8"/>
    <w:rsid w:val="0077760E"/>
    <w:rsid w:val="007956E9"/>
    <w:rsid w:val="007B560F"/>
    <w:rsid w:val="007E0393"/>
    <w:rsid w:val="008042C8"/>
    <w:rsid w:val="00850A3B"/>
    <w:rsid w:val="00863CC4"/>
    <w:rsid w:val="008657EB"/>
    <w:rsid w:val="00883F56"/>
    <w:rsid w:val="008956FB"/>
    <w:rsid w:val="008A4B07"/>
    <w:rsid w:val="008B2787"/>
    <w:rsid w:val="008D0564"/>
    <w:rsid w:val="008D2FAC"/>
    <w:rsid w:val="008E3C51"/>
    <w:rsid w:val="008F0AEB"/>
    <w:rsid w:val="00901450"/>
    <w:rsid w:val="00903806"/>
    <w:rsid w:val="00925F24"/>
    <w:rsid w:val="0092769D"/>
    <w:rsid w:val="009371CD"/>
    <w:rsid w:val="00971B62"/>
    <w:rsid w:val="00977A02"/>
    <w:rsid w:val="009818D8"/>
    <w:rsid w:val="009B07D1"/>
    <w:rsid w:val="009D0996"/>
    <w:rsid w:val="009D18AD"/>
    <w:rsid w:val="009E1CFC"/>
    <w:rsid w:val="009F2140"/>
    <w:rsid w:val="009F4979"/>
    <w:rsid w:val="00A00D0B"/>
    <w:rsid w:val="00A028D6"/>
    <w:rsid w:val="00A039ED"/>
    <w:rsid w:val="00A07BC3"/>
    <w:rsid w:val="00A21410"/>
    <w:rsid w:val="00A30641"/>
    <w:rsid w:val="00A45F88"/>
    <w:rsid w:val="00A52C6D"/>
    <w:rsid w:val="00A62193"/>
    <w:rsid w:val="00A815E5"/>
    <w:rsid w:val="00A9545D"/>
    <w:rsid w:val="00A95F6E"/>
    <w:rsid w:val="00AB362B"/>
    <w:rsid w:val="00AB4D78"/>
    <w:rsid w:val="00AC1F28"/>
    <w:rsid w:val="00AD7BF2"/>
    <w:rsid w:val="00AE15AE"/>
    <w:rsid w:val="00AE2B6E"/>
    <w:rsid w:val="00AE2D05"/>
    <w:rsid w:val="00AF2C5B"/>
    <w:rsid w:val="00AF3113"/>
    <w:rsid w:val="00B0662D"/>
    <w:rsid w:val="00B147DE"/>
    <w:rsid w:val="00B310DC"/>
    <w:rsid w:val="00B33B14"/>
    <w:rsid w:val="00B54F86"/>
    <w:rsid w:val="00B55A47"/>
    <w:rsid w:val="00B622BD"/>
    <w:rsid w:val="00B6774F"/>
    <w:rsid w:val="00B73C75"/>
    <w:rsid w:val="00B85084"/>
    <w:rsid w:val="00B97AA6"/>
    <w:rsid w:val="00B97E58"/>
    <w:rsid w:val="00BA1F73"/>
    <w:rsid w:val="00BA2F15"/>
    <w:rsid w:val="00BE6E3D"/>
    <w:rsid w:val="00BE6F40"/>
    <w:rsid w:val="00BF55D3"/>
    <w:rsid w:val="00C659BB"/>
    <w:rsid w:val="00C702F9"/>
    <w:rsid w:val="00C837A5"/>
    <w:rsid w:val="00C9008F"/>
    <w:rsid w:val="00CA7A92"/>
    <w:rsid w:val="00CB7296"/>
    <w:rsid w:val="00CC5E54"/>
    <w:rsid w:val="00CD6844"/>
    <w:rsid w:val="00CE5496"/>
    <w:rsid w:val="00D051BB"/>
    <w:rsid w:val="00D13316"/>
    <w:rsid w:val="00D15EE7"/>
    <w:rsid w:val="00D32A38"/>
    <w:rsid w:val="00D4397D"/>
    <w:rsid w:val="00D4444A"/>
    <w:rsid w:val="00D70FE5"/>
    <w:rsid w:val="00D717A5"/>
    <w:rsid w:val="00D86CDA"/>
    <w:rsid w:val="00D873F1"/>
    <w:rsid w:val="00D913C4"/>
    <w:rsid w:val="00D91669"/>
    <w:rsid w:val="00D94637"/>
    <w:rsid w:val="00DB22E9"/>
    <w:rsid w:val="00DB76B3"/>
    <w:rsid w:val="00DD2010"/>
    <w:rsid w:val="00DD2E75"/>
    <w:rsid w:val="00DD5F96"/>
    <w:rsid w:val="00DF32BD"/>
    <w:rsid w:val="00DF5E01"/>
    <w:rsid w:val="00E105DD"/>
    <w:rsid w:val="00E17DB9"/>
    <w:rsid w:val="00E21F38"/>
    <w:rsid w:val="00E34E44"/>
    <w:rsid w:val="00E55982"/>
    <w:rsid w:val="00E5767B"/>
    <w:rsid w:val="00E64306"/>
    <w:rsid w:val="00E646CA"/>
    <w:rsid w:val="00E76FC8"/>
    <w:rsid w:val="00E77C5E"/>
    <w:rsid w:val="00E85DDA"/>
    <w:rsid w:val="00E8637C"/>
    <w:rsid w:val="00E912BC"/>
    <w:rsid w:val="00E91C72"/>
    <w:rsid w:val="00EA0F0C"/>
    <w:rsid w:val="00EA646B"/>
    <w:rsid w:val="00EA70A1"/>
    <w:rsid w:val="00EB2115"/>
    <w:rsid w:val="00EB62D4"/>
    <w:rsid w:val="00EC2051"/>
    <w:rsid w:val="00EC3901"/>
    <w:rsid w:val="00ED442C"/>
    <w:rsid w:val="00EE275A"/>
    <w:rsid w:val="00F27095"/>
    <w:rsid w:val="00F27922"/>
    <w:rsid w:val="00F54154"/>
    <w:rsid w:val="00F56704"/>
    <w:rsid w:val="00F7575A"/>
    <w:rsid w:val="00F86DEA"/>
    <w:rsid w:val="00F870EC"/>
    <w:rsid w:val="00F87C12"/>
    <w:rsid w:val="00FA2C68"/>
    <w:rsid w:val="00FA6BB8"/>
    <w:rsid w:val="00FC4670"/>
    <w:rsid w:val="00FC5FCE"/>
    <w:rsid w:val="00FD1F3D"/>
    <w:rsid w:val="00FE15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360" w:lineRule="auto"/>
    </w:pPr>
    <w:rPr>
      <w:sz w:val="24"/>
      <w:szCs w:val="24"/>
      <w:lang w:val="bg-BG" w:eastAsia="en-US"/>
    </w:rPr>
  </w:style>
  <w:style w:type="paragraph" w:styleId="Heading1">
    <w:name w:val="heading 1"/>
    <w:basedOn w:val="Normal"/>
    <w:next w:val="Text1"/>
    <w:qFormat/>
    <w:rsid w:val="00224697"/>
    <w:pPr>
      <w:keepNext/>
      <w:numPr>
        <w:numId w:val="31"/>
      </w:numPr>
      <w:spacing w:before="360"/>
      <w:outlineLvl w:val="0"/>
    </w:pPr>
    <w:rPr>
      <w:b/>
      <w:bCs/>
      <w:smallCaps/>
      <w:szCs w:val="32"/>
    </w:rPr>
  </w:style>
  <w:style w:type="paragraph" w:styleId="Heading2">
    <w:name w:val="heading 2"/>
    <w:basedOn w:val="Normal"/>
    <w:next w:val="Text1"/>
    <w:qFormat/>
    <w:rsid w:val="00224697"/>
    <w:pPr>
      <w:keepNext/>
      <w:numPr>
        <w:ilvl w:val="1"/>
        <w:numId w:val="31"/>
      </w:numPr>
      <w:outlineLvl w:val="1"/>
    </w:pPr>
    <w:rPr>
      <w:b/>
      <w:bCs/>
      <w:iCs/>
      <w:szCs w:val="28"/>
    </w:rPr>
  </w:style>
  <w:style w:type="paragraph" w:styleId="Heading3">
    <w:name w:val="heading 3"/>
    <w:basedOn w:val="Normal"/>
    <w:next w:val="Text1"/>
    <w:qFormat/>
    <w:rsid w:val="00224697"/>
    <w:pPr>
      <w:keepNext/>
      <w:numPr>
        <w:ilvl w:val="2"/>
        <w:numId w:val="31"/>
      </w:numPr>
      <w:outlineLvl w:val="2"/>
    </w:pPr>
    <w:rPr>
      <w:bCs/>
      <w:i/>
      <w:szCs w:val="26"/>
    </w:rPr>
  </w:style>
  <w:style w:type="paragraph" w:styleId="Heading4">
    <w:name w:val="heading 4"/>
    <w:basedOn w:val="Normal"/>
    <w:next w:val="Text1"/>
    <w:qFormat/>
    <w:rsid w:val="00224697"/>
    <w:pPr>
      <w:keepNext/>
      <w:numPr>
        <w:ilvl w:val="3"/>
        <w:numId w:val="3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BA1F73"/>
    <w:rPr>
      <w:b/>
      <w:bCs/>
      <w:smallCaps/>
      <w:sz w:val="24"/>
      <w:szCs w:val="32"/>
      <w:lang w:val="bg-BG" w:eastAsia="en-US"/>
    </w:rPr>
  </w:style>
  <w:style w:type="character" w:customStyle="1" w:styleId="Heading2Char">
    <w:name w:val="Heading 2 Char"/>
    <w:locked/>
    <w:rsid w:val="00BA1F73"/>
    <w:rPr>
      <w:b/>
      <w:bCs/>
      <w:iCs/>
      <w:sz w:val="24"/>
      <w:szCs w:val="28"/>
      <w:lang w:val="bg-BG" w:eastAsia="en-US"/>
    </w:rPr>
  </w:style>
  <w:style w:type="character" w:customStyle="1" w:styleId="Heading3Char">
    <w:name w:val="Heading 3 Char"/>
    <w:locked/>
    <w:rsid w:val="00BA1F73"/>
    <w:rPr>
      <w:bCs/>
      <w:i/>
      <w:sz w:val="24"/>
      <w:szCs w:val="26"/>
      <w:lang w:val="bg-BG" w:eastAsia="en-US"/>
    </w:rPr>
  </w:style>
  <w:style w:type="character" w:customStyle="1" w:styleId="Heading4Char">
    <w:name w:val="Heading 4 Char"/>
    <w:locked/>
    <w:rsid w:val="00BA1F73"/>
    <w:rPr>
      <w:bCs/>
      <w:sz w:val="24"/>
      <w:szCs w:val="28"/>
      <w:lang w:val="bg-BG" w:eastAsia="en-US"/>
    </w:rPr>
  </w:style>
  <w:style w:type="character" w:customStyle="1" w:styleId="HeaderChar">
    <w:name w:val="Header Char"/>
    <w:rPr>
      <w:sz w:val="24"/>
      <w:szCs w:val="24"/>
      <w:lang w:eastAsia="en-US"/>
    </w:rPr>
  </w:style>
  <w:style w:type="character" w:customStyle="1" w:styleId="FooterChar">
    <w:name w:val="Footer Char"/>
    <w:uiPriority w:val="99"/>
    <w:rPr>
      <w:sz w:val="24"/>
      <w:szCs w:val="24"/>
      <w:lang w:eastAsia="en-US"/>
    </w:rPr>
  </w:style>
  <w:style w:type="character" w:customStyle="1" w:styleId="FootnoteTextChar">
    <w:name w:val="Footnote Text Char"/>
    <w:locked/>
    <w:rsid w:val="00A62193"/>
    <w:rPr>
      <w:sz w:val="24"/>
      <w:lang w:eastAsia="en-US"/>
    </w:rPr>
  </w:style>
  <w:style w:type="paragraph" w:customStyle="1" w:styleId="NormalJustified">
    <w:name w:val="Normal Justified"/>
    <w:basedOn w:val="Normal"/>
    <w:rsid w:val="00F86DEA"/>
    <w:pPr>
      <w:spacing w:before="200"/>
      <w:jc w:val="both"/>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2"/>
      </w:numPr>
    </w:pPr>
  </w:style>
  <w:style w:type="paragraph" w:customStyle="1" w:styleId="Pointabc1">
    <w:name w:val="Point abc (1)"/>
    <w:basedOn w:val="Normal"/>
    <w:rsid w:val="00F86DEA"/>
    <w:pPr>
      <w:numPr>
        <w:ilvl w:val="3"/>
        <w:numId w:val="12"/>
      </w:numPr>
      <w:outlineLvl w:val="0"/>
    </w:pPr>
  </w:style>
  <w:style w:type="paragraph" w:customStyle="1" w:styleId="Pointabc2">
    <w:name w:val="Point abc (2)"/>
    <w:basedOn w:val="Normal"/>
    <w:rsid w:val="00F86DEA"/>
    <w:pPr>
      <w:numPr>
        <w:ilvl w:val="5"/>
        <w:numId w:val="12"/>
      </w:numPr>
      <w:outlineLvl w:val="1"/>
    </w:pPr>
  </w:style>
  <w:style w:type="paragraph" w:customStyle="1" w:styleId="Pointabc3">
    <w:name w:val="Point abc (3)"/>
    <w:basedOn w:val="Normal"/>
    <w:rsid w:val="00F86DEA"/>
    <w:pPr>
      <w:numPr>
        <w:ilvl w:val="7"/>
        <w:numId w:val="12"/>
      </w:numPr>
      <w:outlineLvl w:val="2"/>
    </w:pPr>
  </w:style>
  <w:style w:type="paragraph" w:customStyle="1" w:styleId="Pointabc4">
    <w:name w:val="Point abc (4)"/>
    <w:basedOn w:val="Normal"/>
    <w:rsid w:val="00F86DEA"/>
    <w:pPr>
      <w:numPr>
        <w:ilvl w:val="8"/>
        <w:numId w:val="12"/>
      </w:numPr>
      <w:outlineLvl w:val="3"/>
    </w:pPr>
  </w:style>
  <w:style w:type="paragraph" w:customStyle="1" w:styleId="Point123">
    <w:name w:val="Point 123"/>
    <w:basedOn w:val="Normal"/>
    <w:rsid w:val="00F86DEA"/>
    <w:pPr>
      <w:numPr>
        <w:numId w:val="12"/>
      </w:numPr>
    </w:pPr>
  </w:style>
  <w:style w:type="paragraph" w:customStyle="1" w:styleId="Point1231">
    <w:name w:val="Point 123 (1)"/>
    <w:basedOn w:val="Normal"/>
    <w:rsid w:val="00F86DEA"/>
    <w:pPr>
      <w:numPr>
        <w:ilvl w:val="2"/>
        <w:numId w:val="12"/>
      </w:numPr>
      <w:outlineLvl w:val="0"/>
    </w:pPr>
  </w:style>
  <w:style w:type="paragraph" w:customStyle="1" w:styleId="Point1232">
    <w:name w:val="Point 123 (2)"/>
    <w:basedOn w:val="Normal"/>
    <w:rsid w:val="00F86DEA"/>
    <w:pPr>
      <w:numPr>
        <w:ilvl w:val="4"/>
        <w:numId w:val="12"/>
      </w:numPr>
      <w:outlineLvl w:val="1"/>
    </w:pPr>
  </w:style>
  <w:style w:type="paragraph" w:customStyle="1" w:styleId="Point1233">
    <w:name w:val="Point 123 (3)"/>
    <w:basedOn w:val="Normal"/>
    <w:rsid w:val="00F86DEA"/>
    <w:pPr>
      <w:numPr>
        <w:ilvl w:val="6"/>
        <w:numId w:val="12"/>
      </w:numPr>
      <w:outlineLvl w:val="2"/>
    </w:pPr>
  </w:style>
  <w:style w:type="paragraph" w:customStyle="1" w:styleId="Pointivx">
    <w:name w:val="Point ivx"/>
    <w:basedOn w:val="Normal"/>
    <w:rsid w:val="00F86DEA"/>
    <w:pPr>
      <w:numPr>
        <w:numId w:val="13"/>
      </w:numPr>
    </w:pPr>
  </w:style>
  <w:style w:type="paragraph" w:customStyle="1" w:styleId="Pointivx1">
    <w:name w:val="Point ivx (1)"/>
    <w:basedOn w:val="Normal"/>
    <w:rsid w:val="00F86DEA"/>
    <w:pPr>
      <w:numPr>
        <w:ilvl w:val="1"/>
        <w:numId w:val="13"/>
      </w:numPr>
      <w:outlineLvl w:val="0"/>
    </w:pPr>
  </w:style>
  <w:style w:type="paragraph" w:customStyle="1" w:styleId="Pointivx2">
    <w:name w:val="Point ivx (2)"/>
    <w:basedOn w:val="Normal"/>
    <w:rsid w:val="00F86DEA"/>
    <w:pPr>
      <w:numPr>
        <w:ilvl w:val="2"/>
        <w:numId w:val="13"/>
      </w:numPr>
      <w:outlineLvl w:val="1"/>
    </w:pPr>
  </w:style>
  <w:style w:type="paragraph" w:customStyle="1" w:styleId="Pointivx3">
    <w:name w:val="Point ivx (3)"/>
    <w:basedOn w:val="Normal"/>
    <w:rsid w:val="00F86DEA"/>
    <w:pPr>
      <w:numPr>
        <w:ilvl w:val="3"/>
        <w:numId w:val="13"/>
      </w:numPr>
      <w:outlineLvl w:val="2"/>
    </w:pPr>
  </w:style>
  <w:style w:type="paragraph" w:customStyle="1" w:styleId="Pointivx4">
    <w:name w:val="Point ivx (4)"/>
    <w:basedOn w:val="Normal"/>
    <w:rsid w:val="00F86DEA"/>
    <w:pPr>
      <w:numPr>
        <w:ilvl w:val="4"/>
        <w:numId w:val="13"/>
      </w:numPr>
      <w:outlineLvl w:val="3"/>
    </w:pPr>
  </w:style>
  <w:style w:type="paragraph" w:customStyle="1" w:styleId="Bullet">
    <w:name w:val="Bullet"/>
    <w:basedOn w:val="Normal"/>
    <w:rsid w:val="00F86DEA"/>
    <w:pPr>
      <w:numPr>
        <w:numId w:val="11"/>
      </w:numPr>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16"/>
      </w:numPr>
    </w:pPr>
  </w:style>
  <w:style w:type="paragraph" w:customStyle="1" w:styleId="Heading123">
    <w:name w:val="Heading 123"/>
    <w:basedOn w:val="HeadingLeft"/>
    <w:next w:val="Normal"/>
    <w:rsid w:val="00F86DEA"/>
    <w:pPr>
      <w:numPr>
        <w:numId w:val="15"/>
      </w:numPr>
    </w:pPr>
  </w:style>
  <w:style w:type="paragraph" w:customStyle="1" w:styleId="HeadingABC">
    <w:name w:val="Heading ABC"/>
    <w:basedOn w:val="HeadingLeft"/>
    <w:next w:val="Normal"/>
    <w:rsid w:val="00F86DEA"/>
    <w:pPr>
      <w:numPr>
        <w:numId w:val="14"/>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HeaderCouncilLarge">
    <w:name w:val="Header Council Large"/>
    <w:basedOn w:val="Normal"/>
    <w:link w:val="HeaderCouncilLargeChar"/>
    <w:rsid w:val="00D051BB"/>
    <w:pPr>
      <w:spacing w:before="0" w:after="440"/>
      <w:ind w:left="-1134" w:right="-1134"/>
    </w:pPr>
    <w:rPr>
      <w:sz w:val="2"/>
      <w:szCs w:val="20"/>
      <w:lang w:val="en-GB" w:eastAsia="en-GB"/>
    </w:rPr>
  </w:style>
  <w:style w:type="character" w:customStyle="1" w:styleId="TechnicalBlockChar">
    <w:name w:val="Technical Block Char"/>
    <w:locked/>
    <w:rsid w:val="00D051BB"/>
    <w:rPr>
      <w:sz w:val="24"/>
      <w:szCs w:val="24"/>
      <w:lang w:eastAsia="en-US"/>
    </w:rPr>
  </w:style>
  <w:style w:type="character" w:customStyle="1" w:styleId="HeaderCouncilLargeChar">
    <w:name w:val="Header Council Large Char"/>
    <w:link w:val="HeaderCouncilLarge"/>
    <w:locked/>
    <w:rsid w:val="00D051BB"/>
    <w:rPr>
      <w:sz w:val="2"/>
    </w:rPr>
  </w:style>
  <w:style w:type="paragraph" w:customStyle="1" w:styleId="FooterText">
    <w:name w:val="Footer Text"/>
    <w:basedOn w:val="Normal"/>
    <w:rsid w:val="00D051BB"/>
    <w:pPr>
      <w:spacing w:before="0" w:after="0" w:line="240" w:lineRule="auto"/>
    </w:pPr>
  </w:style>
  <w:style w:type="paragraph" w:customStyle="1" w:styleId="Default">
    <w:name w:val="Default"/>
    <w:rsid w:val="00BA1F73"/>
    <w:pPr>
      <w:autoSpaceDE w:val="0"/>
      <w:autoSpaceDN w:val="0"/>
      <w:adjustRightInd w:val="0"/>
    </w:pPr>
    <w:rPr>
      <w:rFonts w:ascii="EUAlbertina" w:hAnsi="EUAlbertina" w:cs="EUAlbertina"/>
      <w:color w:val="000000"/>
      <w:sz w:val="24"/>
      <w:szCs w:val="24"/>
      <w:lang w:val="lt-LT" w:eastAsia="lt-LT" w:bidi="lt-LT"/>
    </w:rPr>
  </w:style>
  <w:style w:type="character" w:customStyle="1" w:styleId="TitreobjetChar">
    <w:name w:val="Titre objet Char"/>
    <w:locked/>
    <w:rsid w:val="00A62193"/>
    <w:rPr>
      <w:b/>
      <w:sz w:val="24"/>
      <w:szCs w:val="24"/>
      <w:lang w:eastAsia="en-US"/>
    </w:rPr>
  </w:style>
  <w:style w:type="character" w:styleId="Hyperlink">
    <w:name w:val="Hyperlink"/>
    <w:uiPriority w:val="99"/>
    <w:unhideWhenUsed/>
    <w:rsid w:val="005E7001"/>
    <w:rPr>
      <w:strike w:val="0"/>
      <w:dstrike w:val="0"/>
      <w:color w:val="3366CC"/>
      <w:u w:val="none"/>
      <w:effect w:val="none"/>
    </w:rPr>
  </w:style>
  <w:style w:type="paragraph" w:styleId="ListBullet">
    <w:name w:val="List Bullet"/>
    <w:basedOn w:val="Normal"/>
    <w:uiPriority w:val="99"/>
    <w:semiHidden/>
    <w:unhideWhenUsed/>
    <w:rsid w:val="0012604F"/>
    <w:pPr>
      <w:numPr>
        <w:numId w:val="17"/>
      </w:numPr>
      <w:contextualSpacing/>
    </w:pPr>
  </w:style>
  <w:style w:type="paragraph" w:styleId="ListBullet2">
    <w:name w:val="List Bullet 2"/>
    <w:basedOn w:val="Normal"/>
    <w:uiPriority w:val="99"/>
    <w:semiHidden/>
    <w:unhideWhenUsed/>
    <w:rsid w:val="0012604F"/>
    <w:pPr>
      <w:numPr>
        <w:numId w:val="18"/>
      </w:numPr>
      <w:contextualSpacing/>
    </w:pPr>
  </w:style>
  <w:style w:type="paragraph" w:styleId="ListBullet3">
    <w:name w:val="List Bullet 3"/>
    <w:basedOn w:val="Normal"/>
    <w:uiPriority w:val="99"/>
    <w:semiHidden/>
    <w:unhideWhenUsed/>
    <w:rsid w:val="0012604F"/>
    <w:pPr>
      <w:numPr>
        <w:numId w:val="19"/>
      </w:numPr>
      <w:contextualSpacing/>
    </w:pPr>
  </w:style>
  <w:style w:type="paragraph" w:styleId="ListBullet4">
    <w:name w:val="List Bullet 4"/>
    <w:basedOn w:val="Normal"/>
    <w:uiPriority w:val="99"/>
    <w:semiHidden/>
    <w:unhideWhenUsed/>
    <w:rsid w:val="0012604F"/>
    <w:pPr>
      <w:numPr>
        <w:numId w:val="20"/>
      </w:numPr>
      <w:contextualSpacing/>
    </w:pPr>
  </w:style>
  <w:style w:type="paragraph" w:styleId="ListNumber">
    <w:name w:val="List Number"/>
    <w:basedOn w:val="Normal"/>
    <w:uiPriority w:val="99"/>
    <w:semiHidden/>
    <w:unhideWhenUsed/>
    <w:rsid w:val="0012604F"/>
    <w:pPr>
      <w:numPr>
        <w:numId w:val="21"/>
      </w:numPr>
      <w:contextualSpacing/>
    </w:pPr>
  </w:style>
  <w:style w:type="paragraph" w:styleId="ListNumber2">
    <w:name w:val="List Number 2"/>
    <w:basedOn w:val="Normal"/>
    <w:uiPriority w:val="99"/>
    <w:semiHidden/>
    <w:unhideWhenUsed/>
    <w:rsid w:val="0012604F"/>
    <w:pPr>
      <w:numPr>
        <w:numId w:val="22"/>
      </w:numPr>
      <w:contextualSpacing/>
    </w:pPr>
  </w:style>
  <w:style w:type="paragraph" w:styleId="ListNumber3">
    <w:name w:val="List Number 3"/>
    <w:basedOn w:val="Normal"/>
    <w:uiPriority w:val="99"/>
    <w:semiHidden/>
    <w:unhideWhenUsed/>
    <w:rsid w:val="0012604F"/>
    <w:pPr>
      <w:numPr>
        <w:numId w:val="23"/>
      </w:numPr>
      <w:contextualSpacing/>
    </w:pPr>
  </w:style>
  <w:style w:type="paragraph" w:styleId="ListNumber4">
    <w:name w:val="List Number 4"/>
    <w:basedOn w:val="Normal"/>
    <w:uiPriority w:val="99"/>
    <w:semiHidden/>
    <w:unhideWhenUsed/>
    <w:rsid w:val="0012604F"/>
    <w:pPr>
      <w:numPr>
        <w:numId w:val="24"/>
      </w:numPr>
      <w:contextualSpacing/>
    </w:pPr>
  </w:style>
  <w:style w:type="character" w:styleId="CommentReference">
    <w:name w:val="annotation reference"/>
    <w:uiPriority w:val="99"/>
    <w:semiHidden/>
    <w:unhideWhenUsed/>
    <w:rsid w:val="0012604F"/>
    <w:rPr>
      <w:sz w:val="16"/>
      <w:szCs w:val="16"/>
    </w:rPr>
  </w:style>
  <w:style w:type="paragraph" w:styleId="CommentText">
    <w:name w:val="annotation text"/>
    <w:basedOn w:val="Normal"/>
    <w:link w:val="CommentTextChar"/>
    <w:uiPriority w:val="99"/>
    <w:semiHidden/>
    <w:unhideWhenUsed/>
    <w:rsid w:val="0012604F"/>
    <w:rPr>
      <w:sz w:val="20"/>
      <w:szCs w:val="20"/>
    </w:rPr>
  </w:style>
  <w:style w:type="character" w:customStyle="1" w:styleId="CommentTextChar">
    <w:name w:val="Comment Text Char"/>
    <w:link w:val="CommentText"/>
    <w:uiPriority w:val="99"/>
    <w:semiHidden/>
    <w:rsid w:val="0012604F"/>
    <w:rPr>
      <w:lang w:val="lt-LT" w:eastAsia="en-US"/>
    </w:rPr>
  </w:style>
  <w:style w:type="paragraph" w:styleId="CommentSubject">
    <w:name w:val="annotation subject"/>
    <w:basedOn w:val="CommentText"/>
    <w:next w:val="CommentText"/>
    <w:link w:val="CommentSubjectChar"/>
    <w:uiPriority w:val="99"/>
    <w:semiHidden/>
    <w:unhideWhenUsed/>
    <w:rsid w:val="0012604F"/>
    <w:rPr>
      <w:b/>
      <w:bCs/>
    </w:rPr>
  </w:style>
  <w:style w:type="character" w:customStyle="1" w:styleId="CommentSubjectChar">
    <w:name w:val="Comment Subject Char"/>
    <w:link w:val="CommentSubject"/>
    <w:uiPriority w:val="99"/>
    <w:semiHidden/>
    <w:rsid w:val="0012604F"/>
    <w:rPr>
      <w:b/>
      <w:bCs/>
      <w:lang w:val="lt-LT" w:eastAsia="en-US"/>
    </w:rPr>
  </w:style>
  <w:style w:type="paragraph" w:customStyle="1" w:styleId="PointDouble1">
    <w:name w:val="Point Double1"/>
    <w:basedOn w:val="Text1"/>
    <w:rsid w:val="00B6774F"/>
  </w:style>
  <w:style w:type="paragraph" w:customStyle="1" w:styleId="PointDouble0Hanging1cm">
    <w:name w:val="PointDouble 0 + Hanging:  1 cm"/>
    <w:basedOn w:val="PointDouble0"/>
    <w:rsid w:val="00434DF7"/>
    <w:pPr>
      <w:tabs>
        <w:tab w:val="clear" w:pos="850"/>
      </w:tabs>
      <w:ind w:hanging="566"/>
    </w:pPr>
  </w:style>
  <w:style w:type="character" w:customStyle="1" w:styleId="FormuledadoptionChar">
    <w:name w:val="Formule d'adoption Char"/>
    <w:locked/>
    <w:rsid w:val="0024373B"/>
    <w:rPr>
      <w:sz w:val="24"/>
      <w:szCs w:val="24"/>
      <w:lang w:val="bg-BG" w:eastAsia="en-US"/>
    </w:rPr>
  </w:style>
  <w:style w:type="paragraph" w:styleId="BalloonText">
    <w:name w:val="Balloon Text"/>
    <w:basedOn w:val="Normal"/>
    <w:link w:val="BalloonTextChar"/>
    <w:uiPriority w:val="99"/>
    <w:semiHidden/>
    <w:unhideWhenUsed/>
    <w:rsid w:val="002C3992"/>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2C3992"/>
    <w:rPr>
      <w:rFonts w:ascii="Tahoma" w:hAnsi="Tahoma" w:cs="Tahoma"/>
      <w:sz w:val="16"/>
      <w:szCs w:val="16"/>
      <w:lang w:val="bg-BG" w:eastAsia="en-US"/>
    </w:rPr>
  </w:style>
  <w:style w:type="paragraph" w:customStyle="1" w:styleId="Accompagnant">
    <w:name w:val="Accompagnant"/>
    <w:basedOn w:val="Normal"/>
    <w:next w:val="Typeacteprincipal"/>
    <w:rsid w:val="00EB62D4"/>
    <w:pPr>
      <w:spacing w:before="180" w:after="240" w:line="240" w:lineRule="auto"/>
      <w:jc w:val="center"/>
    </w:pPr>
    <w:rPr>
      <w:rFonts w:eastAsia="Calibri"/>
      <w:b/>
      <w:szCs w:val="22"/>
      <w:lang w:eastAsia="en-GB"/>
    </w:rPr>
  </w:style>
  <w:style w:type="paragraph" w:customStyle="1" w:styleId="Typeacteprincipal">
    <w:name w:val="Type acte principal"/>
    <w:basedOn w:val="Normal"/>
    <w:next w:val="Objetacteprincipal"/>
    <w:rsid w:val="00EB62D4"/>
    <w:pPr>
      <w:spacing w:before="0" w:after="240" w:line="240" w:lineRule="auto"/>
      <w:jc w:val="center"/>
    </w:pPr>
    <w:rPr>
      <w:rFonts w:eastAsia="Calibri"/>
      <w:b/>
      <w:szCs w:val="22"/>
      <w:lang w:eastAsia="en-GB"/>
    </w:rPr>
  </w:style>
  <w:style w:type="paragraph" w:customStyle="1" w:styleId="Objetacteprincipal">
    <w:name w:val="Objet acte principal"/>
    <w:basedOn w:val="Normal"/>
    <w:next w:val="Normal"/>
    <w:rsid w:val="00EB62D4"/>
    <w:pPr>
      <w:spacing w:before="0" w:after="360" w:line="240" w:lineRule="auto"/>
      <w:jc w:val="center"/>
    </w:pPr>
    <w:rPr>
      <w:rFonts w:eastAsia="Calibri"/>
      <w:b/>
      <w:szCs w:val="22"/>
      <w:lang w:eastAsia="en-GB"/>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rsid w:val="002E17E5"/>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224697"/>
    <w:pPr>
      <w:spacing w:before="0" w:after="240" w:line="240" w:lineRule="auto"/>
      <w:jc w:val="center"/>
    </w:pPr>
  </w:style>
  <w:style w:type="character" w:customStyle="1" w:styleId="Marker">
    <w:name w:val="Marker"/>
    <w:rsid w:val="00224697"/>
    <w:rPr>
      <w:color w:val="0000FF"/>
      <w:shd w:val="clear" w:color="auto" w:fill="auto"/>
    </w:rPr>
  </w:style>
  <w:style w:type="character" w:customStyle="1" w:styleId="Marker1">
    <w:name w:val="Marker1"/>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0">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25"/>
      </w:numPr>
    </w:pPr>
  </w:style>
  <w:style w:type="paragraph" w:customStyle="1" w:styleId="Tiret1">
    <w:name w:val="Tiret 1"/>
    <w:basedOn w:val="Normal"/>
    <w:rsid w:val="00224697"/>
    <w:pPr>
      <w:numPr>
        <w:numId w:val="26"/>
      </w:numPr>
      <w:outlineLvl w:val="0"/>
    </w:pPr>
  </w:style>
  <w:style w:type="paragraph" w:customStyle="1" w:styleId="Tiret2">
    <w:name w:val="Tiret 2"/>
    <w:basedOn w:val="Normal"/>
    <w:rsid w:val="00224697"/>
    <w:pPr>
      <w:numPr>
        <w:numId w:val="27"/>
      </w:numPr>
      <w:outlineLvl w:val="1"/>
    </w:pPr>
  </w:style>
  <w:style w:type="paragraph" w:customStyle="1" w:styleId="Tiret3">
    <w:name w:val="Tiret 3"/>
    <w:basedOn w:val="Normal"/>
    <w:rsid w:val="00224697"/>
    <w:pPr>
      <w:numPr>
        <w:numId w:val="28"/>
      </w:numPr>
      <w:outlineLvl w:val="2"/>
    </w:pPr>
  </w:style>
  <w:style w:type="paragraph" w:customStyle="1" w:styleId="Tiret4">
    <w:name w:val="Tiret 4"/>
    <w:basedOn w:val="Normal"/>
    <w:rsid w:val="00224697"/>
    <w:pPr>
      <w:numPr>
        <w:numId w:val="29"/>
      </w:numPr>
      <w:outlineLvl w:val="3"/>
    </w:pPr>
  </w:style>
  <w:style w:type="paragraph" w:customStyle="1" w:styleId="NumPar1">
    <w:name w:val="NumPar 1"/>
    <w:basedOn w:val="Normal"/>
    <w:next w:val="Text1"/>
    <w:rsid w:val="00224697"/>
    <w:pPr>
      <w:numPr>
        <w:numId w:val="30"/>
      </w:numPr>
      <w:outlineLvl w:val="0"/>
    </w:pPr>
  </w:style>
  <w:style w:type="paragraph" w:customStyle="1" w:styleId="NumPar2">
    <w:name w:val="NumPar 2"/>
    <w:basedOn w:val="Normal"/>
    <w:next w:val="Text1"/>
    <w:rsid w:val="00224697"/>
    <w:pPr>
      <w:numPr>
        <w:ilvl w:val="1"/>
        <w:numId w:val="30"/>
      </w:numPr>
      <w:outlineLvl w:val="1"/>
    </w:pPr>
  </w:style>
  <w:style w:type="paragraph" w:customStyle="1" w:styleId="NumPar3">
    <w:name w:val="NumPar 3"/>
    <w:basedOn w:val="Normal"/>
    <w:next w:val="Text1"/>
    <w:rsid w:val="00224697"/>
    <w:pPr>
      <w:numPr>
        <w:ilvl w:val="2"/>
        <w:numId w:val="30"/>
      </w:numPr>
      <w:outlineLvl w:val="2"/>
    </w:pPr>
  </w:style>
  <w:style w:type="paragraph" w:customStyle="1" w:styleId="NumPar4">
    <w:name w:val="NumPar 4"/>
    <w:basedOn w:val="Normal"/>
    <w:next w:val="Text1"/>
    <w:rsid w:val="00224697"/>
    <w:pPr>
      <w:numPr>
        <w:ilvl w:val="3"/>
        <w:numId w:val="30"/>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2"/>
      </w:numPr>
    </w:pPr>
  </w:style>
  <w:style w:type="paragraph" w:customStyle="1" w:styleId="Point1number">
    <w:name w:val="Point 1 (number)"/>
    <w:basedOn w:val="Normal"/>
    <w:rsid w:val="00224697"/>
    <w:pPr>
      <w:numPr>
        <w:ilvl w:val="2"/>
        <w:numId w:val="32"/>
      </w:numPr>
      <w:outlineLvl w:val="0"/>
    </w:pPr>
  </w:style>
  <w:style w:type="paragraph" w:customStyle="1" w:styleId="Point2number">
    <w:name w:val="Point 2 (number)"/>
    <w:basedOn w:val="Normal"/>
    <w:rsid w:val="00224697"/>
    <w:pPr>
      <w:numPr>
        <w:ilvl w:val="4"/>
        <w:numId w:val="32"/>
      </w:numPr>
      <w:outlineLvl w:val="1"/>
    </w:pPr>
  </w:style>
  <w:style w:type="paragraph" w:customStyle="1" w:styleId="Point3number">
    <w:name w:val="Point 3 (number)"/>
    <w:basedOn w:val="Normal"/>
    <w:rsid w:val="00224697"/>
    <w:pPr>
      <w:numPr>
        <w:ilvl w:val="6"/>
        <w:numId w:val="32"/>
      </w:numPr>
      <w:outlineLvl w:val="2"/>
    </w:pPr>
  </w:style>
  <w:style w:type="paragraph" w:customStyle="1" w:styleId="Point0letter">
    <w:name w:val="Point 0 (letter)"/>
    <w:basedOn w:val="Normal"/>
    <w:rsid w:val="00224697"/>
    <w:pPr>
      <w:numPr>
        <w:ilvl w:val="1"/>
        <w:numId w:val="32"/>
      </w:numPr>
    </w:pPr>
  </w:style>
  <w:style w:type="paragraph" w:customStyle="1" w:styleId="Point1letter">
    <w:name w:val="Point 1 (letter)"/>
    <w:basedOn w:val="Normal"/>
    <w:rsid w:val="00224697"/>
    <w:pPr>
      <w:numPr>
        <w:ilvl w:val="3"/>
        <w:numId w:val="32"/>
      </w:numPr>
      <w:outlineLvl w:val="0"/>
    </w:pPr>
  </w:style>
  <w:style w:type="paragraph" w:customStyle="1" w:styleId="Point2letter">
    <w:name w:val="Point 2 (letter)"/>
    <w:basedOn w:val="Normal"/>
    <w:rsid w:val="00224697"/>
    <w:pPr>
      <w:numPr>
        <w:ilvl w:val="5"/>
        <w:numId w:val="32"/>
      </w:numPr>
      <w:outlineLvl w:val="1"/>
    </w:pPr>
  </w:style>
  <w:style w:type="paragraph" w:customStyle="1" w:styleId="Point3letter">
    <w:name w:val="Point 3 (letter)"/>
    <w:basedOn w:val="Normal"/>
    <w:rsid w:val="00224697"/>
    <w:pPr>
      <w:numPr>
        <w:ilvl w:val="7"/>
        <w:numId w:val="32"/>
      </w:numPr>
      <w:outlineLvl w:val="2"/>
    </w:pPr>
  </w:style>
  <w:style w:type="paragraph" w:customStyle="1" w:styleId="Point4letter">
    <w:name w:val="Point 4 (letter)"/>
    <w:basedOn w:val="Normal"/>
    <w:rsid w:val="00224697"/>
    <w:pPr>
      <w:numPr>
        <w:ilvl w:val="8"/>
        <w:numId w:val="32"/>
      </w:numPr>
      <w:outlineLvl w:val="3"/>
    </w:pPr>
  </w:style>
  <w:style w:type="paragraph" w:customStyle="1" w:styleId="Bullet0">
    <w:name w:val="Bullet 0"/>
    <w:basedOn w:val="Normal"/>
    <w:rsid w:val="00224697"/>
    <w:pPr>
      <w:numPr>
        <w:numId w:val="33"/>
      </w:numPr>
    </w:pPr>
  </w:style>
  <w:style w:type="paragraph" w:customStyle="1" w:styleId="Bullet1">
    <w:name w:val="Bullet 1"/>
    <w:basedOn w:val="Normal"/>
    <w:rsid w:val="00224697"/>
    <w:pPr>
      <w:numPr>
        <w:numId w:val="34"/>
      </w:numPr>
      <w:outlineLvl w:val="0"/>
    </w:pPr>
  </w:style>
  <w:style w:type="paragraph" w:customStyle="1" w:styleId="Bullet2">
    <w:name w:val="Bullet 2"/>
    <w:basedOn w:val="Normal"/>
    <w:rsid w:val="00224697"/>
    <w:pPr>
      <w:numPr>
        <w:numId w:val="35"/>
      </w:numPr>
      <w:outlineLvl w:val="1"/>
    </w:pPr>
  </w:style>
  <w:style w:type="paragraph" w:customStyle="1" w:styleId="Bullet3">
    <w:name w:val="Bullet 3"/>
    <w:basedOn w:val="Normal"/>
    <w:rsid w:val="00224697"/>
    <w:pPr>
      <w:numPr>
        <w:numId w:val="36"/>
      </w:numPr>
      <w:outlineLvl w:val="2"/>
    </w:pPr>
  </w:style>
  <w:style w:type="paragraph" w:customStyle="1" w:styleId="Bullet4">
    <w:name w:val="Bullet 4"/>
    <w:basedOn w:val="Normal"/>
    <w:rsid w:val="00224697"/>
    <w:pPr>
      <w:numPr>
        <w:numId w:val="37"/>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38"/>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C32D1-DAC4-409A-A892-3BC221B92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10</TotalTime>
  <Pages>16</Pages>
  <Words>2549</Words>
  <Characters>14534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BALTOVA Roumyana</dc:creator>
  <cp:keywords/>
  <cp:lastModifiedBy>BALTOVA Roumyana</cp:lastModifiedBy>
  <cp:revision>6</cp:revision>
  <cp:lastPrinted>2014-05-14T15:21:00Z</cp:lastPrinted>
  <dcterms:created xsi:type="dcterms:W3CDTF">2015-03-02T16:07:00Z</dcterms:created>
  <dcterms:modified xsi:type="dcterms:W3CDTF">2015-03-04T09:55:00Z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3.0.2, Build 20140319</vt:lpwstr>
  </property>
  <property fmtid="{D5CDD505-2E9C-101B-9397-08002B2CF9AE}" pid="4" name="Last edited using">
    <vt:lpwstr>DocuWrite 3.4.3, Build 20150129</vt:lpwstr>
  </property>
  <property fmtid="{D5CDD505-2E9C-101B-9397-08002B2CF9AE}" pid="5" name="SkipControlLengthPage">
    <vt:lpwstr/>
  </property>
</Properties>
</file>