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45489F" w:rsidRDefault="00357184" w:rsidP="0045489F">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f5d0128-2eb3-4d40-9e33-c4a5a5d18e16" style="width:568.7pt;height:356.75pt">
            <v:imagedata r:id="rId9" o:title=""/>
          </v:shape>
        </w:pict>
      </w:r>
      <w:bookmarkEnd w:id="0"/>
    </w:p>
    <w:p w:rsidR="00E55A67" w:rsidRPr="00FC7B64" w:rsidRDefault="00E55A67">
      <w:pPr>
        <w:sectPr w:rsidR="00E55A67" w:rsidRPr="00FC7B64" w:rsidSect="00EC74B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146498" w:rsidRDefault="00146498" w:rsidP="00991B80">
      <w:pPr>
        <w:pStyle w:val="Typedudocument"/>
      </w:pPr>
      <w:r w:rsidRPr="008B4FCB">
        <w:lastRenderedPageBreak/>
        <w:t>DIRECTIVE</w:t>
      </w:r>
      <w:r>
        <w:t xml:space="preserve"> (UE) 2015/…</w:t>
      </w:r>
      <w:r w:rsidRPr="008B4FCB">
        <w:t xml:space="preserve"> </w:t>
      </w:r>
      <w:r w:rsidR="00991B80">
        <w:br/>
      </w:r>
      <w:r w:rsidRPr="008B4FCB">
        <w:t>DU PARLEMENT EUROPÉEN ET DU CONSEIL</w:t>
      </w:r>
    </w:p>
    <w:p w:rsidR="00146498" w:rsidRPr="00146498" w:rsidRDefault="008663AC" w:rsidP="00146498">
      <w:pPr>
        <w:pStyle w:val="Datedadoption"/>
      </w:pPr>
      <w:r>
        <w:t>du</w:t>
      </w:r>
    </w:p>
    <w:p w:rsidR="00146498" w:rsidRPr="008B4FCB" w:rsidRDefault="00146498" w:rsidP="008425D6">
      <w:pPr>
        <w:pStyle w:val="Titreobjet"/>
        <w:rPr>
          <w:rFonts w:eastAsia="Calibri" w:cs="Arial"/>
          <w:noProof/>
          <w:szCs w:val="22"/>
        </w:rPr>
      </w:pPr>
      <w:r w:rsidRPr="008B4FCB">
        <w:t xml:space="preserve">modifiant la directive 94/62/CE </w:t>
      </w:r>
      <w:r w:rsidR="00506598">
        <w:br/>
      </w:r>
      <w:r w:rsidR="0000414C">
        <w:t>en ce qui concerne la réduction de</w:t>
      </w:r>
      <w:r w:rsidRPr="008B4FCB">
        <w:t xml:space="preserve"> la consommation de sacs en plastique légers</w:t>
      </w:r>
    </w:p>
    <w:p w:rsidR="00146498" w:rsidRPr="008B4FCB" w:rsidRDefault="00146498" w:rsidP="00146498">
      <w:pPr>
        <w:pStyle w:val="Sous-titreobjet"/>
        <w:rPr>
          <w:rFonts w:eastAsia="Calibri" w:cs="Arial"/>
          <w:noProof/>
          <w:szCs w:val="22"/>
        </w:rPr>
      </w:pPr>
      <w:r w:rsidRPr="008B4FCB">
        <w:t>(Texte présentant de l'intérêt pour l'EEE)</w:t>
      </w:r>
    </w:p>
    <w:p w:rsidR="00146498" w:rsidRPr="008B4FCB" w:rsidRDefault="00146498" w:rsidP="00146498">
      <w:pPr>
        <w:pStyle w:val="Institutionquiagit"/>
        <w:rPr>
          <w:rFonts w:eastAsia="Calibri" w:cs="Arial"/>
          <w:noProof/>
          <w:szCs w:val="22"/>
        </w:rPr>
      </w:pPr>
      <w:r w:rsidRPr="008B4FCB">
        <w:t>LE PARLEMENT EUROPÉEN ET LE CONSEIL DE L'UNION EUROPÉENNE,</w:t>
      </w:r>
    </w:p>
    <w:p w:rsidR="00146498" w:rsidRPr="008B4FCB" w:rsidRDefault="00146498" w:rsidP="00146498">
      <w:pPr>
        <w:rPr>
          <w:rFonts w:eastAsia="Calibri" w:cs="Arial"/>
          <w:noProof/>
          <w:szCs w:val="22"/>
        </w:rPr>
      </w:pPr>
      <w:r w:rsidRPr="008B4FCB">
        <w:t>vu le traité sur le fonctionnement de l'Union européenne, et notamment son article 114,</w:t>
      </w:r>
    </w:p>
    <w:p w:rsidR="00146498" w:rsidRPr="008B4FCB" w:rsidRDefault="00146498" w:rsidP="00592307">
      <w:pPr>
        <w:rPr>
          <w:rFonts w:eastAsia="Calibri" w:cs="Arial"/>
          <w:noProof/>
          <w:szCs w:val="22"/>
        </w:rPr>
      </w:pPr>
      <w:r w:rsidRPr="008B4FCB">
        <w:t>vu la proposition de la Commission européenne,</w:t>
      </w:r>
    </w:p>
    <w:p w:rsidR="00146498" w:rsidRPr="008B4FCB" w:rsidRDefault="00146498" w:rsidP="00146498">
      <w:pPr>
        <w:rPr>
          <w:rFonts w:eastAsia="Calibri" w:cs="Arial"/>
          <w:noProof/>
          <w:szCs w:val="22"/>
        </w:rPr>
      </w:pPr>
      <w:r w:rsidRPr="008B4FCB">
        <w:t>après transmission du projet d'acte législatif aux parlements nationaux,</w:t>
      </w:r>
    </w:p>
    <w:p w:rsidR="00146498" w:rsidRPr="008B4FCB" w:rsidRDefault="00146498" w:rsidP="004533BD">
      <w:pPr>
        <w:rPr>
          <w:rFonts w:eastAsia="Calibri" w:cs="Arial"/>
          <w:noProof/>
          <w:szCs w:val="22"/>
        </w:rPr>
      </w:pPr>
      <w:r w:rsidRPr="008B4FCB">
        <w:t>vu l'avis du Comité économique et social européen</w:t>
      </w:r>
      <w:r w:rsidRPr="004533BD">
        <w:rPr>
          <w:rStyle w:val="FootnoteReference"/>
        </w:rPr>
        <w:footnoteReference w:id="1"/>
      </w:r>
      <w:r w:rsidRPr="008B4FCB">
        <w:t>,</w:t>
      </w:r>
    </w:p>
    <w:p w:rsidR="00146498" w:rsidRPr="008B4FCB" w:rsidRDefault="00146498" w:rsidP="004533BD">
      <w:pPr>
        <w:rPr>
          <w:rFonts w:eastAsia="Calibri" w:cs="Arial"/>
          <w:noProof/>
          <w:szCs w:val="22"/>
        </w:rPr>
      </w:pPr>
      <w:r>
        <w:t>vu l'avis</w:t>
      </w:r>
      <w:r w:rsidRPr="008B4FCB">
        <w:t xml:space="preserve"> du Comité des régions</w:t>
      </w:r>
      <w:r w:rsidRPr="004533BD">
        <w:rPr>
          <w:rStyle w:val="FootnoteReference"/>
        </w:rPr>
        <w:footnoteReference w:id="2"/>
      </w:r>
      <w:r w:rsidRPr="008B4FCB">
        <w:t>,</w:t>
      </w:r>
    </w:p>
    <w:p w:rsidR="00146498" w:rsidRPr="008B4FCB" w:rsidRDefault="00146498" w:rsidP="00146498">
      <w:pPr>
        <w:rPr>
          <w:rFonts w:eastAsia="Calibri" w:cs="Arial"/>
          <w:noProof/>
          <w:szCs w:val="22"/>
        </w:rPr>
      </w:pPr>
      <w:r w:rsidRPr="008B4FCB">
        <w:t>statuant conformément à la procédure législative ordinaire</w:t>
      </w:r>
      <w:r>
        <w:rPr>
          <w:rStyle w:val="FootnoteReference"/>
        </w:rPr>
        <w:footnoteReference w:id="3"/>
      </w:r>
      <w:r w:rsidRPr="008B4FCB">
        <w:t>,</w:t>
      </w:r>
    </w:p>
    <w:p w:rsidR="00146498" w:rsidRPr="008B4FCB" w:rsidRDefault="00146498" w:rsidP="00146498">
      <w:pPr>
        <w:spacing w:before="0" w:after="0"/>
        <w:rPr>
          <w:rFonts w:eastAsia="Calibri" w:cs="Arial"/>
          <w:noProof/>
          <w:szCs w:val="22"/>
        </w:rPr>
      </w:pPr>
      <w:r w:rsidRPr="008B4FCB">
        <w:br w:type="page"/>
      </w:r>
      <w:r w:rsidRPr="008B4FCB">
        <w:lastRenderedPageBreak/>
        <w:t>considérant ce qui suit:</w:t>
      </w:r>
    </w:p>
    <w:p w:rsidR="00146498" w:rsidRPr="00146498" w:rsidRDefault="00146498" w:rsidP="004533BD">
      <w:pPr>
        <w:pStyle w:val="ManualConsidrant"/>
        <w:rPr>
          <w:rFonts w:eastAsia="Calibri"/>
        </w:rPr>
      </w:pPr>
      <w:r w:rsidRPr="00146498">
        <w:t>(1)</w:t>
      </w:r>
      <w:r w:rsidRPr="00146498">
        <w:tab/>
        <w:t>La directive 94/62/CE du Parlement européen et du Conseil</w:t>
      </w:r>
      <w:r w:rsidRPr="004533BD">
        <w:rPr>
          <w:rStyle w:val="FootnoteReference"/>
        </w:rPr>
        <w:footnoteReference w:id="4"/>
      </w:r>
      <w:r w:rsidRPr="00146498">
        <w:t xml:space="preserve"> a été adoptée afin de prévenir ou de réduire les incidences des emballages et des déchets d'emballages sur l'environnement. Bien que les sacs en plastique constituent des emballages au sens de </w:t>
      </w:r>
      <w:r w:rsidR="0000414C">
        <w:t>ladite</w:t>
      </w:r>
      <w:r w:rsidR="0000414C" w:rsidRPr="00146498">
        <w:t xml:space="preserve"> </w:t>
      </w:r>
      <w:r w:rsidRPr="00146498">
        <w:t xml:space="preserve">directive, </w:t>
      </w:r>
      <w:r w:rsidR="0000414C">
        <w:t>celle-ci</w:t>
      </w:r>
      <w:r w:rsidRPr="00146498">
        <w:t xml:space="preserve"> ne contient pas de mesures </w:t>
      </w:r>
      <w:r w:rsidR="008425D6">
        <w:t xml:space="preserve">spécifiques </w:t>
      </w:r>
      <w:r w:rsidRPr="00146498">
        <w:t>relatives à la consommation de ces sacs.</w:t>
      </w:r>
    </w:p>
    <w:p w:rsidR="00146498" w:rsidRPr="00146498" w:rsidRDefault="00146498" w:rsidP="00592307">
      <w:pPr>
        <w:pStyle w:val="ManualConsidrant"/>
        <w:rPr>
          <w:rFonts w:eastAsia="Calibri"/>
        </w:rPr>
      </w:pPr>
      <w:r w:rsidRPr="00146498">
        <w:t>(2)</w:t>
      </w:r>
      <w:r w:rsidRPr="00146498">
        <w:tab/>
      </w:r>
      <w:r w:rsidRPr="00BF14F9">
        <w:t>Le</w:t>
      </w:r>
      <w:r w:rsidR="0000414C" w:rsidRPr="00BF14F9">
        <w:t>s</w:t>
      </w:r>
      <w:r w:rsidRPr="00BF14F9">
        <w:t xml:space="preserve"> niveau</w:t>
      </w:r>
      <w:r w:rsidR="0000414C" w:rsidRPr="00BF14F9">
        <w:t>x</w:t>
      </w:r>
      <w:r w:rsidRPr="00BF14F9">
        <w:t xml:space="preserve"> actuel</w:t>
      </w:r>
      <w:r w:rsidR="0000414C" w:rsidRPr="00BF14F9">
        <w:t>s</w:t>
      </w:r>
      <w:r w:rsidRPr="008425D6">
        <w:t xml:space="preserve"> de</w:t>
      </w:r>
      <w:r w:rsidRPr="00146498">
        <w:t xml:space="preserve"> consommation des sacs en plastique entraîne</w:t>
      </w:r>
      <w:r w:rsidR="002E594E">
        <w:t>nt</w:t>
      </w:r>
      <w:r w:rsidRPr="00146498">
        <w:t xml:space="preserve"> des quantités considérables de déchets sauvages et une utilisation inefficace des ressources et </w:t>
      </w:r>
      <w:r w:rsidR="00F43A95">
        <w:t>ils</w:t>
      </w:r>
      <w:r w:rsidR="00F43A95" w:rsidRPr="00146498">
        <w:t xml:space="preserve"> </w:t>
      </w:r>
      <w:r w:rsidRPr="00146498">
        <w:t>devrai</w:t>
      </w:r>
      <w:r w:rsidR="00F43A95">
        <w:t>en</w:t>
      </w:r>
      <w:r w:rsidRPr="00146498">
        <w:t xml:space="preserve">t encore augmenter si aucune mesure n'est prise. Les </w:t>
      </w:r>
      <w:r w:rsidR="002E594E">
        <w:t>déchets sauvages</w:t>
      </w:r>
      <w:r w:rsidR="002E594E" w:rsidRPr="00146498">
        <w:t xml:space="preserve"> </w:t>
      </w:r>
      <w:r w:rsidRPr="00146498">
        <w:t xml:space="preserve">de sacs en plastique entraînent une pollution environnementale et </w:t>
      </w:r>
      <w:r w:rsidR="00F43A95">
        <w:t>aggravent</w:t>
      </w:r>
      <w:r w:rsidR="00F43A95" w:rsidRPr="00146498">
        <w:t xml:space="preserve"> </w:t>
      </w:r>
      <w:r w:rsidRPr="00146498">
        <w:t xml:space="preserve">le problème généralisé des déchets </w:t>
      </w:r>
      <w:r w:rsidR="002E594E">
        <w:t xml:space="preserve">sauvages </w:t>
      </w:r>
      <w:r w:rsidRPr="00146498">
        <w:t>dans les bassins hydrographiques, faisant peser une menace sur les écosystèmes aquatiques dans le monde entier.</w:t>
      </w:r>
    </w:p>
    <w:p w:rsidR="00146498" w:rsidRPr="00146498" w:rsidRDefault="00146498" w:rsidP="00886C9C">
      <w:pPr>
        <w:pStyle w:val="ManualConsidrant"/>
        <w:rPr>
          <w:rFonts w:eastAsia="Calibri"/>
        </w:rPr>
      </w:pPr>
      <w:r w:rsidRPr="00146498">
        <w:t>(</w:t>
      </w:r>
      <w:r w:rsidR="00886C9C">
        <w:t>3</w:t>
      </w:r>
      <w:r w:rsidRPr="00146498">
        <w:t>)</w:t>
      </w:r>
      <w:r w:rsidRPr="00146498">
        <w:tab/>
        <w:t>En outre, l'accumulation de sacs en plastique dans l'environnement a une incidence clairement négative sur certaines activités économiques.</w:t>
      </w:r>
    </w:p>
    <w:p w:rsidR="00146498" w:rsidRPr="00146498" w:rsidRDefault="00146498">
      <w:pPr>
        <w:pStyle w:val="ManualConsidrant"/>
        <w:rPr>
          <w:rFonts w:eastAsia="Calibri"/>
        </w:rPr>
      </w:pPr>
      <w:r w:rsidRPr="00146498">
        <w:t>(</w:t>
      </w:r>
      <w:r w:rsidR="00886C9C">
        <w:t>4</w:t>
      </w:r>
      <w:r w:rsidRPr="00146498">
        <w:t>)</w:t>
      </w:r>
      <w:r w:rsidRPr="00146498">
        <w:tab/>
      </w:r>
      <w:r w:rsidR="00054FB4">
        <w:t>Les</w:t>
      </w:r>
      <w:r w:rsidRPr="00146498">
        <w:t xml:space="preserve"> sacs en plastique d'une épaisseur inférieure à 50 microns</w:t>
      </w:r>
      <w:r>
        <w:t xml:space="preserve"> (ci-après dénommés "sacs en plastique léger</w:t>
      </w:r>
      <w:r w:rsidR="002E594E">
        <w:t>s</w:t>
      </w:r>
      <w:r>
        <w:t>")</w:t>
      </w:r>
      <w:r w:rsidRPr="00146498">
        <w:t>, qui représentent la grande majorité du nombre total des sacs en plastique consommés dans l'Union, sont moins souvent réutilisés que les sacs en plastique plus épais</w:t>
      </w:r>
      <w:r>
        <w:t>. En conséquence</w:t>
      </w:r>
      <w:r w:rsidR="00054FB4">
        <w:t>,</w:t>
      </w:r>
      <w:r>
        <w:t xml:space="preserve"> les sacs en plastique léger</w:t>
      </w:r>
      <w:r w:rsidR="00054FB4">
        <w:t>s</w:t>
      </w:r>
      <w:r w:rsidRPr="00146498">
        <w:t xml:space="preserve"> deviennent plus rapidement des déchets et, du fait de leur faible poids, sont plus susceptibles de se retrouver sous la forme de déchets sauvages.</w:t>
      </w:r>
    </w:p>
    <w:p w:rsidR="00146498" w:rsidRPr="00146498" w:rsidRDefault="008663AC">
      <w:pPr>
        <w:pStyle w:val="ManualConsidrant"/>
        <w:rPr>
          <w:rFonts w:eastAsia="Calibri"/>
        </w:rPr>
      </w:pPr>
      <w:r>
        <w:br w:type="page"/>
      </w:r>
      <w:r w:rsidR="00146498" w:rsidRPr="00146498">
        <w:lastRenderedPageBreak/>
        <w:t>(</w:t>
      </w:r>
      <w:r w:rsidR="00886C9C">
        <w:t>5</w:t>
      </w:r>
      <w:r w:rsidR="00146498" w:rsidRPr="00146498">
        <w:t>)</w:t>
      </w:r>
      <w:r w:rsidR="00146498" w:rsidRPr="00146498">
        <w:tab/>
        <w:t xml:space="preserve">Les taux de recyclage des sacs en plastique </w:t>
      </w:r>
      <w:r w:rsidR="00054FB4">
        <w:t xml:space="preserve">légers </w:t>
      </w:r>
      <w:r w:rsidR="00146498" w:rsidRPr="00146498">
        <w:t>sont actuellement très faibles et, en raison d'un certain nombre de difficultés pratiques et économiques, n'atteindront probablement pas des niveaux importants dans un avenir proche.</w:t>
      </w:r>
    </w:p>
    <w:p w:rsidR="00146498" w:rsidRPr="00146498" w:rsidRDefault="00146498">
      <w:pPr>
        <w:pStyle w:val="ManualConsidrant"/>
        <w:rPr>
          <w:rFonts w:eastAsia="Calibri"/>
        </w:rPr>
      </w:pPr>
      <w:r w:rsidRPr="00146498">
        <w:t>(</w:t>
      </w:r>
      <w:r w:rsidR="00886C9C">
        <w:t>6</w:t>
      </w:r>
      <w:r w:rsidRPr="00146498">
        <w:t>)</w:t>
      </w:r>
      <w:r w:rsidRPr="00146498">
        <w:tab/>
        <w:t xml:space="preserve">Dans la hiérarchie des déchets, la prévention </w:t>
      </w:r>
      <w:r w:rsidR="00971064">
        <w:t>constitu</w:t>
      </w:r>
      <w:r w:rsidR="00971064" w:rsidRPr="00146498">
        <w:t xml:space="preserve">e </w:t>
      </w:r>
      <w:r w:rsidRPr="00146498">
        <w:t xml:space="preserve">la première </w:t>
      </w:r>
      <w:r w:rsidR="00971064" w:rsidRPr="00146498">
        <w:t>p</w:t>
      </w:r>
      <w:r w:rsidR="00971064">
        <w:t>riorité</w:t>
      </w:r>
      <w:r w:rsidRPr="00146498">
        <w:t xml:space="preserve">. </w:t>
      </w:r>
      <w:r>
        <w:t>L</w:t>
      </w:r>
      <w:r w:rsidRPr="00146498">
        <w:t xml:space="preserve">es sacs en plastique servent à de multiples usages et leur </w:t>
      </w:r>
      <w:r w:rsidR="00401C51">
        <w:t>consommation</w:t>
      </w:r>
      <w:r w:rsidR="00401C51" w:rsidRPr="00146498">
        <w:t xml:space="preserve"> </w:t>
      </w:r>
      <w:r w:rsidRPr="00146498">
        <w:t xml:space="preserve">se poursuivra à l'avenir. Afin d'éviter que les sacs en plastique qui sont nécessaires ne finissent </w:t>
      </w:r>
      <w:r w:rsidR="00231E44">
        <w:t xml:space="preserve">comme déchets </w:t>
      </w:r>
      <w:r w:rsidRPr="00146498">
        <w:t xml:space="preserve">dans l'environnement, il convient de mettre en place des mesures adéquates et d'informer les consommateurs sur la manière appropriée </w:t>
      </w:r>
      <w:r w:rsidR="00971064">
        <w:t>de trait</w:t>
      </w:r>
      <w:r w:rsidR="00971064" w:rsidRPr="00146498">
        <w:t xml:space="preserve">er </w:t>
      </w:r>
      <w:r w:rsidRPr="00146498">
        <w:t>les déchets.</w:t>
      </w:r>
    </w:p>
    <w:p w:rsidR="00146498" w:rsidRPr="00146498" w:rsidRDefault="00146498">
      <w:pPr>
        <w:pStyle w:val="ManualConsidrant"/>
        <w:rPr>
          <w:rFonts w:eastAsia="Calibri"/>
        </w:rPr>
      </w:pPr>
      <w:r w:rsidRPr="00146498">
        <w:t>(</w:t>
      </w:r>
      <w:r w:rsidR="00886C9C">
        <w:t>7</w:t>
      </w:r>
      <w:r w:rsidRPr="00146498">
        <w:t>)</w:t>
      </w:r>
      <w:r w:rsidRPr="00146498">
        <w:tab/>
        <w:t>Les niveaux de consommation des sacs en plastique varient considérablement à travers l'Union en raison des différences dans les habitudes de consommation, la sensibilisation à l'environnement</w:t>
      </w:r>
      <w:r>
        <w:t xml:space="preserve"> et</w:t>
      </w:r>
      <w:r w:rsidRPr="00146498">
        <w:t xml:space="preserve"> l'efficacité des mesures stratégiques prises par les États membres. Certains États membres ont réussi à réduire de façon significative les niveaux de consommation des sacs en plastique, la consommation moyenne dans les sept États membres les plus performants ne représentant que 20 % de la consommation moyenne de </w:t>
      </w:r>
      <w:r>
        <w:t>l'Union</w:t>
      </w:r>
      <w:r w:rsidRPr="00146498">
        <w:t>.</w:t>
      </w:r>
    </w:p>
    <w:p w:rsidR="00146498" w:rsidRPr="00146498" w:rsidRDefault="00146498">
      <w:pPr>
        <w:pStyle w:val="ManualConsidrant"/>
        <w:rPr>
          <w:rFonts w:eastAsia="Calibri"/>
        </w:rPr>
      </w:pPr>
      <w:r w:rsidRPr="00146498">
        <w:t>(</w:t>
      </w:r>
      <w:r w:rsidR="00886C9C">
        <w:t>8</w:t>
      </w:r>
      <w:r w:rsidRPr="00146498">
        <w:t>)</w:t>
      </w:r>
      <w:r w:rsidRPr="00146498">
        <w:tab/>
        <w:t xml:space="preserve">La disponibilité de données sur les niveaux actuels de consommation de sacs en plastique légers et l'exactitude de ces données varient d'un État membre à l'autre. Il est essentiel de disposer de données exactes et comparables sur la consommation pour pouvoir évaluer l'efficacité des mesures de réduction et garantir des conditions d'application uniformes. Il convient, par conséquent, de mettre au point une méthodologie commune pour calculer la consommation annuelle de sacs en plastique légers par </w:t>
      </w:r>
      <w:r w:rsidR="00B96443">
        <w:t>personne</w:t>
      </w:r>
      <w:r w:rsidRPr="00146498">
        <w:t xml:space="preserve"> en vue de suivre les progrès réalisés dans la réduction de la consommation de ce type de sacs.</w:t>
      </w:r>
    </w:p>
    <w:p w:rsidR="00146498" w:rsidRPr="00146498" w:rsidRDefault="008663AC">
      <w:pPr>
        <w:pStyle w:val="ManualConsidrant"/>
        <w:rPr>
          <w:rFonts w:eastAsia="Calibri"/>
        </w:rPr>
      </w:pPr>
      <w:r>
        <w:br w:type="page"/>
      </w:r>
      <w:r w:rsidR="00146498" w:rsidRPr="00146498">
        <w:t>(</w:t>
      </w:r>
      <w:r w:rsidR="00886C9C">
        <w:t>9</w:t>
      </w:r>
      <w:r w:rsidR="00146498" w:rsidRPr="00146498">
        <w:t>)</w:t>
      </w:r>
      <w:r w:rsidR="00146498" w:rsidRPr="00146498">
        <w:tab/>
        <w:t>Par ailleurs, il est avéré que l'information des consommateurs est essentielle pour parvenir à réduire l</w:t>
      </w:r>
      <w:r w:rsidR="00401C51">
        <w:t>a consommation</w:t>
      </w:r>
      <w:r w:rsidR="00146498" w:rsidRPr="00146498">
        <w:t xml:space="preserve"> des sacs en plastique. Des efforts doivent dès lors être réalisés au niveau institutionnel pour sensibiliser les consommateurs </w:t>
      </w:r>
      <w:r w:rsidR="00C01F8E">
        <w:t>aux incidences</w:t>
      </w:r>
      <w:r w:rsidR="00146498" w:rsidRPr="00146498">
        <w:t xml:space="preserve"> environnemental</w:t>
      </w:r>
      <w:r w:rsidR="00C01F8E">
        <w:t>es</w:t>
      </w:r>
      <w:r w:rsidR="00146498" w:rsidRPr="00146498">
        <w:t xml:space="preserve"> des sacs en plastique et </w:t>
      </w:r>
      <w:r w:rsidR="00C01F8E">
        <w:t>mettre un terme à</w:t>
      </w:r>
      <w:r w:rsidR="00146498" w:rsidRPr="00146498">
        <w:t xml:space="preserve"> l'idée que le plastique est une matière inoffensive et bon marché.</w:t>
      </w:r>
    </w:p>
    <w:p w:rsidR="00146498" w:rsidRPr="00146498" w:rsidRDefault="00146498">
      <w:pPr>
        <w:pStyle w:val="ManualConsidrant"/>
        <w:rPr>
          <w:rFonts w:eastAsia="Calibri"/>
        </w:rPr>
      </w:pPr>
      <w:r w:rsidRPr="00146498">
        <w:t>(</w:t>
      </w:r>
      <w:r w:rsidR="00886C9C">
        <w:t>10</w:t>
      </w:r>
      <w:r w:rsidRPr="00146498">
        <w:t>)</w:t>
      </w:r>
      <w:r w:rsidRPr="00146498">
        <w:tab/>
        <w:t>Afin de promouvoir des diminutions durables de la consommation moyenne des sacs en plastique légers, les États membres devraient prendre des mesures visant à réduire sensiblement la consommation des sacs en plastique</w:t>
      </w:r>
      <w:r>
        <w:t xml:space="preserve"> léger</w:t>
      </w:r>
      <w:r w:rsidR="009635C5">
        <w:t>s</w:t>
      </w:r>
      <w:r w:rsidRPr="00146498">
        <w:t xml:space="preserve">, conformément aux objectifs généraux de la politique de l'Union en matière de déchets et à la hiérarchie </w:t>
      </w:r>
      <w:r w:rsidR="00BF14F9">
        <w:t xml:space="preserve">des </w:t>
      </w:r>
      <w:r w:rsidRPr="00146498">
        <w:t>déchets qui figure dans la directive 2008/98/CE du Parlement européen et du Conseil</w:t>
      </w:r>
      <w:r w:rsidRPr="00146498">
        <w:rPr>
          <w:rStyle w:val="FootnoteReference"/>
        </w:rPr>
        <w:footnoteReference w:id="5"/>
      </w:r>
      <w:r w:rsidRPr="00146498">
        <w:t xml:space="preserve">. Ces mesures de réduction devraient tenir compte, d'une part, des niveaux actuels de consommation des sacs en plastique dans les différents États membres, les taux de consommation plus élevés exigeant des efforts plus ambitieux, et, d'autre part, des réductions déjà réalisées. Afin d'assurer le suivi des progrès réalisés en matière de réduction de </w:t>
      </w:r>
      <w:r w:rsidR="00401C51" w:rsidRPr="00146498">
        <w:t>l</w:t>
      </w:r>
      <w:r w:rsidR="00401C51">
        <w:t>a consomma</w:t>
      </w:r>
      <w:r w:rsidR="00401C51" w:rsidRPr="00146498">
        <w:t xml:space="preserve">tion </w:t>
      </w:r>
      <w:r w:rsidRPr="00146498">
        <w:t xml:space="preserve">de sacs en plastique légers, </w:t>
      </w:r>
      <w:r>
        <w:t xml:space="preserve">il est nécessaire que </w:t>
      </w:r>
      <w:r w:rsidRPr="00146498">
        <w:t xml:space="preserve">les autorités nationales </w:t>
      </w:r>
      <w:r w:rsidR="00E452A0" w:rsidRPr="00146498">
        <w:t>fourni</w:t>
      </w:r>
      <w:r w:rsidR="00E452A0">
        <w:t>sse</w:t>
      </w:r>
      <w:r w:rsidR="00E452A0" w:rsidRPr="00146498">
        <w:t xml:space="preserve">nt </w:t>
      </w:r>
      <w:r w:rsidRPr="00146498">
        <w:t xml:space="preserve">des données sur leur </w:t>
      </w:r>
      <w:r w:rsidR="00401C51">
        <w:t>consomma</w:t>
      </w:r>
      <w:r w:rsidR="00401C51" w:rsidRPr="00146498">
        <w:t>tion</w:t>
      </w:r>
      <w:r w:rsidR="00401C51">
        <w:t xml:space="preserve"> conformément à l'article 12 de la directive 94/62/CE</w:t>
      </w:r>
      <w:r w:rsidRPr="00146498">
        <w:t>.</w:t>
      </w:r>
    </w:p>
    <w:p w:rsidR="00146498" w:rsidRPr="00146498" w:rsidRDefault="00146498">
      <w:pPr>
        <w:pStyle w:val="ManualConsidrant"/>
        <w:rPr>
          <w:rFonts w:eastAsia="Calibri"/>
        </w:rPr>
      </w:pPr>
      <w:r w:rsidRPr="00146498">
        <w:t>(</w:t>
      </w:r>
      <w:r w:rsidR="00886C9C">
        <w:t>11</w:t>
      </w:r>
      <w:r w:rsidRPr="00146498">
        <w:t>)</w:t>
      </w:r>
      <w:r w:rsidRPr="00146498">
        <w:tab/>
        <w:t xml:space="preserve">Les mesures que doivent prendre les États membres peuvent comporter le recours à des instruments économiques comme </w:t>
      </w:r>
      <w:r w:rsidR="007F27A4">
        <w:t>le paiement</w:t>
      </w:r>
      <w:r w:rsidRPr="00146498">
        <w:t xml:space="preserve"> ou l'imposition de taxes et de redevances, qui se sont révélés particulièrement efficaces pour réduire </w:t>
      </w:r>
      <w:r w:rsidR="00401C51" w:rsidRPr="00146498">
        <w:t>l</w:t>
      </w:r>
      <w:r w:rsidR="00401C51">
        <w:t>a consomma</w:t>
      </w:r>
      <w:r w:rsidR="00401C51" w:rsidRPr="00146498">
        <w:t xml:space="preserve">tion </w:t>
      </w:r>
      <w:r w:rsidRPr="00146498">
        <w:t xml:space="preserve">des sacs en plastique, ainsi que des restrictions de commercialisation, comme des interdictions, </w:t>
      </w:r>
      <w:r w:rsidR="00231E44">
        <w:t xml:space="preserve">par dérogation à l'article 18 de la directive 94/62/CE, </w:t>
      </w:r>
      <w:r w:rsidRPr="00146498">
        <w:t>à condition que ces restrictions soient proportionnées et non discriminatoires.</w:t>
      </w:r>
    </w:p>
    <w:p w:rsidR="00146498" w:rsidRPr="00146498" w:rsidRDefault="008663AC">
      <w:pPr>
        <w:pStyle w:val="ManualConsidrant"/>
        <w:rPr>
          <w:rFonts w:eastAsia="Calibri"/>
        </w:rPr>
      </w:pPr>
      <w:r>
        <w:br w:type="page"/>
      </w:r>
      <w:r w:rsidR="00146498" w:rsidRPr="00146498">
        <w:t>(</w:t>
      </w:r>
      <w:r w:rsidR="00886C9C">
        <w:t>12</w:t>
      </w:r>
      <w:r w:rsidR="00146498" w:rsidRPr="00146498">
        <w:t>)</w:t>
      </w:r>
      <w:r w:rsidR="00146498" w:rsidRPr="00146498">
        <w:tab/>
        <w:t xml:space="preserve">Ces mesures peuvent varier en fonction </w:t>
      </w:r>
      <w:r w:rsidR="00C01F8E">
        <w:t>des incidences</w:t>
      </w:r>
      <w:r w:rsidR="00146498" w:rsidRPr="00146498">
        <w:t xml:space="preserve"> environnemental</w:t>
      </w:r>
      <w:r w:rsidR="00C01F8E">
        <w:t>es</w:t>
      </w:r>
      <w:r w:rsidR="00146498" w:rsidRPr="00146498">
        <w:t xml:space="preserve"> des sacs en plastique légers lorsqu'ils sont </w:t>
      </w:r>
      <w:r w:rsidR="00377335">
        <w:t>valorisés</w:t>
      </w:r>
      <w:r w:rsidR="00377335" w:rsidRPr="00146498">
        <w:t xml:space="preserve"> </w:t>
      </w:r>
      <w:r w:rsidR="00146498" w:rsidRPr="00146498">
        <w:t xml:space="preserve">ou éliminés, </w:t>
      </w:r>
      <w:r w:rsidR="00D1285A">
        <w:t xml:space="preserve">de </w:t>
      </w:r>
      <w:r w:rsidR="00146498" w:rsidRPr="00146498">
        <w:t>leurs propriétés de recyclage et de compostage,</w:t>
      </w:r>
      <w:r w:rsidR="00D1285A">
        <w:t xml:space="preserve"> de</w:t>
      </w:r>
      <w:r w:rsidR="00146498" w:rsidRPr="00146498">
        <w:t xml:space="preserve"> leur durabilité ou</w:t>
      </w:r>
      <w:r w:rsidR="00D1285A">
        <w:t xml:space="preserve"> de</w:t>
      </w:r>
      <w:r w:rsidR="00146498" w:rsidRPr="00146498">
        <w:t xml:space="preserve"> la spécificité de leur utilisation prévue, </w:t>
      </w:r>
      <w:r w:rsidR="00452089">
        <w:t xml:space="preserve">et </w:t>
      </w:r>
      <w:r w:rsidR="00D1285A">
        <w:t>compte tenu des</w:t>
      </w:r>
      <w:r w:rsidR="00146498" w:rsidRPr="00146498">
        <w:t xml:space="preserve"> éventuels effets de substitution négatifs.</w:t>
      </w:r>
    </w:p>
    <w:p w:rsidR="00146498" w:rsidRPr="00146498" w:rsidRDefault="00146498" w:rsidP="00D1285A">
      <w:pPr>
        <w:pStyle w:val="ManualConsidrant"/>
        <w:rPr>
          <w:rFonts w:eastAsia="Calibri"/>
        </w:rPr>
      </w:pPr>
      <w:r w:rsidRPr="00146498">
        <w:t>(</w:t>
      </w:r>
      <w:r w:rsidR="00D1285A">
        <w:t>13</w:t>
      </w:r>
      <w:r w:rsidRPr="00146498">
        <w:t>)</w:t>
      </w:r>
      <w:r w:rsidRPr="00146498">
        <w:tab/>
        <w:t xml:space="preserve">Les États membres peuvent choisir d'exempter les sacs en plastique </w:t>
      </w:r>
      <w:r w:rsidR="00D1285A" w:rsidRPr="00D1285A">
        <w:t xml:space="preserve">d'une épaisseur inférieure à 15 microns </w:t>
      </w:r>
      <w:r w:rsidR="00D1285A">
        <w:t xml:space="preserve">(ci-après dénommés "sacs en plastiques </w:t>
      </w:r>
      <w:r w:rsidR="00AB4708">
        <w:t>très légers</w:t>
      </w:r>
      <w:r w:rsidR="00D1285A">
        <w:t>")</w:t>
      </w:r>
      <w:r w:rsidR="00AB4708">
        <w:t xml:space="preserve"> </w:t>
      </w:r>
      <w:r w:rsidRPr="00146498">
        <w:t xml:space="preserve">fournis comme emballage </w:t>
      </w:r>
      <w:r w:rsidR="00087D67">
        <w:t xml:space="preserve">primaire </w:t>
      </w:r>
      <w:r w:rsidRPr="00146498">
        <w:t>pour les aliments en vrac</w:t>
      </w:r>
      <w:r>
        <w:t>,</w:t>
      </w:r>
      <w:r w:rsidRPr="00146498">
        <w:t xml:space="preserve"> lorsqu'ils sont nécessaires à des fins d'hygiène ou lorsque leur utilisation contribue à </w:t>
      </w:r>
      <w:r w:rsidR="007F27A4">
        <w:t>préveni</w:t>
      </w:r>
      <w:r w:rsidR="007F27A4" w:rsidRPr="00146498">
        <w:t xml:space="preserve">r </w:t>
      </w:r>
      <w:r w:rsidR="00087D67">
        <w:t>le gaspillage alimentaire</w:t>
      </w:r>
      <w:r w:rsidRPr="00146498">
        <w:t>.</w:t>
      </w:r>
    </w:p>
    <w:p w:rsidR="00146498" w:rsidRPr="00146498" w:rsidRDefault="00146498">
      <w:pPr>
        <w:pStyle w:val="ManualConsidrant"/>
        <w:rPr>
          <w:rFonts w:eastAsia="Calibri"/>
        </w:rPr>
      </w:pPr>
      <w:r w:rsidRPr="00146498">
        <w:t>(</w:t>
      </w:r>
      <w:r w:rsidR="00D1285A">
        <w:t>14</w:t>
      </w:r>
      <w:r w:rsidRPr="00146498">
        <w:t>)</w:t>
      </w:r>
      <w:r w:rsidRPr="00146498">
        <w:tab/>
      </w:r>
      <w:r w:rsidRPr="00BF14F9">
        <w:t xml:space="preserve">Les États membres peuvent </w:t>
      </w:r>
      <w:r w:rsidR="00EF4AD8">
        <w:t xml:space="preserve">librement utiliser </w:t>
      </w:r>
      <w:r>
        <w:t>l</w:t>
      </w:r>
      <w:r w:rsidRPr="00146498">
        <w:t xml:space="preserve">es recettes générées par les mesures prises en vertu de la directive </w:t>
      </w:r>
      <w:r>
        <w:t xml:space="preserve">94/62/CE </w:t>
      </w:r>
      <w:r w:rsidRPr="00146498">
        <w:t>pour parvenir à une réduction durable de la consommation de sacs en plastique légers</w:t>
      </w:r>
      <w:r>
        <w:t>.</w:t>
      </w:r>
    </w:p>
    <w:p w:rsidR="00146498" w:rsidRPr="00146498" w:rsidRDefault="00146498">
      <w:pPr>
        <w:pStyle w:val="ManualConsidrant"/>
        <w:rPr>
          <w:rFonts w:eastAsia="Calibri"/>
        </w:rPr>
      </w:pPr>
      <w:r w:rsidRPr="00146498">
        <w:t>(</w:t>
      </w:r>
      <w:r w:rsidR="00D1285A">
        <w:t>15</w:t>
      </w:r>
      <w:r w:rsidRPr="00146498">
        <w:t>)</w:t>
      </w:r>
      <w:r w:rsidRPr="00146498">
        <w:tab/>
        <w:t xml:space="preserve">Les programmes de sensibilisation destinés aux consommateurs en général et les programmes éducatifs destinés aux enfants peuvent jouer un rôle important dans la réduction de </w:t>
      </w:r>
      <w:r w:rsidR="00BA3A34">
        <w:t>la consommation</w:t>
      </w:r>
      <w:r w:rsidR="00BA3A34" w:rsidRPr="00146498">
        <w:t xml:space="preserve"> </w:t>
      </w:r>
      <w:r w:rsidRPr="00146498">
        <w:t>de sacs en plastique.</w:t>
      </w:r>
    </w:p>
    <w:p w:rsidR="00146498" w:rsidRPr="00146498" w:rsidRDefault="00146498" w:rsidP="002D12FD">
      <w:pPr>
        <w:pStyle w:val="ManualConsidrant"/>
        <w:rPr>
          <w:rFonts w:eastAsia="Calibri"/>
        </w:rPr>
      </w:pPr>
      <w:r w:rsidRPr="00146498">
        <w:t>(</w:t>
      </w:r>
      <w:r w:rsidR="00D1285A">
        <w:t>1</w:t>
      </w:r>
      <w:r w:rsidRPr="00146498">
        <w:t>6)</w:t>
      </w:r>
      <w:r w:rsidRPr="00146498">
        <w:tab/>
        <w:t>La norme européenne EN 13432 intitulée "Exigences relatives aux emballages valorisables par compostage et biodégradation - Programme d'essai et critères d'évaluation de l'acceptation finale des emballages" définit les caractéristiques qu'un matériau doit posséder pour être considéré comme "</w:t>
      </w:r>
      <w:proofErr w:type="spellStart"/>
      <w:r w:rsidRPr="00146498">
        <w:t>compostable</w:t>
      </w:r>
      <w:proofErr w:type="spellEnd"/>
      <w:r w:rsidRPr="00146498">
        <w:t xml:space="preserve">", à savoir qu'il doit pouvoir être recyclé au moyen </w:t>
      </w:r>
      <w:r w:rsidR="00B10CBB">
        <w:t>d'un processus</w:t>
      </w:r>
      <w:r w:rsidR="00AB4708" w:rsidRPr="00146498">
        <w:t xml:space="preserve"> </w:t>
      </w:r>
      <w:r w:rsidRPr="00146498">
        <w:t xml:space="preserve">de valorisation biologique composé de compostage et de digestion anaérobie. La Commission devrait demander au Comité européen de normalisation d'élaborer une norme séparée pour les emballages </w:t>
      </w:r>
      <w:proofErr w:type="spellStart"/>
      <w:r w:rsidRPr="00146498">
        <w:t>compostables</w:t>
      </w:r>
      <w:proofErr w:type="spellEnd"/>
      <w:r w:rsidRPr="00146498">
        <w:t xml:space="preserve"> à domicile.</w:t>
      </w:r>
    </w:p>
    <w:p w:rsidR="00146498" w:rsidRDefault="00146498" w:rsidP="00592307">
      <w:pPr>
        <w:pStyle w:val="ManualConsidrant"/>
      </w:pPr>
      <w:r w:rsidRPr="00146498">
        <w:br w:type="page"/>
      </w:r>
      <w:r w:rsidRPr="001B68ED">
        <w:t>(</w:t>
      </w:r>
      <w:r w:rsidR="00D1285A">
        <w:t>1</w:t>
      </w:r>
      <w:r w:rsidRPr="001B68ED">
        <w:t>7)</w:t>
      </w:r>
      <w:r w:rsidRPr="001B68ED">
        <w:tab/>
      </w:r>
      <w:r w:rsidRPr="00146498">
        <w:t xml:space="preserve">Il importe de garantir une reconnaissance à l'échelle de l'Union des </w:t>
      </w:r>
      <w:r w:rsidRPr="00F43A95">
        <w:t>étiquetages</w:t>
      </w:r>
      <w:r w:rsidRPr="00146498">
        <w:t xml:space="preserve"> </w:t>
      </w:r>
      <w:r w:rsidR="00EF4AD8">
        <w:t>ou</w:t>
      </w:r>
      <w:r w:rsidRPr="00146498">
        <w:t xml:space="preserve"> des marqu</w:t>
      </w:r>
      <w:r w:rsidR="00EE586D">
        <w:t>ag</w:t>
      </w:r>
      <w:r w:rsidRPr="00146498">
        <w:t xml:space="preserve">es distinguant les sacs </w:t>
      </w:r>
      <w:r w:rsidR="00B10CBB">
        <w:t xml:space="preserve">en plastique </w:t>
      </w:r>
      <w:r w:rsidRPr="00146498">
        <w:t xml:space="preserve">biodégradables et </w:t>
      </w:r>
      <w:proofErr w:type="spellStart"/>
      <w:r w:rsidRPr="00146498">
        <w:t>compostables</w:t>
      </w:r>
      <w:proofErr w:type="spellEnd"/>
      <w:r w:rsidRPr="00146498">
        <w:t>.</w:t>
      </w:r>
    </w:p>
    <w:p w:rsidR="00146498" w:rsidRPr="00146498" w:rsidRDefault="00146498">
      <w:pPr>
        <w:pStyle w:val="ManualConsidrant"/>
        <w:rPr>
          <w:rFonts w:eastAsia="Calibri"/>
        </w:rPr>
      </w:pPr>
      <w:r w:rsidRPr="00146498">
        <w:t>(</w:t>
      </w:r>
      <w:r w:rsidR="00D1285A">
        <w:t>18</w:t>
      </w:r>
      <w:r w:rsidRPr="00146498">
        <w:t>)</w:t>
      </w:r>
      <w:r w:rsidRPr="00146498">
        <w:tab/>
        <w:t xml:space="preserve">Certains sacs en plastique sont qualifiés d'"oxobiodégradables" ou "oxodégradables" par leurs fabricants. Ces sacs contiennent des additifs incorporés dans des matières plastiques conventionnelles. À cause de la présence de ces additifs, le plastique se fragmente avec le temps en petites particules qui </w:t>
      </w:r>
      <w:r w:rsidR="00C463BD">
        <w:t>demeur</w:t>
      </w:r>
      <w:r w:rsidR="00C463BD" w:rsidRPr="00146498">
        <w:t xml:space="preserve">ent </w:t>
      </w:r>
      <w:r w:rsidRPr="00146498">
        <w:t xml:space="preserve">dans l'environnement. Il peut donc être trompeur de qualifier ces sacs de "biodégradables", car ils ne constituent pas une réponse au problème des déchets sauvages et peuvent, au contraire, augmenter la pollution. La Commission devrait examiner </w:t>
      </w:r>
      <w:r w:rsidR="001B68ED">
        <w:t xml:space="preserve">les incidences </w:t>
      </w:r>
      <w:r w:rsidRPr="00146498">
        <w:t xml:space="preserve">de l'utilisation de sacs en plastique oxodégradables sur l'environnement et présenter au Parlement européen et au Conseil un rapport comprenant, au besoin, </w:t>
      </w:r>
      <w:r w:rsidR="00C463BD">
        <w:t>une série</w:t>
      </w:r>
      <w:r w:rsidRPr="00146498">
        <w:t xml:space="preserve"> de mesures visant à limiter leur </w:t>
      </w:r>
      <w:r w:rsidR="002D12FD">
        <w:t>consomm</w:t>
      </w:r>
      <w:r w:rsidR="002D12FD" w:rsidRPr="00146498">
        <w:t xml:space="preserve">ation </w:t>
      </w:r>
      <w:r w:rsidRPr="00146498">
        <w:t>ou à réduire leurs incidences néfastes.</w:t>
      </w:r>
    </w:p>
    <w:p w:rsidR="00BA3A34" w:rsidRDefault="00146498">
      <w:pPr>
        <w:pStyle w:val="ManualConsidrant"/>
      </w:pPr>
      <w:r w:rsidRPr="00146498">
        <w:t>(</w:t>
      </w:r>
      <w:r w:rsidR="00D1285A">
        <w:t>19</w:t>
      </w:r>
      <w:r w:rsidRPr="00146498">
        <w:t>)</w:t>
      </w:r>
      <w:r w:rsidRPr="00146498">
        <w:tab/>
        <w:t xml:space="preserve">Les mesures </w:t>
      </w:r>
      <w:r w:rsidR="00C463BD">
        <w:t>à</w:t>
      </w:r>
      <w:r w:rsidRPr="00146498">
        <w:t xml:space="preserve"> prendre</w:t>
      </w:r>
      <w:r w:rsidR="00C463BD">
        <w:t xml:space="preserve"> par</w:t>
      </w:r>
      <w:r w:rsidRPr="00146498">
        <w:t xml:space="preserve"> les États membres pour réduire la consommation de sacs en plastique devraient conduire à une réduction durable de </w:t>
      </w:r>
      <w:r w:rsidR="00C463BD">
        <w:t>la consommation de sacs en plastique légers</w:t>
      </w:r>
      <w:r w:rsidRPr="00146498">
        <w:t>, sans entraîner d'augmentation globale de la production d'emballages.</w:t>
      </w:r>
    </w:p>
    <w:p w:rsidR="00146498" w:rsidRPr="00146498" w:rsidRDefault="00BA3A34" w:rsidP="00506598">
      <w:pPr>
        <w:pStyle w:val="ManualConsidrant"/>
        <w:rPr>
          <w:rFonts w:eastAsia="Calibri"/>
        </w:rPr>
      </w:pPr>
      <w:r>
        <w:br w:type="page"/>
      </w:r>
      <w:r w:rsidR="00146498" w:rsidRPr="00146498">
        <w:t>(</w:t>
      </w:r>
      <w:r w:rsidR="00D1285A">
        <w:t>20</w:t>
      </w:r>
      <w:r w:rsidR="00146498" w:rsidRPr="00146498">
        <w:t>)</w:t>
      </w:r>
      <w:r w:rsidR="00146498" w:rsidRPr="00146498">
        <w:tab/>
        <w:t xml:space="preserve">Les mesures prévues par la présente directive sont conformes à la communication de la Commission intitulée "Feuille de route pour une Europe efficace dans l'utilisation des ressources" et </w:t>
      </w:r>
      <w:r w:rsidR="00C463BD">
        <w:t xml:space="preserve">elles </w:t>
      </w:r>
      <w:r w:rsidR="00146498" w:rsidRPr="00146498">
        <w:t>devraient contribuer à des actions visant à lutter contre l'abandon de déchets sauvages</w:t>
      </w:r>
      <w:r w:rsidR="00C463BD">
        <w:t xml:space="preserve"> en milieu marin</w:t>
      </w:r>
      <w:r w:rsidR="00146498" w:rsidRPr="00146498">
        <w:t>, menées conformément à la directive 2008/56/CE du Parlement européen et du Conseil</w:t>
      </w:r>
      <w:r w:rsidR="00146498" w:rsidRPr="00146498">
        <w:rPr>
          <w:rStyle w:val="FootnoteReference"/>
          <w:szCs w:val="20"/>
        </w:rPr>
        <w:footnoteReference w:id="6"/>
      </w:r>
      <w:r w:rsidR="00146498" w:rsidRPr="00146498">
        <w:t>.</w:t>
      </w:r>
    </w:p>
    <w:p w:rsidR="00146498" w:rsidRPr="00146498" w:rsidRDefault="00146498" w:rsidP="00146498">
      <w:pPr>
        <w:pStyle w:val="ManualConsidrant"/>
        <w:rPr>
          <w:rFonts w:eastAsia="Calibri"/>
        </w:rPr>
      </w:pPr>
      <w:r w:rsidRPr="00146498">
        <w:t>(</w:t>
      </w:r>
      <w:r w:rsidR="00D1285A">
        <w:t>21</w:t>
      </w:r>
      <w:r w:rsidRPr="00146498">
        <w:t>)</w:t>
      </w:r>
      <w:r w:rsidRPr="00146498">
        <w:tab/>
        <w:t>Il convient dès lors de modifier la directive 94/62/CE en conséquence,</w:t>
      </w:r>
    </w:p>
    <w:p w:rsidR="00146498" w:rsidRPr="00C90520" w:rsidRDefault="00146498" w:rsidP="00592307">
      <w:pPr>
        <w:pStyle w:val="Formuledadoption"/>
        <w:rPr>
          <w:rFonts w:eastAsia="Calibri" w:cs="Arial"/>
          <w:noProof/>
          <w:szCs w:val="22"/>
        </w:rPr>
      </w:pPr>
      <w:r>
        <w:t xml:space="preserve">ONT </w:t>
      </w:r>
      <w:r w:rsidR="00C463BD">
        <w:t xml:space="preserve">ADOPTÉ </w:t>
      </w:r>
      <w:r>
        <w:t>LA PRÉSENTE DIRECTIVE:</w:t>
      </w:r>
    </w:p>
    <w:p w:rsidR="00146498" w:rsidRPr="00146498" w:rsidRDefault="008663AC" w:rsidP="00146498">
      <w:pPr>
        <w:pStyle w:val="Titrearticle"/>
        <w:rPr>
          <w:rFonts w:eastAsia="Calibri" w:cs="Arial"/>
          <w:noProof/>
          <w:szCs w:val="22"/>
        </w:rPr>
      </w:pPr>
      <w:r>
        <w:rPr>
          <w:noProof/>
        </w:rPr>
        <w:br w:type="page"/>
      </w:r>
      <w:r w:rsidR="00146498" w:rsidRPr="00146498">
        <w:rPr>
          <w:noProof/>
        </w:rPr>
        <w:t>Article premier</w:t>
      </w:r>
    </w:p>
    <w:p w:rsidR="00146498" w:rsidRPr="00C90520" w:rsidRDefault="00146498" w:rsidP="00146498">
      <w:pPr>
        <w:autoSpaceDE w:val="0"/>
        <w:autoSpaceDN w:val="0"/>
        <w:adjustRightInd w:val="0"/>
        <w:rPr>
          <w:rFonts w:eastAsia="Calibri" w:cs="Arial"/>
          <w:noProof/>
          <w:szCs w:val="22"/>
        </w:rPr>
      </w:pPr>
      <w:r>
        <w:t>La directive 94/62/CE est modifiée comme suit:</w:t>
      </w:r>
    </w:p>
    <w:p w:rsidR="00146498" w:rsidRPr="00C90520" w:rsidRDefault="00146498" w:rsidP="0050762B">
      <w:pPr>
        <w:pStyle w:val="ManualNumPar1"/>
        <w:rPr>
          <w:rFonts w:eastAsia="Calibri" w:cs="Arial"/>
          <w:noProof/>
          <w:szCs w:val="22"/>
        </w:rPr>
      </w:pPr>
      <w:r>
        <w:t>1)</w:t>
      </w:r>
      <w:r>
        <w:tab/>
        <w:t>À l'article 3, le</w:t>
      </w:r>
      <w:r w:rsidRPr="00BF14F9">
        <w:rPr>
          <w:noProof/>
        </w:rPr>
        <w:t>s</w:t>
      </w:r>
      <w:r>
        <w:t xml:space="preserve"> </w:t>
      </w:r>
      <w:r w:rsidR="00592307">
        <w:t>point</w:t>
      </w:r>
      <w:r w:rsidR="00592307" w:rsidRPr="00BF14F9">
        <w:rPr>
          <w:noProof/>
        </w:rPr>
        <w:t>s</w:t>
      </w:r>
      <w:r w:rsidR="00592307">
        <w:t xml:space="preserve"> </w:t>
      </w:r>
      <w:r>
        <w:t>suivant</w:t>
      </w:r>
      <w:r>
        <w:rPr>
          <w:b/>
          <w:noProof/>
        </w:rPr>
        <w:t xml:space="preserve">s </w:t>
      </w:r>
      <w:r w:rsidRPr="00BF14F9">
        <w:rPr>
          <w:noProof/>
        </w:rPr>
        <w:t>sont</w:t>
      </w:r>
      <w:r>
        <w:t xml:space="preserve"> inséré</w:t>
      </w:r>
      <w:r w:rsidRPr="00BF14F9">
        <w:rPr>
          <w:noProof/>
        </w:rPr>
        <w:t>s</w:t>
      </w:r>
      <w:r>
        <w:t>:</w:t>
      </w:r>
    </w:p>
    <w:p w:rsidR="00146498" w:rsidRPr="00C90520" w:rsidRDefault="00146498" w:rsidP="002D12FD">
      <w:pPr>
        <w:pStyle w:val="Point1"/>
        <w:rPr>
          <w:rFonts w:eastAsia="Calibri" w:cs="Arial"/>
          <w:noProof/>
          <w:szCs w:val="22"/>
        </w:rPr>
      </w:pPr>
      <w:r>
        <w:rPr>
          <w:noProof/>
        </w:rPr>
        <w:t>"</w:t>
      </w:r>
      <w:r w:rsidR="002D12FD">
        <w:rPr>
          <w:noProof/>
        </w:rPr>
        <w:t>1 </w:t>
      </w:r>
      <w:r w:rsidRPr="00146498">
        <w:rPr>
          <w:i/>
          <w:iCs/>
          <w:noProof/>
        </w:rPr>
        <w:t>bis</w:t>
      </w:r>
      <w:r w:rsidR="00592307">
        <w:rPr>
          <w:noProof/>
        </w:rPr>
        <w:t>)</w:t>
      </w:r>
      <w:r>
        <w:rPr>
          <w:noProof/>
        </w:rPr>
        <w:tab/>
      </w:r>
      <w:r>
        <w:t xml:space="preserve">"plastique", </w:t>
      </w:r>
      <w:r>
        <w:rPr>
          <w:noProof/>
        </w:rPr>
        <w:t xml:space="preserve">un polymère au sens de l'article 3, </w:t>
      </w:r>
      <w:r w:rsidR="00B10CBB">
        <w:rPr>
          <w:noProof/>
        </w:rPr>
        <w:t>point </w:t>
      </w:r>
      <w:r>
        <w:rPr>
          <w:noProof/>
        </w:rPr>
        <w:t>5</w:t>
      </w:r>
      <w:r w:rsidR="00CE5A7C">
        <w:rPr>
          <w:noProof/>
        </w:rPr>
        <w:t>)</w:t>
      </w:r>
      <w:r>
        <w:rPr>
          <w:noProof/>
        </w:rPr>
        <w:t>, du règlement (CE) nº 1907/2006 du Parlement européen et du Conseil*, auquel des additifs ou autres substances peuvent avoir été ajoutés, et qui est capable de jouer le rôle de composant structurel principal de sacs</w:t>
      </w:r>
      <w:r w:rsidR="00592307">
        <w:rPr>
          <w:noProof/>
        </w:rPr>
        <w:t>;</w:t>
      </w:r>
    </w:p>
    <w:p w:rsidR="00146498" w:rsidRPr="00C90520" w:rsidRDefault="002D12FD" w:rsidP="00146498">
      <w:pPr>
        <w:pStyle w:val="Point1"/>
        <w:rPr>
          <w:rFonts w:eastAsia="Calibri" w:cs="Arial"/>
          <w:bCs/>
          <w:iCs/>
          <w:szCs w:val="22"/>
        </w:rPr>
      </w:pPr>
      <w:r>
        <w:t>1 </w:t>
      </w:r>
      <w:r w:rsidR="00146498" w:rsidRPr="00146498">
        <w:rPr>
          <w:i/>
          <w:iCs/>
        </w:rPr>
        <w:t>ter</w:t>
      </w:r>
      <w:r w:rsidR="00592307">
        <w:t>)</w:t>
      </w:r>
      <w:r w:rsidR="00146498">
        <w:tab/>
        <w:t>"sacs en plastique", les sacs, avec ou sans poignées, composés de plastique, qui sont fournis aux consommateurs dans les points de vente de marchandises ou de produits</w:t>
      </w:r>
      <w:r w:rsidR="00592307">
        <w:t>;</w:t>
      </w:r>
    </w:p>
    <w:p w:rsidR="00146498" w:rsidRPr="00C90520" w:rsidRDefault="002D12FD" w:rsidP="00146498">
      <w:pPr>
        <w:pStyle w:val="Point1"/>
        <w:rPr>
          <w:rFonts w:eastAsia="Calibri" w:cs="Arial"/>
          <w:noProof/>
          <w:szCs w:val="22"/>
        </w:rPr>
      </w:pPr>
      <w:r>
        <w:rPr>
          <w:noProof/>
        </w:rPr>
        <w:t>1</w:t>
      </w:r>
      <w:r w:rsidR="00146498">
        <w:rPr>
          <w:noProof/>
        </w:rPr>
        <w:t xml:space="preserve"> </w:t>
      </w:r>
      <w:r w:rsidR="00146498" w:rsidRPr="00146498">
        <w:rPr>
          <w:i/>
          <w:iCs/>
          <w:noProof/>
        </w:rPr>
        <w:t>quater</w:t>
      </w:r>
      <w:r w:rsidR="00592307">
        <w:rPr>
          <w:noProof/>
        </w:rPr>
        <w:t>)</w:t>
      </w:r>
      <w:r w:rsidR="00146498">
        <w:rPr>
          <w:noProof/>
        </w:rPr>
        <w:tab/>
      </w:r>
      <w:r w:rsidR="00146498">
        <w:t xml:space="preserve">"sacs en plastique légers", les sacs </w:t>
      </w:r>
      <w:r w:rsidR="00146498">
        <w:rPr>
          <w:noProof/>
        </w:rPr>
        <w:t>en plastique</w:t>
      </w:r>
      <w:r w:rsidR="00146498">
        <w:t xml:space="preserve"> d'une épaisseur inférieure à 50 microns </w:t>
      </w:r>
      <w:r w:rsidR="00592307">
        <w:rPr>
          <w:noProof/>
        </w:rPr>
        <w:t>;</w:t>
      </w:r>
    </w:p>
    <w:p w:rsidR="00146498" w:rsidRPr="00C90520" w:rsidRDefault="002D12FD" w:rsidP="00E74AF7">
      <w:pPr>
        <w:pStyle w:val="Point1"/>
        <w:rPr>
          <w:rFonts w:eastAsia="Calibri" w:cs="Arial"/>
          <w:bCs/>
          <w:szCs w:val="22"/>
        </w:rPr>
      </w:pPr>
      <w:r>
        <w:t xml:space="preserve">1 </w:t>
      </w:r>
      <w:proofErr w:type="spellStart"/>
      <w:r w:rsidR="00146498" w:rsidRPr="00146498">
        <w:rPr>
          <w:i/>
          <w:iCs/>
        </w:rPr>
        <w:t>quinquies</w:t>
      </w:r>
      <w:proofErr w:type="spellEnd"/>
      <w:r w:rsidR="00592307">
        <w:t>)</w:t>
      </w:r>
      <w:r w:rsidR="00146498">
        <w:tab/>
        <w:t xml:space="preserve">"sacs en plastique très légers", les sacs en plastique d'une épaisseur inférieure à 15 microns nécessaires à des fins d'hygiène ou fournis comme emballage </w:t>
      </w:r>
      <w:r w:rsidR="00087D67">
        <w:t xml:space="preserve">primaire </w:t>
      </w:r>
      <w:r w:rsidR="00146498">
        <w:t xml:space="preserve">pour les denrées alimentaires en vrac lorsque que cela contribue à </w:t>
      </w:r>
      <w:r w:rsidR="00E74AF7">
        <w:t xml:space="preserve">prévenir </w:t>
      </w:r>
      <w:r w:rsidR="00087D67">
        <w:t>le gaspillage</w:t>
      </w:r>
      <w:r w:rsidR="00146498">
        <w:t xml:space="preserve"> alimentaire</w:t>
      </w:r>
      <w:r w:rsidR="00592307">
        <w:t>;</w:t>
      </w:r>
    </w:p>
    <w:p w:rsidR="00146498" w:rsidRDefault="008663AC" w:rsidP="002D12FD">
      <w:pPr>
        <w:pStyle w:val="Point1"/>
      </w:pPr>
      <w:r>
        <w:br w:type="page"/>
      </w:r>
      <w:r w:rsidR="002D12FD">
        <w:t xml:space="preserve">1 </w:t>
      </w:r>
      <w:proofErr w:type="spellStart"/>
      <w:r w:rsidR="00146498" w:rsidRPr="00146498">
        <w:rPr>
          <w:i/>
          <w:iCs/>
        </w:rPr>
        <w:t>sexies</w:t>
      </w:r>
      <w:proofErr w:type="spellEnd"/>
      <w:r w:rsidR="00592307">
        <w:t>)</w:t>
      </w:r>
      <w:r w:rsidR="00146498">
        <w:tab/>
        <w:t xml:space="preserve">"sacs en plastique oxodégradables", les sacs en plastique </w:t>
      </w:r>
      <w:r w:rsidR="0050762B">
        <w:t xml:space="preserve">composés de matières plastiques </w:t>
      </w:r>
      <w:r w:rsidR="00146498">
        <w:t>contenant des additifs qui catalysent la fragmentation des matières plastiques en micro-fragments.</w:t>
      </w:r>
    </w:p>
    <w:p w:rsidR="00506598" w:rsidRPr="00506598" w:rsidRDefault="00146498" w:rsidP="00506598">
      <w:pPr>
        <w:pStyle w:val="Text1"/>
      </w:pPr>
      <w:r w:rsidRPr="00506598">
        <w:t>________________</w:t>
      </w:r>
    </w:p>
    <w:p w:rsidR="00146498" w:rsidRPr="00FC6A87" w:rsidRDefault="00592307" w:rsidP="00506598">
      <w:pPr>
        <w:pStyle w:val="Point1"/>
        <w:spacing w:line="240" w:lineRule="auto"/>
        <w:rPr>
          <w:rFonts w:eastAsia="Calibri"/>
        </w:rPr>
      </w:pPr>
      <w:r>
        <w:rPr>
          <w:rFonts w:eastAsia="Calibri"/>
        </w:rPr>
        <w:t>*</w:t>
      </w:r>
      <w:r w:rsidR="00506598">
        <w:rPr>
          <w:rFonts w:eastAsia="Calibri"/>
        </w:rPr>
        <w:tab/>
      </w:r>
      <w:r w:rsidR="00146498" w:rsidRPr="00146498">
        <w:rPr>
          <w:rFonts w:eastAsia="Calibri"/>
        </w:rPr>
        <w:t>Règlement (CE) n</w:t>
      </w:r>
      <w:r w:rsidR="00C463BD">
        <w:rPr>
          <w:rFonts w:eastAsia="Calibri"/>
        </w:rPr>
        <w:t>°</w:t>
      </w:r>
      <w:r w:rsidR="00146498" w:rsidRPr="00146498">
        <w:rPr>
          <w:rFonts w:eastAsia="Calibri"/>
        </w:rPr>
        <w:t xml:space="preserve">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w:t>
      </w:r>
      <w:r>
        <w:rPr>
          <w:rFonts w:eastAsia="Calibri"/>
        </w:rPr>
        <w:t>°</w:t>
      </w:r>
      <w:r w:rsidR="00146498" w:rsidRPr="00146498">
        <w:rPr>
          <w:rFonts w:eastAsia="Calibri"/>
        </w:rPr>
        <w:t xml:space="preserve"> 793/93 du Conseil et le règlement (CE) n</w:t>
      </w:r>
      <w:r w:rsidR="00C463BD">
        <w:rPr>
          <w:rFonts w:eastAsia="Calibri"/>
        </w:rPr>
        <w:t>°</w:t>
      </w:r>
      <w:r w:rsidR="00146498" w:rsidRPr="00146498">
        <w:rPr>
          <w:rFonts w:eastAsia="Calibri"/>
        </w:rPr>
        <w:t xml:space="preserve"> 1488/94 de la Commission ainsi que la directive 76/769/CEE du Conseil et les directives 91/155/CEE, 93/67/CEE, 93/105/CE et 2000/21/CE de la Commission</w:t>
      </w:r>
      <w:r w:rsidR="00146498">
        <w:rPr>
          <w:rFonts w:eastAsia="Calibri"/>
        </w:rPr>
        <w:t xml:space="preserve"> (</w:t>
      </w:r>
      <w:r w:rsidR="00146498" w:rsidRPr="00146498">
        <w:rPr>
          <w:rFonts w:eastAsia="Calibri"/>
        </w:rPr>
        <w:t>JO L 396 du 30.12.2006, p. 1</w:t>
      </w:r>
      <w:r w:rsidR="00146498">
        <w:rPr>
          <w:rFonts w:eastAsia="Calibri"/>
        </w:rPr>
        <w:t>).</w:t>
      </w:r>
      <w:r>
        <w:rPr>
          <w:rFonts w:eastAsia="Calibri"/>
        </w:rPr>
        <w:t>".</w:t>
      </w:r>
    </w:p>
    <w:p w:rsidR="00146498" w:rsidRPr="00146498" w:rsidRDefault="00146498" w:rsidP="00592307">
      <w:pPr>
        <w:pStyle w:val="ManualNumPar1"/>
      </w:pPr>
      <w:r>
        <w:t>2)</w:t>
      </w:r>
      <w:r>
        <w:tab/>
        <w:t xml:space="preserve">À l'article 4, </w:t>
      </w:r>
      <w:r w:rsidRPr="00146498">
        <w:t xml:space="preserve">les </w:t>
      </w:r>
      <w:r>
        <w:t>paragraphe</w:t>
      </w:r>
      <w:r w:rsidRPr="00146498">
        <w:t>s</w:t>
      </w:r>
      <w:r>
        <w:t xml:space="preserve"> suivants </w:t>
      </w:r>
      <w:r w:rsidRPr="00146498">
        <w:t xml:space="preserve">sont </w:t>
      </w:r>
      <w:r>
        <w:t>insérés:</w:t>
      </w:r>
    </w:p>
    <w:p w:rsidR="00146498" w:rsidRPr="00146498" w:rsidRDefault="00146498" w:rsidP="004533BD">
      <w:pPr>
        <w:pStyle w:val="Point1"/>
      </w:pPr>
      <w:r>
        <w:t>"1</w:t>
      </w:r>
      <w:r w:rsidR="004533BD">
        <w:t>.</w:t>
      </w:r>
      <w:r w:rsidRPr="00146498">
        <w:rPr>
          <w:i/>
          <w:iCs/>
        </w:rPr>
        <w:t>bis</w:t>
      </w:r>
      <w:r>
        <w:t>.</w:t>
      </w:r>
      <w:r>
        <w:tab/>
        <w:t xml:space="preserve">Les États membres prennent des mesures visant à réduire </w:t>
      </w:r>
      <w:r w:rsidRPr="00146498">
        <w:t xml:space="preserve">durablement </w:t>
      </w:r>
      <w:r>
        <w:t>la consommation de sacs en plastique légers sur leur territoire.</w:t>
      </w:r>
    </w:p>
    <w:p w:rsidR="00146498" w:rsidRPr="00C90520" w:rsidRDefault="00146498" w:rsidP="004533BD">
      <w:pPr>
        <w:pStyle w:val="Text1"/>
        <w:rPr>
          <w:rFonts w:eastAsia="Calibri" w:cs="Arial"/>
          <w:noProof/>
          <w:szCs w:val="22"/>
        </w:rPr>
      </w:pPr>
      <w:r>
        <w:t xml:space="preserve">Ces mesures peuvent comprendre l'établissement d'objectifs nationaux de réduction, </w:t>
      </w:r>
      <w:r w:rsidRPr="00BF14F9">
        <w:rPr>
          <w:noProof/>
        </w:rPr>
        <w:t>le maintien ou la mise en place</w:t>
      </w:r>
      <w:r>
        <w:t xml:space="preserve"> d'instruments économiques, ainsi que des restrictions à la commercialisation par dérogation à l'article 18 de la présente directive</w:t>
      </w:r>
      <w:r>
        <w:rPr>
          <w:b/>
          <w:noProof/>
        </w:rPr>
        <w:t xml:space="preserve">, </w:t>
      </w:r>
      <w:r w:rsidRPr="00BF14F9">
        <w:rPr>
          <w:noProof/>
        </w:rPr>
        <w:t>à condition que ces restrictions aient un caractère proportionné et non discriminatoire</w:t>
      </w:r>
      <w:r>
        <w:t>.</w:t>
      </w:r>
    </w:p>
    <w:p w:rsidR="00146498" w:rsidRPr="00146498" w:rsidRDefault="00146498" w:rsidP="004533BD">
      <w:pPr>
        <w:pStyle w:val="Text1"/>
        <w:rPr>
          <w:rFonts w:eastAsia="Calibri"/>
        </w:rPr>
      </w:pPr>
      <w:r w:rsidRPr="00146498">
        <w:t xml:space="preserve">Ces mesures peuvent varier en fonction des </w:t>
      </w:r>
      <w:r w:rsidR="00377335">
        <w:t>incidences sur</w:t>
      </w:r>
      <w:r w:rsidRPr="00146498">
        <w:t xml:space="preserve"> l'environnement qu'ont les sacs en plastique légers lorsqu'ils sont valorisés ou éliminés, de leurs propriétés de compostage, de leur durabilité ou de la spécificité de leur utilisation prévue.</w:t>
      </w:r>
    </w:p>
    <w:p w:rsidR="00146498" w:rsidRPr="00BF14F9" w:rsidRDefault="008663AC" w:rsidP="00E74AF7">
      <w:pPr>
        <w:pStyle w:val="Text1"/>
        <w:rPr>
          <w:rFonts w:eastAsia="Calibri" w:cs="Arial"/>
          <w:noProof/>
          <w:szCs w:val="22"/>
        </w:rPr>
      </w:pPr>
      <w:r>
        <w:rPr>
          <w:b/>
          <w:noProof/>
        </w:rPr>
        <w:br w:type="page"/>
      </w:r>
      <w:r w:rsidR="00146498" w:rsidRPr="00BF14F9">
        <w:rPr>
          <w:noProof/>
        </w:rPr>
        <w:t xml:space="preserve">Les mesures prises par les États membres </w:t>
      </w:r>
      <w:r w:rsidR="00E74AF7">
        <w:rPr>
          <w:noProof/>
        </w:rPr>
        <w:t>comprenn</w:t>
      </w:r>
      <w:r w:rsidR="00E74AF7" w:rsidRPr="00BF14F9">
        <w:rPr>
          <w:noProof/>
        </w:rPr>
        <w:t xml:space="preserve">ent </w:t>
      </w:r>
      <w:r w:rsidR="00146498" w:rsidRPr="00BF14F9">
        <w:rPr>
          <w:noProof/>
        </w:rPr>
        <w:t>l'une ou l'autre des mesures suivantes, ou les deux:</w:t>
      </w:r>
    </w:p>
    <w:p w:rsidR="00146498" w:rsidRPr="00377335" w:rsidRDefault="00146498" w:rsidP="00506598">
      <w:pPr>
        <w:pStyle w:val="Point1"/>
        <w:rPr>
          <w:rFonts w:eastAsia="Calibri" w:cs="Arial"/>
          <w:noProof/>
          <w:szCs w:val="22"/>
        </w:rPr>
      </w:pPr>
      <w:r w:rsidRPr="00BF14F9">
        <w:rPr>
          <w:noProof/>
        </w:rPr>
        <w:t>a)</w:t>
      </w:r>
      <w:r w:rsidRPr="00377335">
        <w:tab/>
      </w:r>
      <w:r w:rsidRPr="00BF14F9">
        <w:rPr>
          <w:noProof/>
        </w:rPr>
        <w:t xml:space="preserve">l'adoption de mesures garantissant que le niveau de la consommation annuelle ne dépasse par </w:t>
      </w:r>
      <w:r w:rsidR="00377335">
        <w:rPr>
          <w:noProof/>
        </w:rPr>
        <w:t>90</w:t>
      </w:r>
      <w:r w:rsidR="00B96443" w:rsidRPr="00377335">
        <w:rPr>
          <w:noProof/>
        </w:rPr>
        <w:t xml:space="preserve"> </w:t>
      </w:r>
      <w:r w:rsidRPr="00377335">
        <w:rPr>
          <w:noProof/>
        </w:rPr>
        <w:t>sacs en plastique léger</w:t>
      </w:r>
      <w:r w:rsidR="00B96443" w:rsidRPr="00377335">
        <w:rPr>
          <w:noProof/>
        </w:rPr>
        <w:t>s</w:t>
      </w:r>
      <w:r w:rsidRPr="00377335">
        <w:rPr>
          <w:noProof/>
        </w:rPr>
        <w:t xml:space="preserve"> par </w:t>
      </w:r>
      <w:r w:rsidR="00B96443" w:rsidRPr="00377335">
        <w:rPr>
          <w:noProof/>
        </w:rPr>
        <w:t>personne</w:t>
      </w:r>
      <w:r w:rsidRPr="00377335">
        <w:rPr>
          <w:noProof/>
        </w:rPr>
        <w:t xml:space="preserve"> au 31 décembre 2019 et </w:t>
      </w:r>
      <w:r w:rsidR="00377335">
        <w:rPr>
          <w:noProof/>
        </w:rPr>
        <w:t>40</w:t>
      </w:r>
      <w:r w:rsidR="00377335" w:rsidRPr="00377335">
        <w:rPr>
          <w:noProof/>
        </w:rPr>
        <w:t xml:space="preserve"> </w:t>
      </w:r>
      <w:r w:rsidRPr="00377335">
        <w:rPr>
          <w:noProof/>
        </w:rPr>
        <w:t>sacs en plastique léger</w:t>
      </w:r>
      <w:r w:rsidR="00B96443" w:rsidRPr="00377335">
        <w:rPr>
          <w:noProof/>
        </w:rPr>
        <w:t>s</w:t>
      </w:r>
      <w:r w:rsidRPr="00377335">
        <w:rPr>
          <w:noProof/>
        </w:rPr>
        <w:t xml:space="preserve"> par </w:t>
      </w:r>
      <w:r w:rsidR="00B96443" w:rsidRPr="00377335">
        <w:rPr>
          <w:noProof/>
        </w:rPr>
        <w:t>personne</w:t>
      </w:r>
      <w:r w:rsidRPr="00377335">
        <w:rPr>
          <w:noProof/>
        </w:rPr>
        <w:t xml:space="preserve"> au 31 décembre 2025</w:t>
      </w:r>
      <w:r w:rsidR="00B10CBB">
        <w:rPr>
          <w:noProof/>
        </w:rPr>
        <w:t>,</w:t>
      </w:r>
      <w:r w:rsidRPr="00377335">
        <w:rPr>
          <w:noProof/>
        </w:rPr>
        <w:t xml:space="preserve"> ou la fixation d'objectifs équivalents en poids. Les sacs en plastique très légers peuvent être exclus des objectifs de consommations nationaux;</w:t>
      </w:r>
    </w:p>
    <w:p w:rsidR="00146498" w:rsidRPr="00377335" w:rsidRDefault="00146498" w:rsidP="00506598">
      <w:pPr>
        <w:pStyle w:val="Point1"/>
        <w:rPr>
          <w:rFonts w:eastAsia="Calibri" w:cs="Arial"/>
          <w:noProof/>
          <w:szCs w:val="22"/>
        </w:rPr>
      </w:pPr>
      <w:r w:rsidRPr="00377335">
        <w:rPr>
          <w:noProof/>
        </w:rPr>
        <w:t>b)</w:t>
      </w:r>
      <w:r w:rsidRPr="00377335">
        <w:tab/>
      </w:r>
      <w:r w:rsidRPr="00377335">
        <w:rPr>
          <w:noProof/>
        </w:rPr>
        <w:t xml:space="preserve">l'adoption d'instruments garantissant que, au 31 décembre 2018, aucun sac en plastique léger n'est fourni gratuitement dans les points de vente de marchandises ou de produits, sauf si des instruments d'une efficacité égale sont mis en œuvre. Les sacs en plastique très légers peuvent être exclus du champ d'application de ces </w:t>
      </w:r>
      <w:r w:rsidR="00EE586D">
        <w:rPr>
          <w:noProof/>
        </w:rPr>
        <w:t>mesure</w:t>
      </w:r>
      <w:r w:rsidR="00EE586D" w:rsidRPr="00377335">
        <w:rPr>
          <w:noProof/>
        </w:rPr>
        <w:t>s</w:t>
      </w:r>
      <w:r w:rsidRPr="00377335">
        <w:rPr>
          <w:noProof/>
        </w:rPr>
        <w:t>.</w:t>
      </w:r>
    </w:p>
    <w:p w:rsidR="00146498" w:rsidRPr="00377335" w:rsidRDefault="00146498" w:rsidP="00EE586D">
      <w:pPr>
        <w:pStyle w:val="Text1"/>
        <w:rPr>
          <w:rFonts w:eastAsia="Calibri" w:cs="Arial"/>
          <w:noProof/>
          <w:szCs w:val="22"/>
          <w:u w:val="single"/>
        </w:rPr>
      </w:pPr>
      <w:r w:rsidRPr="00377335">
        <w:rPr>
          <w:noProof/>
        </w:rPr>
        <w:t>À compter du…</w:t>
      </w:r>
      <w:r w:rsidR="00B10CBB">
        <w:rPr>
          <w:rStyle w:val="FootnoteReference"/>
          <w:noProof/>
        </w:rPr>
        <w:footnoteReference w:customMarkFollows="1" w:id="7"/>
        <w:t>+</w:t>
      </w:r>
      <w:r w:rsidRPr="00377335">
        <w:t xml:space="preserve">, les États membres déclarent </w:t>
      </w:r>
      <w:r w:rsidRPr="00377335">
        <w:rPr>
          <w:noProof/>
        </w:rPr>
        <w:t>la consommation annuelle de sacs en plastique légers</w:t>
      </w:r>
      <w:r w:rsidRPr="00377335">
        <w:t xml:space="preserve"> lorsqu'ils </w:t>
      </w:r>
      <w:r w:rsidR="00EE586D">
        <w:t>communiquent</w:t>
      </w:r>
      <w:r w:rsidRPr="00377335">
        <w:t xml:space="preserve"> à la Commission</w:t>
      </w:r>
      <w:r w:rsidR="00EE586D">
        <w:t xml:space="preserve"> des données </w:t>
      </w:r>
      <w:r w:rsidR="00EE586D" w:rsidRPr="00EE586D">
        <w:t xml:space="preserve">sur les emballages et déchets d'emballages </w:t>
      </w:r>
      <w:r w:rsidRPr="00377335">
        <w:t xml:space="preserve">conformément à l'article </w:t>
      </w:r>
      <w:r w:rsidRPr="00377335">
        <w:rPr>
          <w:noProof/>
        </w:rPr>
        <w:t>1</w:t>
      </w:r>
      <w:r w:rsidR="00EE586D">
        <w:rPr>
          <w:noProof/>
        </w:rPr>
        <w:t>2</w:t>
      </w:r>
      <w:r w:rsidRPr="00377335">
        <w:t xml:space="preserve"> de la présente directive.</w:t>
      </w:r>
    </w:p>
    <w:p w:rsidR="00146498" w:rsidRPr="00BF14F9" w:rsidRDefault="00146498" w:rsidP="00377335">
      <w:pPr>
        <w:pStyle w:val="Text1"/>
        <w:rPr>
          <w:rFonts w:eastAsia="Calibri" w:cs="Arial"/>
          <w:noProof/>
          <w:szCs w:val="22"/>
        </w:rPr>
      </w:pPr>
      <w:r w:rsidRPr="00377335">
        <w:rPr>
          <w:noProof/>
        </w:rPr>
        <w:t>Au plus tard le ...</w:t>
      </w:r>
      <w:r w:rsidR="00B10CBB">
        <w:rPr>
          <w:rStyle w:val="FootnoteReference"/>
          <w:noProof/>
        </w:rPr>
        <w:footnoteReference w:customMarkFollows="1" w:id="8"/>
        <w:t>++</w:t>
      </w:r>
      <w:r w:rsidRPr="00377335">
        <w:rPr>
          <w:noProof/>
        </w:rPr>
        <w:t xml:space="preserve">, la Commission adopte un acte d'exécution définissant la méthode de calcul de la consommation annuelle de sacs en plastique légers par personne et adaptant les </w:t>
      </w:r>
      <w:r w:rsidR="00377335">
        <w:rPr>
          <w:noProof/>
        </w:rPr>
        <w:t>formats</w:t>
      </w:r>
      <w:r w:rsidR="00377335" w:rsidRPr="00377335">
        <w:rPr>
          <w:noProof/>
        </w:rPr>
        <w:t xml:space="preserve"> </w:t>
      </w:r>
      <w:r w:rsidR="000953C4">
        <w:rPr>
          <w:noProof/>
        </w:rPr>
        <w:t xml:space="preserve">de déclaration </w:t>
      </w:r>
      <w:r w:rsidR="00377335">
        <w:rPr>
          <w:noProof/>
        </w:rPr>
        <w:t>arrêtés</w:t>
      </w:r>
      <w:r w:rsidRPr="00377335">
        <w:rPr>
          <w:noProof/>
        </w:rPr>
        <w:t xml:space="preserve"> en application de l'article 12, paragraphe 3. Cet acte d'exécution est adopté en conformité avec la procédure </w:t>
      </w:r>
      <w:r w:rsidR="00E42310" w:rsidRPr="00377335">
        <w:rPr>
          <w:noProof/>
        </w:rPr>
        <w:t xml:space="preserve">de réglementation </w:t>
      </w:r>
      <w:r w:rsidRPr="00BF14F9">
        <w:rPr>
          <w:noProof/>
        </w:rPr>
        <w:t>visée à l'article 21, paragraphe 2.</w:t>
      </w:r>
    </w:p>
    <w:p w:rsidR="00146498" w:rsidRPr="00BF14F9" w:rsidRDefault="008663AC" w:rsidP="004533BD">
      <w:pPr>
        <w:pStyle w:val="Point1"/>
        <w:rPr>
          <w:rFonts w:eastAsia="Calibri" w:cs="Arial"/>
          <w:iCs/>
          <w:noProof/>
          <w:szCs w:val="22"/>
        </w:rPr>
      </w:pPr>
      <w:r>
        <w:rPr>
          <w:b/>
          <w:noProof/>
        </w:rPr>
        <w:br w:type="page"/>
      </w:r>
      <w:r w:rsidR="00146498" w:rsidRPr="00BF14F9">
        <w:rPr>
          <w:noProof/>
        </w:rPr>
        <w:t xml:space="preserve">1 </w:t>
      </w:r>
      <w:r w:rsidR="00146498" w:rsidRPr="008A5EDA">
        <w:rPr>
          <w:i/>
          <w:iCs/>
          <w:noProof/>
        </w:rPr>
        <w:t>ter</w:t>
      </w:r>
      <w:r w:rsidR="00146498" w:rsidRPr="00BF14F9">
        <w:rPr>
          <w:noProof/>
        </w:rPr>
        <w:t>.</w:t>
      </w:r>
      <w:r w:rsidR="00506598">
        <w:rPr>
          <w:noProof/>
        </w:rPr>
        <w:tab/>
      </w:r>
      <w:r w:rsidR="00146498" w:rsidRPr="00BF14F9">
        <w:rPr>
          <w:noProof/>
        </w:rPr>
        <w:t xml:space="preserve">Sans </w:t>
      </w:r>
      <w:r w:rsidR="00146498" w:rsidRPr="00BF14F9">
        <w:t>préjudice</w:t>
      </w:r>
      <w:r w:rsidR="00146498" w:rsidRPr="00BF14F9">
        <w:rPr>
          <w:noProof/>
        </w:rPr>
        <w:t xml:space="preserve"> de l'article 15, les États membres peuvent adopter des mesures telles que des instruments économiques </w:t>
      </w:r>
      <w:r w:rsidR="00D6107D">
        <w:rPr>
          <w:noProof/>
        </w:rPr>
        <w:t>et</w:t>
      </w:r>
      <w:r w:rsidR="00D6107D" w:rsidRPr="00BF14F9">
        <w:rPr>
          <w:noProof/>
        </w:rPr>
        <w:t xml:space="preserve"> </w:t>
      </w:r>
      <w:r w:rsidR="00146498" w:rsidRPr="00BF14F9">
        <w:rPr>
          <w:noProof/>
        </w:rPr>
        <w:t>des objectifs nationaux de réduction, pour tout type de sacs en plastique, quelle que soit leur épaisseur.</w:t>
      </w:r>
    </w:p>
    <w:p w:rsidR="00146498" w:rsidRPr="00BF14F9" w:rsidRDefault="00146498" w:rsidP="008A5EDA">
      <w:pPr>
        <w:pStyle w:val="Point1"/>
        <w:rPr>
          <w:rFonts w:eastAsia="Calibri" w:cs="Arial"/>
          <w:iCs/>
          <w:szCs w:val="22"/>
        </w:rPr>
      </w:pPr>
      <w:r w:rsidRPr="00BF14F9">
        <w:t xml:space="preserve">1 </w:t>
      </w:r>
      <w:r w:rsidRPr="008A5EDA">
        <w:rPr>
          <w:i/>
          <w:iCs/>
        </w:rPr>
        <w:t>quater</w:t>
      </w:r>
      <w:r w:rsidRPr="00BF14F9">
        <w:t>.</w:t>
      </w:r>
      <w:r w:rsidR="00506598">
        <w:tab/>
      </w:r>
      <w:r w:rsidRPr="00CE6B9F">
        <w:t xml:space="preserve">La Commission et les États </w:t>
      </w:r>
      <w:r w:rsidRPr="00CE6B9F">
        <w:rPr>
          <w:noProof/>
        </w:rPr>
        <w:t>membres</w:t>
      </w:r>
      <w:r w:rsidRPr="00CE6B9F">
        <w:t xml:space="preserve"> encouragent activement, au moins pendant la première année </w:t>
      </w:r>
      <w:r w:rsidRPr="00CE6B9F">
        <w:rPr>
          <w:noProof/>
        </w:rPr>
        <w:t>suivant</w:t>
      </w:r>
      <w:r w:rsidRPr="00CE6B9F">
        <w:t xml:space="preserve"> le …</w:t>
      </w:r>
      <w:r w:rsidR="008A5EDA">
        <w:rPr>
          <w:rStyle w:val="FootnoteReference"/>
          <w:b w:val="0"/>
        </w:rPr>
        <w:footnoteReference w:customMarkFollows="1" w:id="9"/>
        <w:t>+</w:t>
      </w:r>
      <w:r w:rsidRPr="00BF14F9">
        <w:t xml:space="preserve">, les campagnes d'information et de sensibilisation du public concernant les </w:t>
      </w:r>
      <w:r w:rsidR="00CE6B9F">
        <w:t>incidences</w:t>
      </w:r>
      <w:r w:rsidR="00CE6B9F" w:rsidRPr="00BF14F9">
        <w:t xml:space="preserve"> </w:t>
      </w:r>
      <w:r w:rsidRPr="00BF14F9">
        <w:t>néfastes pour l'environnement d'une </w:t>
      </w:r>
      <w:r w:rsidR="00FC361E">
        <w:t>consommation</w:t>
      </w:r>
      <w:r w:rsidR="00FC361E" w:rsidRPr="00BF14F9">
        <w:t xml:space="preserve"> </w:t>
      </w:r>
      <w:r w:rsidRPr="00BF14F9">
        <w:t>excessive des sacs en plastique légers</w:t>
      </w:r>
      <w:r w:rsidRPr="00CE6B9F">
        <w:t>.</w:t>
      </w:r>
      <w:r w:rsidR="00E42310" w:rsidRPr="00CE6B9F">
        <w:t>".</w:t>
      </w:r>
    </w:p>
    <w:p w:rsidR="00146498" w:rsidRDefault="00D1285A" w:rsidP="00CE6B9F">
      <w:pPr>
        <w:pStyle w:val="ManualNumPar1"/>
      </w:pPr>
      <w:r>
        <w:t>3</w:t>
      </w:r>
      <w:r w:rsidR="007050B5">
        <w:t>)</w:t>
      </w:r>
      <w:r w:rsidR="00146498">
        <w:tab/>
        <w:t>L'</w:t>
      </w:r>
      <w:r w:rsidR="00146498" w:rsidRPr="00CE6B9F">
        <w:t xml:space="preserve">article </w:t>
      </w:r>
      <w:r w:rsidR="00146498">
        <w:t>suivant</w:t>
      </w:r>
      <w:r w:rsidR="00146498" w:rsidRPr="00CE6B9F">
        <w:t xml:space="preserve"> est inséré:</w:t>
      </w:r>
    </w:p>
    <w:p w:rsidR="00FC361E" w:rsidRPr="00506598" w:rsidRDefault="00146498" w:rsidP="00506598">
      <w:pPr>
        <w:pStyle w:val="Text1"/>
        <w:rPr>
          <w:i/>
          <w:iCs/>
        </w:rPr>
      </w:pPr>
      <w:r>
        <w:t>"</w:t>
      </w:r>
      <w:r w:rsidRPr="00506598">
        <w:rPr>
          <w:i/>
          <w:iCs/>
        </w:rPr>
        <w:t>Article 8 bis</w:t>
      </w:r>
      <w:r w:rsidR="00506598" w:rsidRPr="00506598">
        <w:rPr>
          <w:i/>
          <w:iCs/>
        </w:rPr>
        <w:br/>
      </w:r>
      <w:r w:rsidR="003C4B1B" w:rsidRPr="00506598">
        <w:rPr>
          <w:i/>
          <w:iCs/>
        </w:rPr>
        <w:t>Mesures spécifiques</w:t>
      </w:r>
      <w:r w:rsidR="00FC361E" w:rsidRPr="00506598">
        <w:rPr>
          <w:i/>
          <w:iCs/>
        </w:rPr>
        <w:t xml:space="preserve"> pour les sacs en plastique biodégradables et </w:t>
      </w:r>
      <w:proofErr w:type="spellStart"/>
      <w:r w:rsidR="00FC361E" w:rsidRPr="00506598">
        <w:rPr>
          <w:i/>
          <w:iCs/>
        </w:rPr>
        <w:t>compostables</w:t>
      </w:r>
      <w:proofErr w:type="spellEnd"/>
    </w:p>
    <w:p w:rsidR="00146498" w:rsidRPr="00C90520" w:rsidRDefault="00146498" w:rsidP="00506598">
      <w:pPr>
        <w:pStyle w:val="Text1"/>
        <w:rPr>
          <w:rFonts w:eastAsia="Calibri" w:cs="Arial"/>
          <w:noProof/>
          <w:szCs w:val="22"/>
        </w:rPr>
      </w:pPr>
      <w:r>
        <w:t>Au plus tard le...</w:t>
      </w:r>
      <w:r w:rsidR="00D6107D">
        <w:rPr>
          <w:rStyle w:val="FootnoteReference"/>
        </w:rPr>
        <w:footnoteReference w:customMarkFollows="1" w:id="10"/>
        <w:t>++</w:t>
      </w:r>
      <w:r>
        <w:t xml:space="preserve">, la Commission adopte un acte d'exécution définissant les spécifications </w:t>
      </w:r>
      <w:r w:rsidR="001D37F7">
        <w:t>d'</w:t>
      </w:r>
      <w:r>
        <w:t xml:space="preserve">étiquetages ou </w:t>
      </w:r>
      <w:r w:rsidR="001D37F7">
        <w:t xml:space="preserve">de </w:t>
      </w:r>
      <w:r>
        <w:t xml:space="preserve">marquages </w:t>
      </w:r>
      <w:r w:rsidR="001D37F7">
        <w:t>qui permettent</w:t>
      </w:r>
      <w:r>
        <w:t xml:space="preserve"> de reconnaître dans toute l'Union les sacs en plastique biodégradables et </w:t>
      </w:r>
      <w:proofErr w:type="spellStart"/>
      <w:r>
        <w:t>compostables</w:t>
      </w:r>
      <w:proofErr w:type="spellEnd"/>
      <w:r>
        <w:t xml:space="preserve"> et de fournir aux consommateurs les informations exactes concernant les propriétés de compostage de ces sacs. Cet acte d'exécution est adopté en conformité avec la procédure </w:t>
      </w:r>
      <w:r w:rsidR="007050B5">
        <w:t xml:space="preserve">de réglementation </w:t>
      </w:r>
      <w:r>
        <w:t>visée à l'article 21, paragraphe 2.</w:t>
      </w:r>
    </w:p>
    <w:p w:rsidR="00146498" w:rsidRPr="00146498" w:rsidRDefault="00146498" w:rsidP="007050B5">
      <w:pPr>
        <w:pStyle w:val="Text1"/>
      </w:pPr>
      <w:r>
        <w:br w:type="page"/>
        <w:t xml:space="preserve">Au plus tard 18 mois après l'adoption </w:t>
      </w:r>
      <w:r w:rsidR="00CE6B9F">
        <w:t xml:space="preserve">dudit </w:t>
      </w:r>
      <w:r>
        <w:t>acte d'exécution, l</w:t>
      </w:r>
      <w:r w:rsidRPr="00146498">
        <w:t xml:space="preserve">es États membres </w:t>
      </w:r>
      <w:r w:rsidR="00CE6B9F">
        <w:t xml:space="preserve">veillent à ce </w:t>
      </w:r>
      <w:r w:rsidRPr="00146498">
        <w:t xml:space="preserve">que les sacs en plastique biodégradables et </w:t>
      </w:r>
      <w:proofErr w:type="spellStart"/>
      <w:r w:rsidRPr="00146498">
        <w:t>compostables</w:t>
      </w:r>
      <w:proofErr w:type="spellEnd"/>
      <w:r w:rsidRPr="00146498">
        <w:t xml:space="preserve"> soient étiquetés conformément aux spécifications </w:t>
      </w:r>
      <w:r w:rsidR="007050B5">
        <w:t>prévue</w:t>
      </w:r>
      <w:r w:rsidR="007050B5" w:rsidRPr="00146498">
        <w:t xml:space="preserve">s </w:t>
      </w:r>
      <w:r w:rsidRPr="00146498">
        <w:t>dans ledit acte d'exécution.</w:t>
      </w:r>
      <w:r w:rsidR="007050B5">
        <w:t>".</w:t>
      </w:r>
    </w:p>
    <w:p w:rsidR="00146498" w:rsidRPr="00146498" w:rsidRDefault="003C4B1B" w:rsidP="00CE6B9F">
      <w:pPr>
        <w:pStyle w:val="ManualNumPar1"/>
      </w:pPr>
      <w:r>
        <w:t>4</w:t>
      </w:r>
      <w:r w:rsidR="007050B5">
        <w:t>)</w:t>
      </w:r>
      <w:r w:rsidR="00146498">
        <w:tab/>
      </w:r>
      <w:r w:rsidR="00146498" w:rsidRPr="00146498">
        <w:t>L'article suivant est inséré:</w:t>
      </w:r>
    </w:p>
    <w:p w:rsidR="00FC361E" w:rsidRPr="00506598" w:rsidRDefault="00146498" w:rsidP="00506598">
      <w:pPr>
        <w:pStyle w:val="Text1"/>
        <w:rPr>
          <w:rFonts w:eastAsia="Calibri" w:cs="Arial"/>
          <w:i/>
          <w:iCs/>
          <w:szCs w:val="22"/>
        </w:rPr>
      </w:pPr>
      <w:r w:rsidRPr="00BF14F9">
        <w:t>"</w:t>
      </w:r>
      <w:r w:rsidRPr="00506598">
        <w:rPr>
          <w:i/>
          <w:iCs/>
        </w:rPr>
        <w:t>Article 20 bis</w:t>
      </w:r>
      <w:r w:rsidR="00506598" w:rsidRPr="00506598">
        <w:rPr>
          <w:i/>
          <w:iCs/>
        </w:rPr>
        <w:br/>
      </w:r>
      <w:r w:rsidR="00FC361E" w:rsidRPr="00506598">
        <w:rPr>
          <w:i/>
          <w:iCs/>
        </w:rPr>
        <w:t xml:space="preserve">Rapport sur </w:t>
      </w:r>
      <w:r w:rsidR="003C4B1B" w:rsidRPr="00506598">
        <w:rPr>
          <w:i/>
          <w:iCs/>
        </w:rPr>
        <w:t>les</w:t>
      </w:r>
      <w:r w:rsidR="00FC361E" w:rsidRPr="00506598">
        <w:rPr>
          <w:i/>
          <w:iCs/>
        </w:rPr>
        <w:t xml:space="preserve"> sacs en plastique</w:t>
      </w:r>
    </w:p>
    <w:p w:rsidR="00146498" w:rsidRPr="00C90520" w:rsidRDefault="00146498" w:rsidP="00592307">
      <w:pPr>
        <w:pStyle w:val="Point1"/>
        <w:rPr>
          <w:rFonts w:eastAsia="Calibri" w:cs="Arial"/>
          <w:noProof/>
          <w:szCs w:val="22"/>
        </w:rPr>
      </w:pPr>
      <w:r>
        <w:t>1.</w:t>
      </w:r>
      <w:r>
        <w:tab/>
      </w:r>
      <w:r>
        <w:rPr>
          <w:noProof/>
        </w:rPr>
        <w:t>Le ...</w:t>
      </w:r>
      <w:r w:rsidR="00D6107D">
        <w:rPr>
          <w:rStyle w:val="FootnoteReference"/>
          <w:noProof/>
        </w:rPr>
        <w:footnoteReference w:customMarkFollows="1" w:id="11"/>
        <w:t>+</w:t>
      </w:r>
      <w:r w:rsidRPr="007E4C02">
        <w:rPr>
          <w:noProof/>
        </w:rPr>
        <w:t xml:space="preserve"> </w:t>
      </w:r>
      <w:r>
        <w:rPr>
          <w:noProof/>
        </w:rPr>
        <w:t xml:space="preserve">au plus tard, la Commission présente au Parlement européen et au Conseil un rapport </w:t>
      </w:r>
      <w:r w:rsidR="00CE6B9F">
        <w:rPr>
          <w:noProof/>
        </w:rPr>
        <w:t>évaluant</w:t>
      </w:r>
      <w:r>
        <w:rPr>
          <w:noProof/>
        </w:rPr>
        <w:t xml:space="preserve"> l'efficacité des mesures prévues à l'article 4, paragraphe 1 bis, au niveau de l'Union, pour lutter contre les déchets sauvages, modifier le comportement des consommateurs et promouvoir la prévention des déchets. Si cette évaluation révèle que les mesures adoptées ne sont pas efficaces, la Commission examine les autres solutions possibles pour réduire la consommation de sacs en plastique légers, y compris la fixation d'objectifs réalistes et réalisables au niveau de l'Union, et présente une proposition législative, le cas échéant.</w:t>
      </w:r>
    </w:p>
    <w:p w:rsidR="00146498" w:rsidRPr="00C90520" w:rsidRDefault="008663AC" w:rsidP="00592307">
      <w:pPr>
        <w:pStyle w:val="Point1"/>
        <w:rPr>
          <w:rFonts w:eastAsia="Calibri" w:cs="Arial"/>
          <w:noProof/>
          <w:szCs w:val="22"/>
        </w:rPr>
      </w:pPr>
      <w:r>
        <w:rPr>
          <w:noProof/>
        </w:rPr>
        <w:br w:type="page"/>
      </w:r>
      <w:r w:rsidR="00146498">
        <w:rPr>
          <w:noProof/>
        </w:rPr>
        <w:t>2.</w:t>
      </w:r>
      <w:r w:rsidR="00146498">
        <w:tab/>
      </w:r>
      <w:r w:rsidR="00146498">
        <w:rPr>
          <w:noProof/>
        </w:rPr>
        <w:t>Le ...</w:t>
      </w:r>
      <w:r w:rsidR="00D6107D">
        <w:rPr>
          <w:rStyle w:val="FootnoteReference"/>
          <w:noProof/>
        </w:rPr>
        <w:footnoteReference w:customMarkFollows="1" w:id="12"/>
        <w:t>+</w:t>
      </w:r>
      <w:r w:rsidR="00146498">
        <w:rPr>
          <w:noProof/>
        </w:rPr>
        <w:t xml:space="preserve"> au plus tard, la Commission présente au Parlement européen et au Conseil un rapport </w:t>
      </w:r>
      <w:r w:rsidR="00CE6B9F">
        <w:rPr>
          <w:noProof/>
        </w:rPr>
        <w:t>examinant</w:t>
      </w:r>
      <w:r w:rsidR="00146498">
        <w:rPr>
          <w:noProof/>
        </w:rPr>
        <w:t xml:space="preserve"> les </w:t>
      </w:r>
      <w:r w:rsidR="00CE6B9F">
        <w:rPr>
          <w:noProof/>
        </w:rPr>
        <w:t xml:space="preserve">incidences </w:t>
      </w:r>
      <w:r w:rsidR="00146498">
        <w:rPr>
          <w:noProof/>
        </w:rPr>
        <w:t>sur l'environnement de l'utilisation de sacs en plastique oxodégradables, et présente une proposition législative, le cas échéant.</w:t>
      </w:r>
    </w:p>
    <w:p w:rsidR="00146498" w:rsidRPr="00C90520" w:rsidRDefault="00146498" w:rsidP="007050B5">
      <w:pPr>
        <w:pStyle w:val="Point1"/>
        <w:rPr>
          <w:rFonts w:eastAsia="Calibri" w:cs="Arial"/>
          <w:bCs/>
          <w:szCs w:val="22"/>
        </w:rPr>
      </w:pPr>
      <w:r>
        <w:t>3.</w:t>
      </w:r>
      <w:r>
        <w:tab/>
      </w:r>
      <w:r w:rsidR="007050B5">
        <w:t>Le</w:t>
      </w:r>
      <w:r>
        <w:t xml:space="preserve"> ...</w:t>
      </w:r>
      <w:r w:rsidR="00D6107D">
        <w:rPr>
          <w:rStyle w:val="FootnoteReference"/>
        </w:rPr>
        <w:footnoteReference w:customMarkFollows="1" w:id="13"/>
        <w:t>++</w:t>
      </w:r>
      <w:r w:rsidR="007050B5">
        <w:t xml:space="preserve"> au plus tard</w:t>
      </w:r>
      <w:r>
        <w:t>, la Commission évalue les conséquences en termes de cycle de vie des différentes solutions permettant de réduire la consommation de sacs en plastique très légers, et présente une proposition législative</w:t>
      </w:r>
      <w:r w:rsidR="00CE6B9F">
        <w:t>,</w:t>
      </w:r>
      <w:r>
        <w:t xml:space="preserve"> le cas échéant.".</w:t>
      </w:r>
    </w:p>
    <w:p w:rsidR="00146498" w:rsidRPr="00C90520" w:rsidRDefault="003C4B1B" w:rsidP="00592307">
      <w:pPr>
        <w:pStyle w:val="ManualNumPar1"/>
        <w:rPr>
          <w:rFonts w:eastAsia="Calibri" w:cs="Arial"/>
          <w:bCs/>
          <w:noProof/>
          <w:szCs w:val="22"/>
        </w:rPr>
      </w:pPr>
      <w:r>
        <w:t>5</w:t>
      </w:r>
      <w:r w:rsidR="005913F3">
        <w:t>)</w:t>
      </w:r>
      <w:r w:rsidR="00146498">
        <w:tab/>
      </w:r>
      <w:r w:rsidR="00146498">
        <w:rPr>
          <w:noProof/>
        </w:rPr>
        <w:t xml:space="preserve">À l'article 22, paragraphe 3 bis, le premier alinéa est remplacé par le </w:t>
      </w:r>
      <w:r w:rsidR="005913F3">
        <w:rPr>
          <w:noProof/>
        </w:rPr>
        <w:t xml:space="preserve">texte </w:t>
      </w:r>
      <w:r w:rsidR="00146498">
        <w:rPr>
          <w:noProof/>
        </w:rPr>
        <w:t>suivant:</w:t>
      </w:r>
    </w:p>
    <w:p w:rsidR="00146498" w:rsidRPr="00C90520" w:rsidRDefault="00146498" w:rsidP="00506598">
      <w:pPr>
        <w:pStyle w:val="Point1"/>
        <w:rPr>
          <w:rFonts w:eastAsia="Calibri" w:cs="Arial"/>
          <w:szCs w:val="22"/>
        </w:rPr>
      </w:pPr>
      <w:r>
        <w:rPr>
          <w:noProof/>
        </w:rPr>
        <w:t>"3 </w:t>
      </w:r>
      <w:r w:rsidRPr="00146498">
        <w:rPr>
          <w:i/>
          <w:iCs/>
          <w:noProof/>
        </w:rPr>
        <w:t>bis</w:t>
      </w:r>
      <w:r>
        <w:rPr>
          <w:noProof/>
        </w:rPr>
        <w:t>.</w:t>
      </w:r>
      <w:r w:rsidR="00506598">
        <w:rPr>
          <w:noProof/>
        </w:rPr>
        <w:t xml:space="preserve"> </w:t>
      </w:r>
      <w:r>
        <w:rPr>
          <w:noProof/>
        </w:rPr>
        <w:t xml:space="preserve">À condition que les objectifs fixés aux articles 4 et 6 soient atteints, les États membres peuvent transposer les dispositions </w:t>
      </w:r>
      <w:r w:rsidR="00CE6B9F">
        <w:rPr>
          <w:noProof/>
        </w:rPr>
        <w:t xml:space="preserve">établies à </w:t>
      </w:r>
      <w:r>
        <w:rPr>
          <w:noProof/>
        </w:rPr>
        <w:t xml:space="preserve">l'article 4, paragraphe 1 bis, et </w:t>
      </w:r>
      <w:r w:rsidR="00CE6B9F">
        <w:rPr>
          <w:noProof/>
        </w:rPr>
        <w:t xml:space="preserve">à </w:t>
      </w:r>
      <w:r>
        <w:rPr>
          <w:noProof/>
        </w:rPr>
        <w:t>l'article 7 par voie d'accords entre les autorités compétentes et les secteurs économiques concernés."</w:t>
      </w:r>
      <w:r w:rsidR="00CE6B9F">
        <w:rPr>
          <w:noProof/>
        </w:rPr>
        <w:t>.</w:t>
      </w:r>
    </w:p>
    <w:p w:rsidR="00146498" w:rsidRPr="00146498" w:rsidRDefault="008663AC" w:rsidP="00146498">
      <w:pPr>
        <w:pStyle w:val="Titrearticle"/>
        <w:rPr>
          <w:rFonts w:eastAsia="Calibri" w:cs="Arial"/>
          <w:noProof/>
          <w:szCs w:val="22"/>
        </w:rPr>
      </w:pPr>
      <w:r>
        <w:rPr>
          <w:noProof/>
        </w:rPr>
        <w:br w:type="page"/>
      </w:r>
      <w:r w:rsidR="00146498" w:rsidRPr="00146498">
        <w:rPr>
          <w:noProof/>
        </w:rPr>
        <w:t>Article 2</w:t>
      </w:r>
    </w:p>
    <w:p w:rsidR="00146498" w:rsidRPr="00C90520" w:rsidRDefault="00146498" w:rsidP="000953C4">
      <w:pPr>
        <w:pStyle w:val="ManualNumPar1"/>
        <w:rPr>
          <w:rFonts w:eastAsia="Calibri" w:cs="Arial"/>
          <w:noProof/>
          <w:szCs w:val="22"/>
        </w:rPr>
      </w:pPr>
      <w:r>
        <w:t>1.</w:t>
      </w:r>
      <w:r>
        <w:tab/>
        <w:t xml:space="preserve">Les États membres mettent en vigueur les dispositions législatives, réglementaires et administratives nécessaires pour se conformer à la présente directive au plus tard le </w:t>
      </w:r>
      <w:r w:rsidRPr="00BF14F9">
        <w:rPr>
          <w:noProof/>
        </w:rPr>
        <w:t>...</w:t>
      </w:r>
      <w:r w:rsidR="00D6107D">
        <w:rPr>
          <w:rStyle w:val="FootnoteReference"/>
          <w:noProof/>
        </w:rPr>
        <w:footnoteReference w:customMarkFollows="1" w:id="14"/>
        <w:t>+</w:t>
      </w:r>
      <w:r>
        <w:t>. Ils en informent immédiatement la Commission.</w:t>
      </w:r>
    </w:p>
    <w:p w:rsidR="00146498" w:rsidRPr="00C90520" w:rsidRDefault="00146498" w:rsidP="00146498">
      <w:pPr>
        <w:pStyle w:val="Text1"/>
        <w:rPr>
          <w:rFonts w:eastAsia="Calibri" w:cs="Arial"/>
          <w:noProof/>
          <w:szCs w:val="22"/>
        </w:rPr>
      </w:pPr>
      <w: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rsidR="00146498" w:rsidRPr="00C90520" w:rsidRDefault="00146498" w:rsidP="005913F3">
      <w:pPr>
        <w:pStyle w:val="ManualNumPar1"/>
        <w:rPr>
          <w:rFonts w:eastAsia="Calibri" w:cs="Arial"/>
          <w:noProof/>
          <w:szCs w:val="22"/>
        </w:rPr>
      </w:pPr>
      <w:r>
        <w:t>2.</w:t>
      </w:r>
      <w:r>
        <w:tab/>
        <w:t xml:space="preserve">Les États membres communiquent à la Commission le texte des dispositions </w:t>
      </w:r>
      <w:r w:rsidR="005913F3">
        <w:t xml:space="preserve">essentielles </w:t>
      </w:r>
      <w:r>
        <w:t>de droit interne qu'ils adoptent dans le domaine régi par la présente directive.</w:t>
      </w:r>
    </w:p>
    <w:p w:rsidR="00146498" w:rsidRPr="00146498" w:rsidRDefault="008663AC" w:rsidP="00146498">
      <w:pPr>
        <w:pStyle w:val="Titrearticle"/>
        <w:rPr>
          <w:noProof/>
        </w:rPr>
      </w:pPr>
      <w:r>
        <w:rPr>
          <w:noProof/>
        </w:rPr>
        <w:br w:type="page"/>
      </w:r>
      <w:r w:rsidR="00146498" w:rsidRPr="00146498">
        <w:rPr>
          <w:noProof/>
        </w:rPr>
        <w:t>Article 3</w:t>
      </w:r>
    </w:p>
    <w:p w:rsidR="00146498" w:rsidRPr="00C90520" w:rsidRDefault="00146498" w:rsidP="00146498">
      <w:pPr>
        <w:rPr>
          <w:rFonts w:eastAsia="Calibri" w:cs="Arial"/>
          <w:noProof/>
          <w:szCs w:val="22"/>
        </w:rPr>
      </w:pPr>
      <w:r>
        <w:t xml:space="preserve">La présente directive entre en vigueur le vingtième jour suivant celui de sa publication au </w:t>
      </w:r>
      <w:r w:rsidRPr="00CE6B9F">
        <w:rPr>
          <w:i/>
          <w:iCs/>
          <w:noProof/>
        </w:rPr>
        <w:t>Journal officiel de l'Union européenne</w:t>
      </w:r>
      <w:r>
        <w:t>.</w:t>
      </w:r>
    </w:p>
    <w:p w:rsidR="00146498" w:rsidRPr="00146498" w:rsidRDefault="00146498" w:rsidP="00146498">
      <w:pPr>
        <w:pStyle w:val="Titrearticle"/>
        <w:rPr>
          <w:noProof/>
        </w:rPr>
      </w:pPr>
      <w:r w:rsidRPr="00146498">
        <w:rPr>
          <w:noProof/>
        </w:rPr>
        <w:t>Article 4</w:t>
      </w:r>
    </w:p>
    <w:p w:rsidR="00146498" w:rsidRPr="00C90520" w:rsidRDefault="00146498" w:rsidP="00146498">
      <w:pPr>
        <w:jc w:val="both"/>
        <w:rPr>
          <w:rFonts w:eastAsia="Calibri" w:cs="Arial"/>
          <w:noProof/>
          <w:szCs w:val="22"/>
        </w:rPr>
      </w:pPr>
      <w:r>
        <w:t>Les États membres sont destinataires de la présente directive.</w:t>
      </w:r>
    </w:p>
    <w:p w:rsidR="00146498" w:rsidRPr="00C90520" w:rsidRDefault="00146498" w:rsidP="008C71C4">
      <w:pPr>
        <w:pStyle w:val="Fait"/>
        <w:rPr>
          <w:rFonts w:eastAsia="Calibri" w:cs="Arial"/>
          <w:noProof/>
          <w:szCs w:val="22"/>
        </w:rPr>
      </w:pPr>
      <w:r>
        <w:t>Fait à,</w:t>
      </w:r>
    </w:p>
    <w:p w:rsidR="00146498" w:rsidRPr="00146498" w:rsidRDefault="00146498" w:rsidP="00146498">
      <w:pPr>
        <w:pStyle w:val="Institutionquisigne"/>
        <w:rPr>
          <w:rFonts w:eastAsia="Calibri" w:cs="Arial"/>
          <w:noProof/>
          <w:szCs w:val="22"/>
        </w:rPr>
      </w:pPr>
      <w:r w:rsidRPr="00146498">
        <w:rPr>
          <w:noProof/>
        </w:rPr>
        <w:t>Par le Parlement européen</w:t>
      </w:r>
      <w:r>
        <w:tab/>
      </w:r>
      <w:r w:rsidRPr="00146498">
        <w:rPr>
          <w:noProof/>
        </w:rPr>
        <w:t>Par le Conseil</w:t>
      </w:r>
    </w:p>
    <w:p w:rsidR="00146498" w:rsidRPr="00146498" w:rsidRDefault="00146498" w:rsidP="00146498">
      <w:pPr>
        <w:pStyle w:val="Personnequisigne"/>
        <w:rPr>
          <w:rFonts w:eastAsia="Calibri" w:cs="Arial"/>
          <w:noProof/>
          <w:szCs w:val="22"/>
        </w:rPr>
      </w:pPr>
      <w:r w:rsidRPr="00146498">
        <w:rPr>
          <w:noProof/>
        </w:rPr>
        <w:t>Le président</w:t>
      </w:r>
      <w:r>
        <w:tab/>
      </w:r>
      <w:r w:rsidRPr="00146498">
        <w:rPr>
          <w:noProof/>
        </w:rPr>
        <w:t>Le président</w:t>
      </w:r>
    </w:p>
    <w:p w:rsidR="00E55A67" w:rsidRPr="00EC74B8" w:rsidRDefault="00E55A67" w:rsidP="00E55A67">
      <w:pPr>
        <w:pStyle w:val="Lignefinal"/>
      </w:pPr>
    </w:p>
    <w:sectPr w:rsidR="00E55A67" w:rsidRPr="00EC74B8" w:rsidSect="00EC74B8">
      <w:headerReference w:type="even" r:id="rId16"/>
      <w:headerReference w:type="default" r:id="rId17"/>
      <w:footerReference w:type="even" r:id="rId18"/>
      <w:headerReference w:type="first" r:id="rId19"/>
      <w:footerReference w:type="first" r:id="rId20"/>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22" w:rsidRDefault="00B74822" w:rsidP="00E55A67">
      <w:pPr>
        <w:spacing w:before="0" w:after="0" w:line="240" w:lineRule="auto"/>
      </w:pPr>
      <w:r>
        <w:separator/>
      </w:r>
    </w:p>
  </w:endnote>
  <w:endnote w:type="continuationSeparator" w:id="0">
    <w:p w:rsidR="00B74822" w:rsidRDefault="00B74822" w:rsidP="00E55A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B8" w:rsidRPr="00EC74B8" w:rsidRDefault="00EC74B8" w:rsidP="00EC74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EC74B8" w:rsidRPr="0035025C" w:rsidTr="00EC74B8">
      <w:trPr>
        <w:jc w:val="center"/>
      </w:trPr>
      <w:tc>
        <w:tcPr>
          <w:tcW w:w="5000" w:type="pct"/>
          <w:gridSpan w:val="7"/>
          <w:shd w:val="clear" w:color="auto" w:fill="auto"/>
          <w:tcMar>
            <w:top w:w="57" w:type="dxa"/>
          </w:tcMar>
        </w:tcPr>
        <w:p w:rsidR="00EC74B8" w:rsidRPr="0035025C" w:rsidRDefault="00EC74B8" w:rsidP="0035025C">
          <w:pPr>
            <w:pStyle w:val="FooterText"/>
            <w:pBdr>
              <w:top w:val="single" w:sz="4" w:space="1" w:color="auto"/>
            </w:pBdr>
            <w:spacing w:before="200"/>
            <w:rPr>
              <w:sz w:val="2"/>
              <w:szCs w:val="2"/>
            </w:rPr>
          </w:pPr>
          <w:bookmarkStart w:id="2" w:name="FOOTER_LEGACTS"/>
        </w:p>
      </w:tc>
    </w:tr>
    <w:tr w:rsidR="00EC74B8" w:rsidRPr="00B310DC" w:rsidTr="00EC74B8">
      <w:trPr>
        <w:jc w:val="center"/>
      </w:trPr>
      <w:tc>
        <w:tcPr>
          <w:tcW w:w="2500" w:type="pct"/>
          <w:gridSpan w:val="2"/>
          <w:shd w:val="clear" w:color="auto" w:fill="auto"/>
          <w:tcMar>
            <w:top w:w="0" w:type="dxa"/>
          </w:tcMar>
        </w:tcPr>
        <w:p w:rsidR="00EC74B8" w:rsidRPr="00AD7BF2" w:rsidRDefault="00EC74B8" w:rsidP="0035025C">
          <w:pPr>
            <w:pStyle w:val="FooterText"/>
          </w:pPr>
          <w:r>
            <w:t xml:space="preserve">5094/1/15 REV 1 </w:t>
          </w:r>
        </w:p>
      </w:tc>
      <w:tc>
        <w:tcPr>
          <w:tcW w:w="625" w:type="pct"/>
          <w:shd w:val="clear" w:color="auto" w:fill="auto"/>
          <w:tcMar>
            <w:top w:w="0" w:type="dxa"/>
          </w:tcMar>
        </w:tcPr>
        <w:p w:rsidR="00EC74B8" w:rsidRPr="00AD7BF2" w:rsidRDefault="00EC74B8" w:rsidP="0035025C">
          <w:pPr>
            <w:pStyle w:val="FooterText"/>
            <w:jc w:val="center"/>
          </w:pPr>
        </w:p>
      </w:tc>
      <w:tc>
        <w:tcPr>
          <w:tcW w:w="1287" w:type="pct"/>
          <w:gridSpan w:val="3"/>
          <w:shd w:val="clear" w:color="auto" w:fill="auto"/>
          <w:tcMar>
            <w:top w:w="0" w:type="dxa"/>
          </w:tcMar>
        </w:tcPr>
        <w:p w:rsidR="00EC74B8" w:rsidRPr="002511D8" w:rsidRDefault="00EC74B8" w:rsidP="0035025C">
          <w:pPr>
            <w:pStyle w:val="FooterText"/>
            <w:jc w:val="center"/>
          </w:pPr>
          <w:r>
            <w:t>RZ/</w:t>
          </w:r>
          <w:proofErr w:type="spellStart"/>
          <w:r>
            <w:t>sj</w:t>
          </w:r>
          <w:proofErr w:type="spellEnd"/>
        </w:p>
      </w:tc>
      <w:tc>
        <w:tcPr>
          <w:tcW w:w="588" w:type="pct"/>
          <w:shd w:val="clear" w:color="auto" w:fill="auto"/>
          <w:tcMar>
            <w:top w:w="0" w:type="dxa"/>
          </w:tcMar>
        </w:tcPr>
        <w:p w:rsidR="00EC74B8" w:rsidRPr="00B310DC" w:rsidRDefault="00EC74B8" w:rsidP="0035025C">
          <w:pPr>
            <w:pStyle w:val="FooterText"/>
            <w:jc w:val="right"/>
          </w:pPr>
          <w:r>
            <w:fldChar w:fldCharType="begin"/>
          </w:r>
          <w:r>
            <w:instrText xml:space="preserve"> PAGE  \* MERGEFORMAT </w:instrText>
          </w:r>
          <w:r>
            <w:fldChar w:fldCharType="separate"/>
          </w:r>
          <w:r>
            <w:rPr>
              <w:noProof/>
            </w:rPr>
            <w:t>8</w:t>
          </w:r>
          <w:r>
            <w:fldChar w:fldCharType="end"/>
          </w:r>
        </w:p>
      </w:tc>
    </w:tr>
    <w:tr w:rsidR="00EC74B8" w:rsidRPr="0035025C" w:rsidTr="00EC74B8">
      <w:trPr>
        <w:jc w:val="center"/>
      </w:trPr>
      <w:tc>
        <w:tcPr>
          <w:tcW w:w="1774" w:type="pct"/>
          <w:shd w:val="clear" w:color="auto" w:fill="auto"/>
        </w:tcPr>
        <w:p w:rsidR="00EC74B8" w:rsidRPr="00AD7BF2" w:rsidRDefault="00EC74B8" w:rsidP="0035025C">
          <w:pPr>
            <w:pStyle w:val="FooterText"/>
            <w:spacing w:before="40"/>
          </w:pPr>
        </w:p>
      </w:tc>
      <w:tc>
        <w:tcPr>
          <w:tcW w:w="1494" w:type="pct"/>
          <w:gridSpan w:val="3"/>
          <w:shd w:val="clear" w:color="auto" w:fill="auto"/>
        </w:tcPr>
        <w:p w:rsidR="00EC74B8" w:rsidRPr="00AD7BF2" w:rsidRDefault="00EC74B8" w:rsidP="0035025C">
          <w:pPr>
            <w:pStyle w:val="FooterText"/>
            <w:spacing w:before="40"/>
            <w:jc w:val="center"/>
          </w:pPr>
          <w:r>
            <w:t>DGE 1</w:t>
          </w:r>
        </w:p>
      </w:tc>
      <w:tc>
        <w:tcPr>
          <w:tcW w:w="1107" w:type="pct"/>
          <w:shd w:val="clear" w:color="auto" w:fill="auto"/>
        </w:tcPr>
        <w:p w:rsidR="00EC74B8" w:rsidRPr="0035025C" w:rsidRDefault="00EC74B8" w:rsidP="0035025C">
          <w:pPr>
            <w:pStyle w:val="FooterText"/>
            <w:jc w:val="right"/>
            <w:rPr>
              <w:b/>
              <w:position w:val="-4"/>
              <w:sz w:val="36"/>
            </w:rPr>
          </w:pPr>
        </w:p>
      </w:tc>
      <w:tc>
        <w:tcPr>
          <w:tcW w:w="625" w:type="pct"/>
          <w:gridSpan w:val="2"/>
          <w:shd w:val="clear" w:color="auto" w:fill="auto"/>
        </w:tcPr>
        <w:p w:rsidR="00EC74B8" w:rsidRPr="0035025C" w:rsidRDefault="00EC74B8" w:rsidP="0035025C">
          <w:pPr>
            <w:pStyle w:val="FooterText"/>
            <w:jc w:val="right"/>
            <w:rPr>
              <w:sz w:val="16"/>
            </w:rPr>
          </w:pPr>
          <w:r>
            <w:rPr>
              <w:b/>
              <w:position w:val="-4"/>
              <w:sz w:val="36"/>
            </w:rPr>
            <w:t>FR</w:t>
          </w:r>
        </w:p>
      </w:tc>
    </w:tr>
    <w:bookmarkEnd w:id="2"/>
  </w:tbl>
  <w:p w:rsidR="00B10CBB" w:rsidRPr="00EC74B8" w:rsidRDefault="00B10CBB" w:rsidP="00EC74B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EC74B8" w:rsidRPr="0035025C" w:rsidTr="00EC74B8">
      <w:trPr>
        <w:jc w:val="center"/>
      </w:trPr>
      <w:tc>
        <w:tcPr>
          <w:tcW w:w="5000" w:type="pct"/>
          <w:gridSpan w:val="7"/>
          <w:shd w:val="clear" w:color="auto" w:fill="auto"/>
          <w:tcMar>
            <w:top w:w="57" w:type="dxa"/>
          </w:tcMar>
        </w:tcPr>
        <w:p w:rsidR="00EC74B8" w:rsidRPr="0035025C" w:rsidRDefault="00EC74B8" w:rsidP="0035025C">
          <w:pPr>
            <w:pStyle w:val="FooterText"/>
            <w:pBdr>
              <w:top w:val="single" w:sz="4" w:space="1" w:color="auto"/>
            </w:pBdr>
            <w:spacing w:before="200"/>
            <w:rPr>
              <w:sz w:val="2"/>
              <w:szCs w:val="2"/>
            </w:rPr>
          </w:pPr>
        </w:p>
      </w:tc>
    </w:tr>
    <w:tr w:rsidR="00EC74B8" w:rsidRPr="00B310DC" w:rsidTr="00EC74B8">
      <w:trPr>
        <w:jc w:val="center"/>
      </w:trPr>
      <w:tc>
        <w:tcPr>
          <w:tcW w:w="2500" w:type="pct"/>
          <w:gridSpan w:val="2"/>
          <w:shd w:val="clear" w:color="auto" w:fill="auto"/>
          <w:tcMar>
            <w:top w:w="0" w:type="dxa"/>
          </w:tcMar>
        </w:tcPr>
        <w:p w:rsidR="00EC74B8" w:rsidRPr="00AD7BF2" w:rsidRDefault="00EC74B8" w:rsidP="0035025C">
          <w:pPr>
            <w:pStyle w:val="FooterText"/>
          </w:pPr>
          <w:r>
            <w:t xml:space="preserve">5094/1/15 REV 1 </w:t>
          </w:r>
        </w:p>
      </w:tc>
      <w:tc>
        <w:tcPr>
          <w:tcW w:w="625" w:type="pct"/>
          <w:shd w:val="clear" w:color="auto" w:fill="auto"/>
          <w:tcMar>
            <w:top w:w="0" w:type="dxa"/>
          </w:tcMar>
        </w:tcPr>
        <w:p w:rsidR="00EC74B8" w:rsidRPr="00AD7BF2" w:rsidRDefault="00EC74B8" w:rsidP="0035025C">
          <w:pPr>
            <w:pStyle w:val="FooterText"/>
            <w:jc w:val="center"/>
          </w:pPr>
        </w:p>
      </w:tc>
      <w:tc>
        <w:tcPr>
          <w:tcW w:w="1287" w:type="pct"/>
          <w:gridSpan w:val="3"/>
          <w:shd w:val="clear" w:color="auto" w:fill="auto"/>
          <w:tcMar>
            <w:top w:w="0" w:type="dxa"/>
          </w:tcMar>
        </w:tcPr>
        <w:p w:rsidR="00EC74B8" w:rsidRPr="002511D8" w:rsidRDefault="00EC74B8" w:rsidP="0035025C">
          <w:pPr>
            <w:pStyle w:val="FooterText"/>
            <w:jc w:val="center"/>
          </w:pPr>
          <w:r>
            <w:t>RZ/</w:t>
          </w:r>
          <w:proofErr w:type="spellStart"/>
          <w:r>
            <w:t>sj</w:t>
          </w:r>
          <w:proofErr w:type="spellEnd"/>
        </w:p>
      </w:tc>
      <w:tc>
        <w:tcPr>
          <w:tcW w:w="588" w:type="pct"/>
          <w:shd w:val="clear" w:color="auto" w:fill="auto"/>
          <w:tcMar>
            <w:top w:w="0" w:type="dxa"/>
          </w:tcMar>
        </w:tcPr>
        <w:p w:rsidR="00EC74B8" w:rsidRPr="00B310DC" w:rsidRDefault="00EC74B8" w:rsidP="0035025C">
          <w:pPr>
            <w:pStyle w:val="FooterText"/>
            <w:jc w:val="right"/>
          </w:pPr>
        </w:p>
      </w:tc>
    </w:tr>
    <w:tr w:rsidR="00EC74B8" w:rsidRPr="0035025C" w:rsidTr="00EC74B8">
      <w:trPr>
        <w:jc w:val="center"/>
      </w:trPr>
      <w:tc>
        <w:tcPr>
          <w:tcW w:w="1774" w:type="pct"/>
          <w:shd w:val="clear" w:color="auto" w:fill="auto"/>
        </w:tcPr>
        <w:p w:rsidR="00EC74B8" w:rsidRPr="00AD7BF2" w:rsidRDefault="00EC74B8" w:rsidP="0035025C">
          <w:pPr>
            <w:pStyle w:val="FooterText"/>
            <w:spacing w:before="40"/>
          </w:pPr>
        </w:p>
      </w:tc>
      <w:tc>
        <w:tcPr>
          <w:tcW w:w="1494" w:type="pct"/>
          <w:gridSpan w:val="3"/>
          <w:shd w:val="clear" w:color="auto" w:fill="auto"/>
        </w:tcPr>
        <w:p w:rsidR="00EC74B8" w:rsidRPr="00AD7BF2" w:rsidRDefault="00EC74B8" w:rsidP="0035025C">
          <w:pPr>
            <w:pStyle w:val="FooterText"/>
            <w:spacing w:before="40"/>
            <w:jc w:val="center"/>
          </w:pPr>
          <w:r>
            <w:t>DGE 1</w:t>
          </w:r>
        </w:p>
      </w:tc>
      <w:tc>
        <w:tcPr>
          <w:tcW w:w="1107" w:type="pct"/>
          <w:shd w:val="clear" w:color="auto" w:fill="auto"/>
        </w:tcPr>
        <w:p w:rsidR="00EC74B8" w:rsidRPr="0035025C" w:rsidRDefault="00EC74B8" w:rsidP="0035025C">
          <w:pPr>
            <w:pStyle w:val="FooterText"/>
            <w:jc w:val="right"/>
            <w:rPr>
              <w:b/>
              <w:position w:val="-4"/>
              <w:sz w:val="36"/>
            </w:rPr>
          </w:pPr>
        </w:p>
      </w:tc>
      <w:tc>
        <w:tcPr>
          <w:tcW w:w="625" w:type="pct"/>
          <w:gridSpan w:val="2"/>
          <w:shd w:val="clear" w:color="auto" w:fill="auto"/>
        </w:tcPr>
        <w:p w:rsidR="00EC74B8" w:rsidRPr="0035025C" w:rsidRDefault="00EC74B8" w:rsidP="0035025C">
          <w:pPr>
            <w:pStyle w:val="FooterText"/>
            <w:jc w:val="right"/>
            <w:rPr>
              <w:sz w:val="16"/>
            </w:rPr>
          </w:pPr>
          <w:r>
            <w:rPr>
              <w:b/>
              <w:position w:val="-4"/>
              <w:sz w:val="36"/>
            </w:rPr>
            <w:t>FR</w:t>
          </w:r>
        </w:p>
      </w:tc>
    </w:tr>
  </w:tbl>
  <w:p w:rsidR="00B10CBB" w:rsidRPr="00EC74B8" w:rsidRDefault="00B10CBB" w:rsidP="00EC74B8">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BB" w:rsidRPr="00EC74B8" w:rsidRDefault="00B10CBB" w:rsidP="00EC74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BB" w:rsidRPr="00EC74B8" w:rsidRDefault="00B10CBB" w:rsidP="00EC7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22" w:rsidRDefault="00B74822" w:rsidP="00E55A67">
      <w:pPr>
        <w:spacing w:before="0" w:after="0" w:line="240" w:lineRule="auto"/>
      </w:pPr>
      <w:r>
        <w:separator/>
      </w:r>
    </w:p>
  </w:footnote>
  <w:footnote w:type="continuationSeparator" w:id="0">
    <w:p w:rsidR="00B74822" w:rsidRDefault="00B74822" w:rsidP="00E55A67">
      <w:pPr>
        <w:spacing w:before="0" w:after="0" w:line="240" w:lineRule="auto"/>
      </w:pPr>
      <w:r>
        <w:continuationSeparator/>
      </w:r>
    </w:p>
  </w:footnote>
  <w:footnote w:id="1">
    <w:p w:rsidR="00B10CBB" w:rsidRPr="008C4457" w:rsidRDefault="00B10CBB" w:rsidP="004533BD">
      <w:pPr>
        <w:pStyle w:val="FootnoteText"/>
        <w:rPr>
          <w:szCs w:val="24"/>
          <w:lang w:val="da-DK"/>
        </w:rPr>
      </w:pPr>
      <w:r>
        <w:rPr>
          <w:rStyle w:val="FootnoteReference"/>
        </w:rPr>
        <w:footnoteRef/>
      </w:r>
      <w:r w:rsidRPr="008C4457">
        <w:rPr>
          <w:lang w:val="da-DK"/>
        </w:rPr>
        <w:tab/>
        <w:t xml:space="preserve">JO C </w:t>
      </w:r>
      <w:r>
        <w:rPr>
          <w:lang w:val="da-DK"/>
        </w:rPr>
        <w:t xml:space="preserve">214 </w:t>
      </w:r>
      <w:r w:rsidRPr="008C4457">
        <w:rPr>
          <w:lang w:val="da-DK"/>
        </w:rPr>
        <w:t xml:space="preserve">du </w:t>
      </w:r>
      <w:r>
        <w:rPr>
          <w:lang w:val="da-DK"/>
        </w:rPr>
        <w:t>8.7.2014</w:t>
      </w:r>
      <w:r w:rsidRPr="008C4457">
        <w:rPr>
          <w:lang w:val="da-DK"/>
        </w:rPr>
        <w:t xml:space="preserve">, p. </w:t>
      </w:r>
      <w:r>
        <w:rPr>
          <w:lang w:val="da-DK"/>
        </w:rPr>
        <w:t>40</w:t>
      </w:r>
      <w:r w:rsidRPr="008C4457">
        <w:rPr>
          <w:lang w:val="da-DK"/>
        </w:rPr>
        <w:t>.</w:t>
      </w:r>
    </w:p>
  </w:footnote>
  <w:footnote w:id="2">
    <w:p w:rsidR="00B10CBB" w:rsidRPr="008C4457" w:rsidRDefault="00B10CBB" w:rsidP="004533BD">
      <w:pPr>
        <w:pStyle w:val="FootnoteText"/>
        <w:rPr>
          <w:szCs w:val="24"/>
          <w:lang w:val="da-DK"/>
        </w:rPr>
      </w:pPr>
      <w:r>
        <w:rPr>
          <w:rStyle w:val="FootnoteReference"/>
        </w:rPr>
        <w:footnoteRef/>
      </w:r>
      <w:r w:rsidRPr="008C4457">
        <w:rPr>
          <w:lang w:val="da-DK"/>
        </w:rPr>
        <w:tab/>
        <w:t>JO C</w:t>
      </w:r>
      <w:r>
        <w:rPr>
          <w:lang w:val="da-DK"/>
        </w:rPr>
        <w:t xml:space="preserve"> 174 </w:t>
      </w:r>
      <w:r w:rsidRPr="008C4457">
        <w:rPr>
          <w:lang w:val="da-DK"/>
        </w:rPr>
        <w:t xml:space="preserve">du </w:t>
      </w:r>
      <w:r>
        <w:rPr>
          <w:lang w:val="da-DK"/>
        </w:rPr>
        <w:t>7.6.2014</w:t>
      </w:r>
      <w:r w:rsidRPr="008C4457">
        <w:rPr>
          <w:lang w:val="da-DK"/>
        </w:rPr>
        <w:t xml:space="preserve">, p. </w:t>
      </w:r>
      <w:r>
        <w:rPr>
          <w:lang w:val="da-DK"/>
        </w:rPr>
        <w:t>43.</w:t>
      </w:r>
    </w:p>
  </w:footnote>
  <w:footnote w:id="3">
    <w:p w:rsidR="00B10CBB" w:rsidRPr="008425D6" w:rsidRDefault="00B10CBB" w:rsidP="00012CC7">
      <w:pPr>
        <w:pStyle w:val="FootnoteText"/>
        <w:rPr>
          <w:lang w:val="fr-BE"/>
        </w:rPr>
      </w:pPr>
      <w:r>
        <w:rPr>
          <w:rStyle w:val="FootnoteReference"/>
        </w:rPr>
        <w:footnoteRef/>
      </w:r>
      <w:r>
        <w:tab/>
        <w:t xml:space="preserve">Position du Parlement européen du 16 avril 2014 (non encore parue au JO) et position du Conseil en première lecture du </w:t>
      </w:r>
      <w:r w:rsidR="00012CC7">
        <w:t>2 mars 2015 [(JO …)]</w:t>
      </w:r>
      <w:r>
        <w:t xml:space="preserve"> </w:t>
      </w:r>
      <w:r w:rsidR="00012CC7">
        <w:t>[</w:t>
      </w:r>
      <w:r>
        <w:t>(non encore parue au J</w:t>
      </w:r>
      <w:r w:rsidR="00012CC7">
        <w:t>ournal officiel</w:t>
      </w:r>
      <w:r>
        <w:t>)</w:t>
      </w:r>
      <w:r w:rsidR="00012CC7">
        <w:t>]</w:t>
      </w:r>
      <w:r>
        <w:t>.</w:t>
      </w:r>
      <w:r w:rsidR="00012CC7">
        <w:t xml:space="preserve"> Position du Parlement européen du … [(JO …)] [(non encore parue au Journal officiel)].</w:t>
      </w:r>
    </w:p>
  </w:footnote>
  <w:footnote w:id="4">
    <w:p w:rsidR="00B10CBB" w:rsidRPr="008425D6" w:rsidRDefault="00B10CBB" w:rsidP="004533BD">
      <w:pPr>
        <w:pStyle w:val="FootnoteText"/>
        <w:rPr>
          <w:szCs w:val="24"/>
          <w:lang w:val="fr-BE"/>
        </w:rPr>
      </w:pPr>
      <w:r>
        <w:rPr>
          <w:rStyle w:val="FootnoteReference"/>
        </w:rPr>
        <w:footnoteRef/>
      </w:r>
      <w:r w:rsidRPr="008425D6">
        <w:rPr>
          <w:lang w:val="fr-BE"/>
        </w:rPr>
        <w:tab/>
        <w:t>Directive 94/62/CE du Parlement européen et du Conseil du 20 décembre 1994 relative aux emballages et aux déchets d'emballages</w:t>
      </w:r>
      <w:r>
        <w:rPr>
          <w:lang w:val="fr-BE"/>
        </w:rPr>
        <w:t xml:space="preserve"> (</w:t>
      </w:r>
      <w:r w:rsidRPr="008425D6">
        <w:rPr>
          <w:lang w:val="fr-BE"/>
        </w:rPr>
        <w:t>JO L 365 du 31.12.1994, p. 10</w:t>
      </w:r>
      <w:r>
        <w:rPr>
          <w:lang w:val="fr-BE"/>
        </w:rPr>
        <w:t>)</w:t>
      </w:r>
      <w:r w:rsidRPr="008425D6">
        <w:rPr>
          <w:lang w:val="fr-BE"/>
        </w:rPr>
        <w:t>.</w:t>
      </w:r>
    </w:p>
  </w:footnote>
  <w:footnote w:id="5">
    <w:p w:rsidR="00B10CBB" w:rsidRPr="00C01F8E" w:rsidRDefault="00B10CBB" w:rsidP="004533BD">
      <w:pPr>
        <w:pStyle w:val="FootnoteText"/>
        <w:rPr>
          <w:szCs w:val="24"/>
          <w:lang w:val="fr-BE"/>
        </w:rPr>
      </w:pPr>
      <w:r>
        <w:rPr>
          <w:rStyle w:val="FootnoteReference"/>
        </w:rPr>
        <w:footnoteRef/>
      </w:r>
      <w:r w:rsidRPr="00C01F8E">
        <w:rPr>
          <w:lang w:val="fr-BE"/>
        </w:rPr>
        <w:tab/>
      </w:r>
      <w:r>
        <w:rPr>
          <w:lang w:val="fr-BE"/>
        </w:rPr>
        <w:t>D</w:t>
      </w:r>
      <w:proofErr w:type="spellStart"/>
      <w:r w:rsidRPr="00146498">
        <w:t>irective</w:t>
      </w:r>
      <w:proofErr w:type="spellEnd"/>
      <w:r w:rsidRPr="00146498">
        <w:t xml:space="preserve"> 2008/98/CE du Parlement européen et du Conseil du 19 novembre 2008 relative aux déchets et abrogeant certaines directives</w:t>
      </w:r>
      <w:r w:rsidRPr="00C01F8E">
        <w:rPr>
          <w:lang w:val="fr-BE"/>
        </w:rPr>
        <w:t xml:space="preserve"> </w:t>
      </w:r>
      <w:r>
        <w:rPr>
          <w:lang w:val="fr-BE"/>
        </w:rPr>
        <w:t>(</w:t>
      </w:r>
      <w:r w:rsidRPr="00C01F8E">
        <w:rPr>
          <w:lang w:val="fr-BE"/>
        </w:rPr>
        <w:t>JO L 312 du 22.11.2008, p. 3</w:t>
      </w:r>
      <w:r>
        <w:rPr>
          <w:lang w:val="fr-BE"/>
        </w:rPr>
        <w:t>)</w:t>
      </w:r>
      <w:r w:rsidRPr="00C01F8E">
        <w:rPr>
          <w:lang w:val="fr-BE"/>
        </w:rPr>
        <w:t>.</w:t>
      </w:r>
    </w:p>
  </w:footnote>
  <w:footnote w:id="6">
    <w:p w:rsidR="00B10CBB" w:rsidRPr="00BB10FF" w:rsidRDefault="00B10CBB" w:rsidP="004533BD">
      <w:pPr>
        <w:pStyle w:val="FootnoteText"/>
        <w:rPr>
          <w:szCs w:val="24"/>
          <w:lang w:val="fr-BE"/>
        </w:rPr>
      </w:pPr>
      <w:r>
        <w:rPr>
          <w:rStyle w:val="FootnoteReference"/>
        </w:rPr>
        <w:footnoteRef/>
      </w:r>
      <w:r w:rsidRPr="00BB10FF">
        <w:rPr>
          <w:lang w:val="fr-BE"/>
        </w:rPr>
        <w:tab/>
      </w:r>
      <w:r>
        <w:rPr>
          <w:lang w:val="fr-BE"/>
        </w:rPr>
        <w:t>D</w:t>
      </w:r>
      <w:proofErr w:type="spellStart"/>
      <w:r w:rsidRPr="00146498">
        <w:t>irective</w:t>
      </w:r>
      <w:proofErr w:type="spellEnd"/>
      <w:r>
        <w:t xml:space="preserve"> </w:t>
      </w:r>
      <w:r w:rsidRPr="00146498">
        <w:t>2008/56/CE du Parlement européen et du Conseil du 17 juin 2008 établissant un cadre d'action communautaire dans le domaine de la politique pour le milieu marin (directive-cadre "Stratégie pour le milieu marin"</w:t>
      </w:r>
      <w:r>
        <w:t xml:space="preserve"> (</w:t>
      </w:r>
      <w:r w:rsidRPr="00BB10FF">
        <w:rPr>
          <w:lang w:val="fr-BE"/>
        </w:rPr>
        <w:t>JO L 164 du 25.6.2008, p. 19</w:t>
      </w:r>
      <w:r>
        <w:rPr>
          <w:lang w:val="fr-BE"/>
        </w:rPr>
        <w:t>)</w:t>
      </w:r>
      <w:r w:rsidRPr="00BB10FF">
        <w:rPr>
          <w:lang w:val="fr-BE"/>
        </w:rPr>
        <w:t>.</w:t>
      </w:r>
    </w:p>
  </w:footnote>
  <w:footnote w:id="7">
    <w:p w:rsidR="00B10CBB" w:rsidRPr="00506598" w:rsidRDefault="00B10CBB" w:rsidP="00506598">
      <w:pPr>
        <w:pStyle w:val="FootnoteText"/>
        <w:rPr>
          <w:lang w:val="fr-BE"/>
        </w:rPr>
      </w:pPr>
      <w:r>
        <w:rPr>
          <w:rStyle w:val="FootnoteReference"/>
        </w:rPr>
        <w:t>+</w:t>
      </w:r>
      <w:r>
        <w:tab/>
        <w:t>JO: veuillez insérer la date: date d'entrée en vigueur de la présente directive + 36 mois.</w:t>
      </w:r>
    </w:p>
  </w:footnote>
  <w:footnote w:id="8">
    <w:p w:rsidR="00B10CBB" w:rsidRPr="00506598" w:rsidRDefault="00B10CBB" w:rsidP="004533BD">
      <w:pPr>
        <w:pStyle w:val="FootnoteText"/>
        <w:rPr>
          <w:lang w:val="fr-BE"/>
        </w:rPr>
      </w:pPr>
      <w:r>
        <w:rPr>
          <w:rStyle w:val="FootnoteReference"/>
        </w:rPr>
        <w:t>++</w:t>
      </w:r>
      <w:r>
        <w:tab/>
        <w:t>JO: veuillez insérer la date: date d'entrée en vigueur de la présente directive + 12 mois.</w:t>
      </w:r>
    </w:p>
  </w:footnote>
  <w:footnote w:id="9">
    <w:p w:rsidR="008A5EDA" w:rsidRPr="00506598" w:rsidRDefault="008A5EDA" w:rsidP="008A5EDA">
      <w:pPr>
        <w:pStyle w:val="FootnoteText"/>
        <w:rPr>
          <w:lang w:val="fr-BE"/>
        </w:rPr>
      </w:pPr>
      <w:r>
        <w:rPr>
          <w:rStyle w:val="FootnoteReference"/>
        </w:rPr>
        <w:t>+</w:t>
      </w:r>
      <w:r>
        <w:tab/>
      </w:r>
      <w:r w:rsidRPr="00146498">
        <w:t xml:space="preserve">JO: veuillez insérer la date: </w:t>
      </w:r>
      <w:r>
        <w:t>18</w:t>
      </w:r>
      <w:r w:rsidRPr="00146498">
        <w:t xml:space="preserve"> mois</w:t>
      </w:r>
      <w:r>
        <w:t xml:space="preserve"> après la</w:t>
      </w:r>
      <w:r w:rsidRPr="00146498">
        <w:t xml:space="preserve"> date d'entrée en vigueur de la présente directive.</w:t>
      </w:r>
    </w:p>
  </w:footnote>
  <w:footnote w:id="10">
    <w:p w:rsidR="00D6107D" w:rsidRDefault="00D6107D">
      <w:pPr>
        <w:pStyle w:val="FootnoteText"/>
      </w:pPr>
      <w:r>
        <w:rPr>
          <w:rStyle w:val="FootnoteReference"/>
        </w:rPr>
        <w:t>++</w:t>
      </w:r>
      <w:r>
        <w:tab/>
        <w:t>JO: veuillez insérer la date: 2 ans après la date d'entrée en vigueur de la présente directive.</w:t>
      </w:r>
    </w:p>
  </w:footnote>
  <w:footnote w:id="11">
    <w:p w:rsidR="00D6107D" w:rsidRDefault="00D6107D">
      <w:pPr>
        <w:pStyle w:val="FootnoteText"/>
      </w:pPr>
      <w:r>
        <w:rPr>
          <w:rStyle w:val="FootnoteReference"/>
        </w:rPr>
        <w:t>+</w:t>
      </w:r>
      <w:r>
        <w:tab/>
        <w:t>JO: veuillez insérer la date: date d'entrée en vigueur de la présente directive + 78 mois.</w:t>
      </w:r>
    </w:p>
  </w:footnote>
  <w:footnote w:id="12">
    <w:p w:rsidR="00D6107D" w:rsidRPr="00506598" w:rsidRDefault="00D6107D" w:rsidP="00506598">
      <w:pPr>
        <w:pStyle w:val="FootnoteText"/>
        <w:rPr>
          <w:lang w:val="fr-BE"/>
        </w:rPr>
      </w:pPr>
      <w:r>
        <w:rPr>
          <w:rStyle w:val="FootnoteReference"/>
        </w:rPr>
        <w:t>+</w:t>
      </w:r>
      <w:r w:rsidR="004533BD">
        <w:tab/>
      </w:r>
      <w:r>
        <w:t>JO: veuillez insérer la date: date d'entrée en vigueur de la présente directive + 24 mois.</w:t>
      </w:r>
    </w:p>
  </w:footnote>
  <w:footnote w:id="13">
    <w:p w:rsidR="00D6107D" w:rsidRPr="00506598" w:rsidRDefault="00D6107D" w:rsidP="00506598">
      <w:pPr>
        <w:pStyle w:val="FootnoteText"/>
        <w:rPr>
          <w:lang w:val="fr-BE"/>
        </w:rPr>
      </w:pPr>
      <w:r>
        <w:rPr>
          <w:rStyle w:val="FootnoteReference"/>
        </w:rPr>
        <w:t>++</w:t>
      </w:r>
      <w:r w:rsidR="004533BD">
        <w:tab/>
      </w:r>
      <w:r>
        <w:t>JO: veuillez insérer la date: date d'entrée en vigueur de la présente directive + 24 mois.</w:t>
      </w:r>
    </w:p>
  </w:footnote>
  <w:footnote w:id="14">
    <w:p w:rsidR="00D6107D" w:rsidRPr="00506598" w:rsidRDefault="00D6107D" w:rsidP="00506598">
      <w:pPr>
        <w:pStyle w:val="FootnoteText"/>
        <w:rPr>
          <w:lang w:val="fr-BE"/>
        </w:rPr>
      </w:pPr>
      <w:r>
        <w:rPr>
          <w:rStyle w:val="FootnoteReference"/>
        </w:rPr>
        <w:t>+</w:t>
      </w:r>
      <w:r>
        <w:tab/>
      </w:r>
      <w:r w:rsidRPr="000953C4">
        <w:rPr>
          <w:lang w:val="fr-BE"/>
        </w:rPr>
        <w:t>JO: veuillez insérer la date: 18 mois après la date d'entrée en vigueur de la présente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B8" w:rsidRPr="00EC74B8" w:rsidRDefault="00EC74B8" w:rsidP="00EC74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B8" w:rsidRPr="00EC74B8" w:rsidRDefault="00EC74B8" w:rsidP="00EC74B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B8" w:rsidRPr="00EC74B8" w:rsidRDefault="00EC74B8" w:rsidP="00EC74B8">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BB" w:rsidRPr="00EC74B8" w:rsidRDefault="00B10CBB" w:rsidP="00EC74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BB" w:rsidRPr="00EC74B8" w:rsidRDefault="00B10CBB" w:rsidP="00EC74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BB" w:rsidRPr="00EC74B8" w:rsidRDefault="00B10CBB" w:rsidP="00EC74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9615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1681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B2F9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FA3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1EAB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3683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FF6DDF8"/>
    <w:lvl w:ilvl="0">
      <w:start w:val="1"/>
      <w:numFmt w:val="decimal"/>
      <w:pStyle w:val="ListNumber"/>
      <w:lvlText w:val="%1."/>
      <w:lvlJc w:val="left"/>
      <w:pPr>
        <w:tabs>
          <w:tab w:val="num" w:pos="360"/>
        </w:tabs>
        <w:ind w:left="360" w:hanging="360"/>
      </w:pPr>
    </w:lvl>
  </w:abstractNum>
  <w:abstractNum w:abstractNumId="7">
    <w:nsid w:val="FFFFFF89"/>
    <w:multiLevelType w:val="singleLevel"/>
    <w:tmpl w:val="D55820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2">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5">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6">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7">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9">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1">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2">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11"/>
  </w:num>
  <w:num w:numId="2">
    <w:abstractNumId w:val="14"/>
  </w:num>
  <w:num w:numId="3">
    <w:abstractNumId w:val="16"/>
  </w:num>
  <w:num w:numId="4">
    <w:abstractNumId w:val="15"/>
  </w:num>
  <w:num w:numId="5">
    <w:abstractNumId w:val="20"/>
  </w:num>
  <w:num w:numId="6">
    <w:abstractNumId w:val="12"/>
  </w:num>
  <w:num w:numId="7">
    <w:abstractNumId w:val="8"/>
  </w:num>
  <w:num w:numId="8">
    <w:abstractNumId w:val="21"/>
  </w:num>
  <w:num w:numId="9">
    <w:abstractNumId w:val="13"/>
  </w:num>
  <w:num w:numId="10">
    <w:abstractNumId w:val="10"/>
  </w:num>
  <w:num w:numId="11">
    <w:abstractNumId w:val="9"/>
  </w:num>
  <w:num w:numId="12">
    <w:abstractNumId w:val="19"/>
  </w:num>
  <w:num w:numId="13">
    <w:abstractNumId w:val="17"/>
  </w:num>
  <w:num w:numId="14">
    <w:abstractNumId w:val="18"/>
  </w:num>
  <w:num w:numId="15">
    <w:abstractNumId w:val="22"/>
  </w:num>
  <w:num w:numId="16">
    <w:abstractNumId w:val="11"/>
  </w:num>
  <w:num w:numId="17">
    <w:abstractNumId w:val="14"/>
  </w:num>
  <w:num w:numId="18">
    <w:abstractNumId w:val="16"/>
  </w:num>
  <w:num w:numId="19">
    <w:abstractNumId w:val="15"/>
  </w:num>
  <w:num w:numId="20">
    <w:abstractNumId w:val="20"/>
  </w:num>
  <w:num w:numId="21">
    <w:abstractNumId w:val="12"/>
  </w:num>
  <w:num w:numId="22">
    <w:abstractNumId w:val="8"/>
  </w:num>
  <w:num w:numId="23">
    <w:abstractNumId w:val="21"/>
  </w:num>
  <w:num w:numId="24">
    <w:abstractNumId w:val="13"/>
  </w:num>
  <w:num w:numId="25">
    <w:abstractNumId w:val="10"/>
  </w:num>
  <w:num w:numId="26">
    <w:abstractNumId w:val="9"/>
  </w:num>
  <w:num w:numId="27">
    <w:abstractNumId w:val="19"/>
  </w:num>
  <w:num w:numId="28">
    <w:abstractNumId w:val="17"/>
  </w:num>
  <w:num w:numId="29">
    <w:abstractNumId w:val="18"/>
  </w:num>
  <w:num w:numId="30">
    <w:abstractNumId w:val="7"/>
  </w:num>
  <w:num w:numId="31">
    <w:abstractNumId w:val="5"/>
  </w:num>
  <w:num w:numId="32">
    <w:abstractNumId w:val="4"/>
  </w:num>
  <w:num w:numId="33">
    <w:abstractNumId w:val="3"/>
  </w:num>
  <w:num w:numId="34">
    <w:abstractNumId w:val="6"/>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cf5d0128-2eb3-4d40-9e33-c4a5a5d18e16&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3-04&lt;/text&gt;_x000d__x000a_  &lt;/metadata&gt;_x000d__x000a_  &lt;metadata key=&quot;md_Prefix&quot;&gt;_x000d__x000a_    &lt;text&gt;&lt;/text&gt;_x000d__x000a_  &lt;/metadata&gt;_x000d__x000a_  &lt;metadata key=&quot;md_DocumentNumber&quot;&gt;_x000d__x000a_    &lt;text&gt;5094&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V 6&lt;/text&gt;_x000d__x000a_      &lt;text&gt;MI 11&lt;/text&gt;_x000d__x000a_      &lt;text&gt;IND 9&lt;/text&gt;_x000d__x000a_      &lt;text&gt;CONSOM 5&lt;/text&gt;_x000d__x000a_      &lt;text&gt;CODEC 16&lt;/text&gt;_x000d__x000a_      &lt;text&gt;PARLNAT 1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371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du Conseil en première lecture en vue de l'adoption de la DIRECTIVE DU PARLEMENT EUROPÉEN ET DU CONSEIL modifiant la directive 94/62/CE en ce qui concerne la réduction de la consommation de sacs en plastique légers - Adoptée par le Conseil le 2 mars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xml:lang=&quot;fr-be&quot; xml:space=&quot;preserve&quot;&amp;gt;Position du Conseil en première lecture en vue de l'adoption de la &amp;lt;/Run&amp;gt;&amp;lt;Run FontFamily=&quot;Times New Roman&quot;&amp;gt;DIRECTIVE DU PARLEMENT EUROPÉEN ET DU CONSEIL&amp;lt;/Run&amp;gt;&amp;lt;Run FontFamily=&quot;Times New Roman&quot; xml:lang=&quot;fr-be&quot; xml:space=&quot;preserve&quot;&amp;gt; modifiant la directive 94/62/CE en ce qui concerne la réduction de&amp;lt;/Run&amp;gt;&amp;lt;Run FontFamily=&quot;Times New Roman&quot; xml:space=&quot;preserve&quot;&amp;gt; la consommation de sacs en plastique légers&amp;lt;/Run&amp;gt;&amp;lt;LineBreak /&amp;gt;&amp;lt;Run FontFamily=&quot;Times New Roman&quot; xml:lang=&quot;fr-be&quot;&amp;gt;- Adoptée par le Conseil le 2 mars 2015&amp;lt;/Run&amp;gt;&amp;lt;/Paragraph&amp;gt;&amp;lt;/FlowDocument&amp;gt;&lt;/xaml&gt;_x000d__x000a_  &lt;/metadata&gt;_x000d__x000a_  &lt;metadata key=&quot;md_SubjectFootnote&quot; /&gt;_x000d__x000a_  &lt;metadata key=&quot;md_DG&quot;&gt;_x000d__x000a_    &lt;text&gt;DGE 1&lt;/text&gt;_x000d__x000a_  &lt;/metadata&gt;_x000d__x000a_  &lt;metadata key=&quot;md_Initials&quot;&gt;_x000d__x000a_    &lt;text&gt;RZ/sj&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E55A67"/>
    <w:rsid w:val="0000414C"/>
    <w:rsid w:val="00012CC7"/>
    <w:rsid w:val="00050218"/>
    <w:rsid w:val="00054FB4"/>
    <w:rsid w:val="00087979"/>
    <w:rsid w:val="00087D67"/>
    <w:rsid w:val="000953C4"/>
    <w:rsid w:val="000B14AC"/>
    <w:rsid w:val="00146498"/>
    <w:rsid w:val="001B68ED"/>
    <w:rsid w:val="001D37F7"/>
    <w:rsid w:val="00223AE8"/>
    <w:rsid w:val="00224697"/>
    <w:rsid w:val="002259F6"/>
    <w:rsid w:val="00231E44"/>
    <w:rsid w:val="00256C78"/>
    <w:rsid w:val="002762AD"/>
    <w:rsid w:val="00277A22"/>
    <w:rsid w:val="002D12FD"/>
    <w:rsid w:val="002E594E"/>
    <w:rsid w:val="003040FD"/>
    <w:rsid w:val="00357184"/>
    <w:rsid w:val="0036128D"/>
    <w:rsid w:val="00377335"/>
    <w:rsid w:val="003A1B24"/>
    <w:rsid w:val="003A6C1A"/>
    <w:rsid w:val="003B56F0"/>
    <w:rsid w:val="003C4B1B"/>
    <w:rsid w:val="003F3344"/>
    <w:rsid w:val="00401C51"/>
    <w:rsid w:val="004261C4"/>
    <w:rsid w:val="004425B1"/>
    <w:rsid w:val="00452089"/>
    <w:rsid w:val="004533BD"/>
    <w:rsid w:val="0045489F"/>
    <w:rsid w:val="004662E3"/>
    <w:rsid w:val="004C5F28"/>
    <w:rsid w:val="00506598"/>
    <w:rsid w:val="0050762B"/>
    <w:rsid w:val="00517859"/>
    <w:rsid w:val="00552AFE"/>
    <w:rsid w:val="005913F3"/>
    <w:rsid w:val="00592307"/>
    <w:rsid w:val="005C3111"/>
    <w:rsid w:val="006064CD"/>
    <w:rsid w:val="00613765"/>
    <w:rsid w:val="00632283"/>
    <w:rsid w:val="00635045"/>
    <w:rsid w:val="0067029C"/>
    <w:rsid w:val="00695110"/>
    <w:rsid w:val="007050B5"/>
    <w:rsid w:val="00795A76"/>
    <w:rsid w:val="007F27A4"/>
    <w:rsid w:val="00811704"/>
    <w:rsid w:val="00827ED1"/>
    <w:rsid w:val="008425D6"/>
    <w:rsid w:val="008663AC"/>
    <w:rsid w:val="00886C9C"/>
    <w:rsid w:val="008A5EDA"/>
    <w:rsid w:val="008C1477"/>
    <w:rsid w:val="008C71C4"/>
    <w:rsid w:val="00957737"/>
    <w:rsid w:val="009635C5"/>
    <w:rsid w:val="00971064"/>
    <w:rsid w:val="00991B80"/>
    <w:rsid w:val="00996841"/>
    <w:rsid w:val="00A306DC"/>
    <w:rsid w:val="00A37DBB"/>
    <w:rsid w:val="00A953FC"/>
    <w:rsid w:val="00AB4708"/>
    <w:rsid w:val="00AD2D58"/>
    <w:rsid w:val="00B10CBB"/>
    <w:rsid w:val="00B25505"/>
    <w:rsid w:val="00B74822"/>
    <w:rsid w:val="00B96443"/>
    <w:rsid w:val="00BA3A34"/>
    <w:rsid w:val="00BB10FF"/>
    <w:rsid w:val="00BD5E59"/>
    <w:rsid w:val="00BF14F9"/>
    <w:rsid w:val="00C01F8E"/>
    <w:rsid w:val="00C2514A"/>
    <w:rsid w:val="00C41061"/>
    <w:rsid w:val="00C463BD"/>
    <w:rsid w:val="00C53847"/>
    <w:rsid w:val="00C73381"/>
    <w:rsid w:val="00CB08DD"/>
    <w:rsid w:val="00CB49D3"/>
    <w:rsid w:val="00CE5A7C"/>
    <w:rsid w:val="00CE6B9F"/>
    <w:rsid w:val="00D1285A"/>
    <w:rsid w:val="00D47313"/>
    <w:rsid w:val="00D60EEB"/>
    <w:rsid w:val="00D6107D"/>
    <w:rsid w:val="00D839C7"/>
    <w:rsid w:val="00D86BFA"/>
    <w:rsid w:val="00D91432"/>
    <w:rsid w:val="00DD5ED8"/>
    <w:rsid w:val="00DD6872"/>
    <w:rsid w:val="00DF16FD"/>
    <w:rsid w:val="00E004AC"/>
    <w:rsid w:val="00E42310"/>
    <w:rsid w:val="00E452A0"/>
    <w:rsid w:val="00E55A67"/>
    <w:rsid w:val="00E74AF7"/>
    <w:rsid w:val="00E76746"/>
    <w:rsid w:val="00EC4E58"/>
    <w:rsid w:val="00EC74B8"/>
    <w:rsid w:val="00EE586D"/>
    <w:rsid w:val="00EF4AD8"/>
    <w:rsid w:val="00F05CE9"/>
    <w:rsid w:val="00F43A95"/>
    <w:rsid w:val="00F77ECA"/>
    <w:rsid w:val="00FC361E"/>
    <w:rsid w:val="00FC6A87"/>
    <w:rsid w:val="00FE53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22"/>
      </w:numPr>
      <w:spacing w:before="360"/>
      <w:outlineLvl w:val="0"/>
    </w:pPr>
    <w:rPr>
      <w:b/>
      <w:bCs/>
      <w:smallCaps/>
      <w:szCs w:val="32"/>
    </w:rPr>
  </w:style>
  <w:style w:type="paragraph" w:styleId="Heading2">
    <w:name w:val="heading 2"/>
    <w:basedOn w:val="Normal"/>
    <w:next w:val="Text1"/>
    <w:qFormat/>
    <w:rsid w:val="00224697"/>
    <w:pPr>
      <w:keepNext/>
      <w:numPr>
        <w:ilvl w:val="1"/>
        <w:numId w:val="22"/>
      </w:numPr>
      <w:outlineLvl w:val="1"/>
    </w:pPr>
    <w:rPr>
      <w:b/>
      <w:bCs/>
      <w:iCs/>
      <w:szCs w:val="28"/>
    </w:rPr>
  </w:style>
  <w:style w:type="paragraph" w:styleId="Heading3">
    <w:name w:val="heading 3"/>
    <w:basedOn w:val="Normal"/>
    <w:next w:val="Text1"/>
    <w:qFormat/>
    <w:rsid w:val="00224697"/>
    <w:pPr>
      <w:keepNext/>
      <w:numPr>
        <w:ilvl w:val="2"/>
        <w:numId w:val="22"/>
      </w:numPr>
      <w:outlineLvl w:val="2"/>
    </w:pPr>
    <w:rPr>
      <w:bCs/>
      <w:i/>
      <w:szCs w:val="26"/>
    </w:rPr>
  </w:style>
  <w:style w:type="paragraph" w:styleId="Heading4">
    <w:name w:val="heading 4"/>
    <w:basedOn w:val="Normal"/>
    <w:next w:val="Text1"/>
    <w:qFormat/>
    <w:rsid w:val="00224697"/>
    <w:pPr>
      <w:keepNext/>
      <w:numPr>
        <w:ilvl w:val="3"/>
        <w:numId w:val="22"/>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E55A67"/>
    <w:pPr>
      <w:spacing w:before="0" w:after="600" w:line="240" w:lineRule="auto"/>
      <w:jc w:val="center"/>
    </w:pPr>
    <w:rPr>
      <w:b/>
      <w:caps/>
      <w:lang w:eastAsia="de-DE"/>
    </w:rPr>
  </w:style>
  <w:style w:type="paragraph" w:customStyle="1" w:styleId="Rfrenceinterne">
    <w:name w:val="Référence interne"/>
    <w:basedOn w:val="Normal"/>
    <w:next w:val="Normal"/>
    <w:rsid w:val="00E55A67"/>
    <w:pPr>
      <w:spacing w:before="0" w:after="600" w:line="240" w:lineRule="auto"/>
      <w:jc w:val="center"/>
    </w:pPr>
    <w:rPr>
      <w:b/>
      <w:lang w:eastAsia="de-DE"/>
    </w:rPr>
  </w:style>
  <w:style w:type="paragraph" w:customStyle="1" w:styleId="HeaderCouncilLarge">
    <w:name w:val="Header Council Large"/>
    <w:basedOn w:val="Normal"/>
    <w:link w:val="HeaderCouncilLargeChar"/>
    <w:rsid w:val="00E55A67"/>
    <w:pPr>
      <w:spacing w:before="0" w:after="440"/>
    </w:pPr>
    <w:rPr>
      <w:sz w:val="2"/>
    </w:rPr>
  </w:style>
  <w:style w:type="character" w:customStyle="1" w:styleId="LignefinalChar">
    <w:name w:val="Ligne final Char"/>
    <w:rsid w:val="00E55A67"/>
    <w:rPr>
      <w:b/>
      <w:sz w:val="24"/>
      <w:szCs w:val="24"/>
      <w:lang w:val="fr-FR" w:eastAsia="en-US"/>
    </w:rPr>
  </w:style>
  <w:style w:type="character" w:customStyle="1" w:styleId="HeaderCouncilLargeChar">
    <w:name w:val="Header Council Large Char"/>
    <w:link w:val="HeaderCouncilLarge"/>
    <w:rsid w:val="00E55A67"/>
    <w:rPr>
      <w:sz w:val="2"/>
      <w:szCs w:val="24"/>
      <w:lang w:val="fr-FR" w:eastAsia="en-US"/>
    </w:rPr>
  </w:style>
  <w:style w:type="paragraph" w:customStyle="1" w:styleId="FooterText">
    <w:name w:val="Footer Text"/>
    <w:basedOn w:val="Normal"/>
    <w:rsid w:val="00E55A67"/>
    <w:pPr>
      <w:spacing w:before="0" w:after="0" w:line="240" w:lineRule="auto"/>
    </w:pPr>
    <w:rPr>
      <w:lang w:val="en-GB"/>
    </w:rPr>
  </w:style>
  <w:style w:type="paragraph" w:customStyle="1" w:styleId="FinalLine">
    <w:name w:val="Final Line"/>
    <w:basedOn w:val="Normal"/>
    <w:next w:val="Normal"/>
    <w:rsid w:val="00146498"/>
    <w:pPr>
      <w:pBdr>
        <w:bottom w:val="single" w:sz="4" w:space="0" w:color="000000"/>
      </w:pBdr>
      <w:spacing w:before="360"/>
      <w:ind w:left="3400" w:right="3400"/>
      <w:jc w:val="center"/>
    </w:pPr>
    <w:rPr>
      <w:b/>
      <w:lang w:eastAsia="fr-FR" w:bidi="fr-FR"/>
    </w:rPr>
  </w:style>
  <w:style w:type="character" w:styleId="CommentReference">
    <w:name w:val="annotation reference"/>
    <w:uiPriority w:val="99"/>
    <w:semiHidden/>
    <w:unhideWhenUsed/>
    <w:rsid w:val="00592307"/>
    <w:rPr>
      <w:sz w:val="16"/>
      <w:szCs w:val="16"/>
    </w:rPr>
  </w:style>
  <w:style w:type="paragraph" w:styleId="CommentText">
    <w:name w:val="annotation text"/>
    <w:basedOn w:val="Normal"/>
    <w:link w:val="CommentTextChar"/>
    <w:uiPriority w:val="99"/>
    <w:semiHidden/>
    <w:unhideWhenUsed/>
    <w:rsid w:val="00592307"/>
    <w:rPr>
      <w:sz w:val="20"/>
      <w:szCs w:val="20"/>
    </w:rPr>
  </w:style>
  <w:style w:type="character" w:customStyle="1" w:styleId="CommentTextChar">
    <w:name w:val="Comment Text Char"/>
    <w:link w:val="CommentText"/>
    <w:uiPriority w:val="99"/>
    <w:semiHidden/>
    <w:rsid w:val="00592307"/>
    <w:rPr>
      <w:lang w:val="fr-FR" w:eastAsia="en-US"/>
    </w:rPr>
  </w:style>
  <w:style w:type="paragraph" w:styleId="CommentSubject">
    <w:name w:val="annotation subject"/>
    <w:basedOn w:val="CommentText"/>
    <w:next w:val="CommentText"/>
    <w:link w:val="CommentSubjectChar"/>
    <w:uiPriority w:val="99"/>
    <w:semiHidden/>
    <w:unhideWhenUsed/>
    <w:rsid w:val="00592307"/>
    <w:rPr>
      <w:b/>
      <w:bCs/>
    </w:rPr>
  </w:style>
  <w:style w:type="character" w:customStyle="1" w:styleId="CommentSubjectChar">
    <w:name w:val="Comment Subject Char"/>
    <w:link w:val="CommentSubject"/>
    <w:uiPriority w:val="99"/>
    <w:semiHidden/>
    <w:rsid w:val="00592307"/>
    <w:rPr>
      <w:b/>
      <w:bCs/>
      <w:lang w:val="fr-FR" w:eastAsia="en-US"/>
    </w:rPr>
  </w:style>
  <w:style w:type="paragraph" w:styleId="Revision">
    <w:name w:val="Revision"/>
    <w:hidden/>
    <w:uiPriority w:val="99"/>
    <w:semiHidden/>
    <w:rsid w:val="00592307"/>
    <w:rPr>
      <w:sz w:val="24"/>
      <w:szCs w:val="24"/>
      <w:lang w:val="fr-FR" w:eastAsia="en-US"/>
    </w:rPr>
  </w:style>
  <w:style w:type="paragraph" w:styleId="BalloonText">
    <w:name w:val="Balloon Text"/>
    <w:basedOn w:val="Normal"/>
    <w:link w:val="BalloonTextChar"/>
    <w:uiPriority w:val="99"/>
    <w:semiHidden/>
    <w:unhideWhenUsed/>
    <w:rsid w:val="00592307"/>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592307"/>
    <w:rPr>
      <w:rFonts w:ascii="Tahoma" w:hAnsi="Tahoma" w:cs="Tahoma"/>
      <w:sz w:val="16"/>
      <w:szCs w:val="16"/>
      <w:lang w:val="fr-FR" w:eastAsia="en-US"/>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rsid w:val="004533BD"/>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6"/>
      </w:numPr>
    </w:pPr>
  </w:style>
  <w:style w:type="paragraph" w:customStyle="1" w:styleId="Tiret1">
    <w:name w:val="Tiret 1"/>
    <w:basedOn w:val="Normal"/>
    <w:rsid w:val="00224697"/>
    <w:pPr>
      <w:numPr>
        <w:numId w:val="17"/>
      </w:numPr>
      <w:outlineLvl w:val="0"/>
    </w:pPr>
  </w:style>
  <w:style w:type="paragraph" w:customStyle="1" w:styleId="Tiret2">
    <w:name w:val="Tiret 2"/>
    <w:basedOn w:val="Normal"/>
    <w:rsid w:val="00224697"/>
    <w:pPr>
      <w:numPr>
        <w:numId w:val="18"/>
      </w:numPr>
      <w:outlineLvl w:val="1"/>
    </w:pPr>
  </w:style>
  <w:style w:type="paragraph" w:customStyle="1" w:styleId="Tiret3">
    <w:name w:val="Tiret 3"/>
    <w:basedOn w:val="Normal"/>
    <w:rsid w:val="00224697"/>
    <w:pPr>
      <w:numPr>
        <w:numId w:val="19"/>
      </w:numPr>
      <w:outlineLvl w:val="2"/>
    </w:pPr>
  </w:style>
  <w:style w:type="paragraph" w:customStyle="1" w:styleId="Tiret4">
    <w:name w:val="Tiret 4"/>
    <w:basedOn w:val="Normal"/>
    <w:rsid w:val="00224697"/>
    <w:pPr>
      <w:numPr>
        <w:numId w:val="20"/>
      </w:numPr>
      <w:outlineLvl w:val="3"/>
    </w:pPr>
  </w:style>
  <w:style w:type="paragraph" w:customStyle="1" w:styleId="NumPar1">
    <w:name w:val="NumPar 1"/>
    <w:basedOn w:val="Normal"/>
    <w:next w:val="Text1"/>
    <w:rsid w:val="00224697"/>
    <w:pPr>
      <w:numPr>
        <w:numId w:val="21"/>
      </w:numPr>
      <w:outlineLvl w:val="0"/>
    </w:pPr>
  </w:style>
  <w:style w:type="paragraph" w:customStyle="1" w:styleId="NumPar2">
    <w:name w:val="NumPar 2"/>
    <w:basedOn w:val="Normal"/>
    <w:next w:val="Text1"/>
    <w:rsid w:val="00224697"/>
    <w:pPr>
      <w:numPr>
        <w:ilvl w:val="1"/>
        <w:numId w:val="21"/>
      </w:numPr>
      <w:outlineLvl w:val="1"/>
    </w:pPr>
  </w:style>
  <w:style w:type="paragraph" w:customStyle="1" w:styleId="NumPar3">
    <w:name w:val="NumPar 3"/>
    <w:basedOn w:val="Normal"/>
    <w:next w:val="Text1"/>
    <w:rsid w:val="00224697"/>
    <w:pPr>
      <w:numPr>
        <w:ilvl w:val="2"/>
        <w:numId w:val="21"/>
      </w:numPr>
      <w:outlineLvl w:val="2"/>
    </w:pPr>
  </w:style>
  <w:style w:type="paragraph" w:customStyle="1" w:styleId="NumPar4">
    <w:name w:val="NumPar 4"/>
    <w:basedOn w:val="Normal"/>
    <w:next w:val="Text1"/>
    <w:rsid w:val="00224697"/>
    <w:pPr>
      <w:numPr>
        <w:ilvl w:val="3"/>
        <w:numId w:val="21"/>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23"/>
      </w:numPr>
    </w:pPr>
  </w:style>
  <w:style w:type="paragraph" w:customStyle="1" w:styleId="Point1number">
    <w:name w:val="Point 1 (number)"/>
    <w:basedOn w:val="Normal"/>
    <w:rsid w:val="00224697"/>
    <w:pPr>
      <w:numPr>
        <w:ilvl w:val="2"/>
        <w:numId w:val="23"/>
      </w:numPr>
      <w:outlineLvl w:val="0"/>
    </w:pPr>
  </w:style>
  <w:style w:type="paragraph" w:customStyle="1" w:styleId="Point2number">
    <w:name w:val="Point 2 (number)"/>
    <w:basedOn w:val="Normal"/>
    <w:rsid w:val="00224697"/>
    <w:pPr>
      <w:numPr>
        <w:ilvl w:val="4"/>
        <w:numId w:val="23"/>
      </w:numPr>
      <w:outlineLvl w:val="1"/>
    </w:pPr>
  </w:style>
  <w:style w:type="paragraph" w:customStyle="1" w:styleId="Point3number">
    <w:name w:val="Point 3 (number)"/>
    <w:basedOn w:val="Normal"/>
    <w:rsid w:val="00224697"/>
    <w:pPr>
      <w:numPr>
        <w:ilvl w:val="6"/>
        <w:numId w:val="23"/>
      </w:numPr>
      <w:outlineLvl w:val="2"/>
    </w:pPr>
  </w:style>
  <w:style w:type="paragraph" w:customStyle="1" w:styleId="Point0letter">
    <w:name w:val="Point 0 (letter)"/>
    <w:basedOn w:val="Normal"/>
    <w:rsid w:val="00224697"/>
    <w:pPr>
      <w:numPr>
        <w:ilvl w:val="1"/>
        <w:numId w:val="23"/>
      </w:numPr>
    </w:pPr>
  </w:style>
  <w:style w:type="paragraph" w:customStyle="1" w:styleId="Point1letter">
    <w:name w:val="Point 1 (letter)"/>
    <w:basedOn w:val="Normal"/>
    <w:rsid w:val="00224697"/>
    <w:pPr>
      <w:numPr>
        <w:ilvl w:val="3"/>
        <w:numId w:val="23"/>
      </w:numPr>
      <w:outlineLvl w:val="0"/>
    </w:pPr>
  </w:style>
  <w:style w:type="paragraph" w:customStyle="1" w:styleId="Point2letter">
    <w:name w:val="Point 2 (letter)"/>
    <w:basedOn w:val="Normal"/>
    <w:rsid w:val="00224697"/>
    <w:pPr>
      <w:numPr>
        <w:ilvl w:val="5"/>
        <w:numId w:val="23"/>
      </w:numPr>
      <w:outlineLvl w:val="1"/>
    </w:pPr>
  </w:style>
  <w:style w:type="paragraph" w:customStyle="1" w:styleId="Point3letter">
    <w:name w:val="Point 3 (letter)"/>
    <w:basedOn w:val="Normal"/>
    <w:rsid w:val="00224697"/>
    <w:pPr>
      <w:numPr>
        <w:ilvl w:val="7"/>
        <w:numId w:val="23"/>
      </w:numPr>
      <w:outlineLvl w:val="2"/>
    </w:pPr>
  </w:style>
  <w:style w:type="paragraph" w:customStyle="1" w:styleId="Point4letter">
    <w:name w:val="Point 4 (letter)"/>
    <w:basedOn w:val="Normal"/>
    <w:rsid w:val="00224697"/>
    <w:pPr>
      <w:numPr>
        <w:ilvl w:val="8"/>
        <w:numId w:val="23"/>
      </w:numPr>
      <w:outlineLvl w:val="3"/>
    </w:pPr>
  </w:style>
  <w:style w:type="paragraph" w:customStyle="1" w:styleId="Bullet0">
    <w:name w:val="Bullet 0"/>
    <w:basedOn w:val="Normal"/>
    <w:rsid w:val="00224697"/>
    <w:pPr>
      <w:numPr>
        <w:numId w:val="24"/>
      </w:numPr>
    </w:pPr>
  </w:style>
  <w:style w:type="paragraph" w:customStyle="1" w:styleId="Bullet1">
    <w:name w:val="Bullet 1"/>
    <w:basedOn w:val="Normal"/>
    <w:rsid w:val="00224697"/>
    <w:pPr>
      <w:numPr>
        <w:numId w:val="25"/>
      </w:numPr>
      <w:outlineLvl w:val="0"/>
    </w:pPr>
  </w:style>
  <w:style w:type="paragraph" w:customStyle="1" w:styleId="Bullet2">
    <w:name w:val="Bullet 2"/>
    <w:basedOn w:val="Normal"/>
    <w:rsid w:val="00224697"/>
    <w:pPr>
      <w:numPr>
        <w:numId w:val="26"/>
      </w:numPr>
      <w:outlineLvl w:val="1"/>
    </w:pPr>
  </w:style>
  <w:style w:type="paragraph" w:customStyle="1" w:styleId="Bullet3">
    <w:name w:val="Bullet 3"/>
    <w:basedOn w:val="Normal"/>
    <w:rsid w:val="00224697"/>
    <w:pPr>
      <w:numPr>
        <w:numId w:val="27"/>
      </w:numPr>
      <w:outlineLvl w:val="2"/>
    </w:pPr>
  </w:style>
  <w:style w:type="paragraph" w:customStyle="1" w:styleId="Bullet4">
    <w:name w:val="Bullet 4"/>
    <w:basedOn w:val="Normal"/>
    <w:rsid w:val="00224697"/>
    <w:pPr>
      <w:numPr>
        <w:numId w:val="28"/>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29"/>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styleId="ListBullet">
    <w:name w:val="List Bullet"/>
    <w:basedOn w:val="Normal"/>
    <w:uiPriority w:val="99"/>
    <w:semiHidden/>
    <w:unhideWhenUsed/>
    <w:rsid w:val="004533BD"/>
    <w:pPr>
      <w:numPr>
        <w:numId w:val="30"/>
      </w:numPr>
      <w:contextualSpacing/>
    </w:pPr>
  </w:style>
  <w:style w:type="paragraph" w:styleId="ListBullet2">
    <w:name w:val="List Bullet 2"/>
    <w:basedOn w:val="Normal"/>
    <w:uiPriority w:val="99"/>
    <w:semiHidden/>
    <w:unhideWhenUsed/>
    <w:rsid w:val="004533BD"/>
    <w:pPr>
      <w:numPr>
        <w:numId w:val="31"/>
      </w:numPr>
      <w:contextualSpacing/>
    </w:pPr>
  </w:style>
  <w:style w:type="paragraph" w:styleId="ListBullet3">
    <w:name w:val="List Bullet 3"/>
    <w:basedOn w:val="Normal"/>
    <w:uiPriority w:val="99"/>
    <w:semiHidden/>
    <w:unhideWhenUsed/>
    <w:rsid w:val="004533BD"/>
    <w:pPr>
      <w:numPr>
        <w:numId w:val="32"/>
      </w:numPr>
      <w:contextualSpacing/>
    </w:pPr>
  </w:style>
  <w:style w:type="paragraph" w:styleId="ListBullet4">
    <w:name w:val="List Bullet 4"/>
    <w:basedOn w:val="Normal"/>
    <w:uiPriority w:val="99"/>
    <w:semiHidden/>
    <w:unhideWhenUsed/>
    <w:rsid w:val="004533BD"/>
    <w:pPr>
      <w:numPr>
        <w:numId w:val="33"/>
      </w:numPr>
      <w:contextualSpacing/>
    </w:pPr>
  </w:style>
  <w:style w:type="paragraph" w:styleId="ListNumber">
    <w:name w:val="List Number"/>
    <w:basedOn w:val="Normal"/>
    <w:uiPriority w:val="99"/>
    <w:semiHidden/>
    <w:unhideWhenUsed/>
    <w:rsid w:val="004533BD"/>
    <w:pPr>
      <w:numPr>
        <w:numId w:val="34"/>
      </w:numPr>
      <w:contextualSpacing/>
    </w:pPr>
  </w:style>
  <w:style w:type="paragraph" w:styleId="ListNumber2">
    <w:name w:val="List Number 2"/>
    <w:basedOn w:val="Normal"/>
    <w:uiPriority w:val="99"/>
    <w:semiHidden/>
    <w:unhideWhenUsed/>
    <w:rsid w:val="004533BD"/>
    <w:pPr>
      <w:numPr>
        <w:numId w:val="35"/>
      </w:numPr>
      <w:contextualSpacing/>
    </w:pPr>
  </w:style>
  <w:style w:type="paragraph" w:styleId="ListNumber3">
    <w:name w:val="List Number 3"/>
    <w:basedOn w:val="Normal"/>
    <w:uiPriority w:val="99"/>
    <w:semiHidden/>
    <w:unhideWhenUsed/>
    <w:rsid w:val="004533BD"/>
    <w:pPr>
      <w:numPr>
        <w:numId w:val="36"/>
      </w:numPr>
      <w:contextualSpacing/>
    </w:pPr>
  </w:style>
  <w:style w:type="paragraph" w:styleId="ListNumber4">
    <w:name w:val="List Number 4"/>
    <w:basedOn w:val="Normal"/>
    <w:uiPriority w:val="99"/>
    <w:semiHidden/>
    <w:unhideWhenUsed/>
    <w:rsid w:val="004533BD"/>
    <w:pPr>
      <w:numPr>
        <w:numId w:val="37"/>
      </w:numPr>
      <w:contextualSpacing/>
    </w:pPr>
  </w:style>
  <w:style w:type="character" w:styleId="Hyperlink">
    <w:name w:val="Hyperlink"/>
    <w:basedOn w:val="DefaultParagraphFont"/>
    <w:uiPriority w:val="99"/>
    <w:unhideWhenUsed/>
    <w:rsid w:val="004533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5136C-815F-4A5F-9D87-04A09618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TotalTime>
  <Pages>16</Pages>
  <Words>2559</Words>
  <Characters>14561</Characters>
  <Application>Microsoft Office Word</Application>
  <DocSecurity>0</DocSecurity>
  <Lines>251</Lines>
  <Paragraphs>90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JAMET Sylvie</dc:creator>
  <cp:lastModifiedBy>JAMET Sylvie</cp:lastModifiedBy>
  <cp:revision>2</cp:revision>
  <cp:lastPrinted>2015-02-10T08:57:00Z</cp:lastPrinted>
  <dcterms:created xsi:type="dcterms:W3CDTF">2015-03-04T09:18:00Z</dcterms:created>
  <dcterms:modified xsi:type="dcterms:W3CDTF">2015-03-04T09:18:00Z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ies>
</file>