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7A5082" w:rsidRDefault="00E26DCC" w:rsidP="007A5082">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c0ec31-b40f-44d0-9612-1fc64abfa4ca" style="width:569pt;height:357pt">
            <v:imagedata r:id="rId9" o:title=""/>
          </v:shape>
        </w:pict>
      </w:r>
      <w:bookmarkEnd w:id="0"/>
    </w:p>
    <w:p w:rsidR="00A025A9" w:rsidRPr="00606AEB" w:rsidRDefault="00A025A9">
      <w:pPr>
        <w:sectPr w:rsidR="00A025A9" w:rsidRPr="00606AEB" w:rsidSect="00E26DCC">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746A6C" w:rsidRPr="00606AEB" w:rsidRDefault="00746A6C" w:rsidP="00746A6C">
      <w:pPr>
        <w:pStyle w:val="Typedudocument"/>
        <w:rPr>
          <w:rFonts w:eastAsia="Calibri"/>
          <w:noProof/>
          <w:lang w:val="en-US"/>
        </w:rPr>
      </w:pPr>
      <w:r w:rsidRPr="00606AEB">
        <w:rPr>
          <w:rFonts w:eastAsia="Calibri"/>
          <w:noProof/>
          <w:lang w:val="en-US"/>
        </w:rPr>
        <w:lastRenderedPageBreak/>
        <w:t>DIRECTIVE (</w:t>
      </w:r>
      <w:r w:rsidR="004F63EA" w:rsidRPr="00606AEB">
        <w:rPr>
          <w:rFonts w:eastAsia="Calibri"/>
          <w:noProof/>
          <w:lang w:val="en-US"/>
        </w:rPr>
        <w:t>E</w:t>
      </w:r>
      <w:r w:rsidRPr="00606AEB">
        <w:rPr>
          <w:rFonts w:eastAsia="Calibri"/>
          <w:noProof/>
          <w:lang w:val="en-US"/>
        </w:rPr>
        <w:t xml:space="preserve">U) 2015/… </w:t>
      </w:r>
      <w:r w:rsidRPr="00606AEB">
        <w:rPr>
          <w:rFonts w:eastAsia="Calibri"/>
          <w:noProof/>
          <w:lang w:val="en-US"/>
        </w:rPr>
        <w:br/>
        <w:t>OF THE EUROPEAN PARLIAMENT AND OF THE COUNCIL</w:t>
      </w:r>
    </w:p>
    <w:p w:rsidR="00746A6C" w:rsidRPr="00606AEB" w:rsidRDefault="00746A6C" w:rsidP="00746A6C">
      <w:pPr>
        <w:pStyle w:val="Datedadoption"/>
        <w:rPr>
          <w:rFonts w:eastAsia="Calibri"/>
          <w:noProof/>
          <w:lang w:val="en-US"/>
        </w:rPr>
      </w:pPr>
      <w:r w:rsidRPr="00606AEB">
        <w:rPr>
          <w:rFonts w:eastAsia="Calibri"/>
          <w:noProof/>
          <w:lang w:val="en-US"/>
        </w:rPr>
        <w:t>of</w:t>
      </w:r>
    </w:p>
    <w:p w:rsidR="00746A6C" w:rsidRPr="00606AEB" w:rsidRDefault="00606AEB" w:rsidP="00606AEB">
      <w:pPr>
        <w:pStyle w:val="Titreobjet"/>
        <w:rPr>
          <w:rFonts w:eastAsia="Calibri"/>
          <w:noProof/>
          <w:lang w:val="en-US"/>
        </w:rPr>
      </w:pPr>
      <w:r w:rsidRPr="00606AEB">
        <w:rPr>
          <w:rFonts w:eastAsia="Calibri"/>
          <w:noProof/>
          <w:lang w:val="en-US"/>
        </w:rPr>
        <w:t>amending Directive 94/62/EC</w:t>
      </w:r>
      <w:r w:rsidRPr="00606AEB">
        <w:rPr>
          <w:rFonts w:eastAsia="Calibri"/>
          <w:noProof/>
          <w:lang w:val="en-US"/>
        </w:rPr>
        <w:br/>
      </w:r>
      <w:r w:rsidR="00746A6C" w:rsidRPr="00606AEB">
        <w:rPr>
          <w:rFonts w:eastAsia="Calibri"/>
          <w:noProof/>
          <w:lang w:val="en-US"/>
        </w:rPr>
        <w:t>as regards reducing the consumption</w:t>
      </w:r>
      <w:r w:rsidR="0070598A">
        <w:rPr>
          <w:rFonts w:eastAsia="Calibri"/>
          <w:noProof/>
          <w:lang w:val="en-US"/>
        </w:rPr>
        <w:t xml:space="preserve"> </w:t>
      </w:r>
      <w:r w:rsidR="00746A6C" w:rsidRPr="00606AEB">
        <w:rPr>
          <w:rFonts w:eastAsia="Calibri"/>
          <w:noProof/>
          <w:lang w:val="en-US"/>
        </w:rPr>
        <w:t>of lightweight plastic carrier bags</w:t>
      </w:r>
    </w:p>
    <w:p w:rsidR="00746A6C" w:rsidRPr="00606AEB" w:rsidRDefault="00746A6C" w:rsidP="00746A6C">
      <w:pPr>
        <w:pStyle w:val="Sous-titreobjet"/>
        <w:rPr>
          <w:rFonts w:eastAsia="Calibri"/>
          <w:noProof/>
          <w:lang w:val="en-US"/>
        </w:rPr>
      </w:pPr>
      <w:r w:rsidRPr="00606AEB">
        <w:rPr>
          <w:rFonts w:eastAsia="Calibri"/>
          <w:noProof/>
          <w:lang w:val="en-US"/>
        </w:rPr>
        <w:t>(Text with EEA relevance)</w:t>
      </w:r>
    </w:p>
    <w:p w:rsidR="00746A6C" w:rsidRPr="00606AEB" w:rsidRDefault="00746A6C" w:rsidP="00746A6C">
      <w:pPr>
        <w:pStyle w:val="Institutionquiagit"/>
        <w:rPr>
          <w:rFonts w:eastAsia="Calibri"/>
          <w:noProof/>
          <w:lang w:val="en-US"/>
        </w:rPr>
      </w:pPr>
      <w:r w:rsidRPr="00606AEB">
        <w:rPr>
          <w:rFonts w:eastAsia="Calibri"/>
          <w:noProof/>
          <w:lang w:val="en-US"/>
        </w:rPr>
        <w:t>THE EUROPEAN PARLIAMENT AND THE COUNCIL OF THE EUROPEAN UNION,</w:t>
      </w:r>
    </w:p>
    <w:p w:rsidR="00746A6C" w:rsidRPr="00606AEB" w:rsidRDefault="00746A6C" w:rsidP="00746A6C">
      <w:pPr>
        <w:rPr>
          <w:rFonts w:eastAsia="Calibri"/>
          <w:noProof/>
          <w:lang w:val="en-US" w:eastAsia="en-GB"/>
        </w:rPr>
      </w:pPr>
      <w:r w:rsidRPr="00606AEB">
        <w:rPr>
          <w:rFonts w:eastAsia="Calibri"/>
          <w:noProof/>
          <w:lang w:val="en-US" w:eastAsia="en-GB"/>
        </w:rPr>
        <w:t>Having regard to the Treaty on the Functioning of the European Union, and in particular Article 114 thereof,</w:t>
      </w:r>
    </w:p>
    <w:p w:rsidR="00746A6C" w:rsidRPr="00606AEB" w:rsidRDefault="00746A6C" w:rsidP="00746A6C">
      <w:pPr>
        <w:rPr>
          <w:rFonts w:eastAsia="Calibri"/>
          <w:noProof/>
          <w:lang w:val="en-US" w:eastAsia="en-GB"/>
        </w:rPr>
      </w:pPr>
      <w:r w:rsidRPr="00606AEB">
        <w:rPr>
          <w:rFonts w:eastAsia="Calibri"/>
          <w:noProof/>
          <w:lang w:val="en-US" w:eastAsia="en-GB"/>
        </w:rPr>
        <w:t>Having regard to the proposal from the European Commission,</w:t>
      </w:r>
    </w:p>
    <w:p w:rsidR="00746A6C" w:rsidRPr="00606AEB" w:rsidRDefault="00746A6C" w:rsidP="00746A6C">
      <w:pPr>
        <w:rPr>
          <w:rFonts w:eastAsia="Calibri"/>
          <w:noProof/>
          <w:lang w:val="en-US" w:eastAsia="en-GB"/>
        </w:rPr>
      </w:pPr>
      <w:r w:rsidRPr="00606AEB">
        <w:rPr>
          <w:rFonts w:eastAsia="Calibri"/>
          <w:noProof/>
          <w:lang w:val="en-US" w:eastAsia="en-GB"/>
        </w:rPr>
        <w:t>After transmission of the draft legislative act to the national Parliaments,</w:t>
      </w:r>
    </w:p>
    <w:p w:rsidR="00746A6C" w:rsidRPr="00606AEB" w:rsidRDefault="00746A6C" w:rsidP="00746A6C">
      <w:pPr>
        <w:rPr>
          <w:rFonts w:eastAsia="Calibri"/>
          <w:noProof/>
          <w:lang w:val="en-US" w:eastAsia="en-GB"/>
        </w:rPr>
      </w:pPr>
      <w:r w:rsidRPr="00606AEB">
        <w:rPr>
          <w:rFonts w:eastAsia="Calibri"/>
          <w:noProof/>
          <w:lang w:val="en-US" w:eastAsia="en-GB"/>
        </w:rPr>
        <w:t>Having regard to the opinion of the European Economic and Social Committee</w:t>
      </w:r>
      <w:r w:rsidRPr="00606AEB">
        <w:rPr>
          <w:rStyle w:val="FootnoteReference"/>
          <w:rFonts w:eastAsia="Calibri"/>
        </w:rPr>
        <w:footnoteReference w:id="1"/>
      </w:r>
      <w:r w:rsidRPr="00606AEB">
        <w:rPr>
          <w:rFonts w:eastAsia="Calibri"/>
          <w:noProof/>
          <w:lang w:val="en-US" w:eastAsia="en-GB"/>
        </w:rPr>
        <w:t>,</w:t>
      </w:r>
    </w:p>
    <w:p w:rsidR="00746A6C" w:rsidRPr="00606AEB" w:rsidRDefault="00746A6C" w:rsidP="00746A6C">
      <w:pPr>
        <w:rPr>
          <w:rFonts w:eastAsia="Calibri"/>
          <w:noProof/>
          <w:lang w:val="en-US" w:eastAsia="en-GB"/>
        </w:rPr>
      </w:pPr>
      <w:r w:rsidRPr="00606AEB">
        <w:rPr>
          <w:rFonts w:eastAsia="Calibri"/>
          <w:noProof/>
          <w:lang w:val="en-US" w:eastAsia="en-GB"/>
        </w:rPr>
        <w:t>Having regard to the opinion of the Committee of the Regions</w:t>
      </w:r>
      <w:r w:rsidRPr="00606AEB">
        <w:rPr>
          <w:rStyle w:val="FootnoteReference"/>
          <w:rFonts w:eastAsia="Calibri"/>
        </w:rPr>
        <w:footnoteReference w:id="2"/>
      </w:r>
      <w:r w:rsidRPr="00606AEB">
        <w:rPr>
          <w:rFonts w:eastAsia="Calibri"/>
          <w:noProof/>
          <w:lang w:val="en-US" w:eastAsia="en-GB"/>
        </w:rPr>
        <w:t>,</w:t>
      </w:r>
    </w:p>
    <w:p w:rsidR="00746A6C" w:rsidRPr="00606AEB" w:rsidRDefault="00746A6C" w:rsidP="00746A6C">
      <w:pPr>
        <w:rPr>
          <w:rFonts w:eastAsia="Calibri"/>
          <w:noProof/>
          <w:lang w:val="en-US" w:eastAsia="en-GB"/>
        </w:rPr>
      </w:pPr>
      <w:r w:rsidRPr="00606AEB">
        <w:rPr>
          <w:rFonts w:eastAsia="Calibri"/>
          <w:noProof/>
          <w:lang w:val="en-US" w:eastAsia="en-GB"/>
        </w:rPr>
        <w:t>Acting in accordance with the ordinary legislative procedure</w:t>
      </w:r>
      <w:r w:rsidRPr="00606AEB">
        <w:rPr>
          <w:rStyle w:val="FootnoteReference"/>
          <w:rFonts w:eastAsia="Calibri" w:cs="Arial"/>
          <w:noProof/>
          <w:szCs w:val="22"/>
          <w:lang w:val="en-US" w:eastAsia="en-GB"/>
        </w:rPr>
        <w:footnoteReference w:id="3"/>
      </w:r>
      <w:r w:rsidRPr="00606AEB">
        <w:rPr>
          <w:rFonts w:eastAsia="Calibri"/>
          <w:noProof/>
          <w:lang w:val="en-US" w:eastAsia="en-GB"/>
        </w:rPr>
        <w:t>,</w:t>
      </w:r>
    </w:p>
    <w:p w:rsidR="00746A6C" w:rsidRPr="00606AEB" w:rsidRDefault="00746A6C" w:rsidP="00746A6C">
      <w:pPr>
        <w:rPr>
          <w:rFonts w:eastAsia="Calibri"/>
          <w:noProof/>
          <w:lang w:val="en-US" w:eastAsia="en-GB"/>
        </w:rPr>
      </w:pPr>
      <w:r w:rsidRPr="00606AEB">
        <w:rPr>
          <w:rFonts w:eastAsia="Calibri"/>
          <w:noProof/>
          <w:lang w:val="en-US" w:eastAsia="en-GB"/>
        </w:rPr>
        <w:br w:type="page"/>
      </w:r>
      <w:r w:rsidRPr="00606AEB">
        <w:rPr>
          <w:rFonts w:eastAsia="Calibri"/>
          <w:noProof/>
          <w:lang w:val="en-US" w:eastAsia="en-GB"/>
        </w:rPr>
        <w:lastRenderedPageBreak/>
        <w:t>Whereas:</w:t>
      </w:r>
    </w:p>
    <w:p w:rsidR="00746A6C" w:rsidRPr="00606AEB" w:rsidRDefault="00746A6C" w:rsidP="00CB7FE7">
      <w:pPr>
        <w:pStyle w:val="ManualConsidrant"/>
        <w:rPr>
          <w:rFonts w:eastAsia="Calibri"/>
          <w:noProof/>
          <w:lang w:val="en-US"/>
        </w:rPr>
      </w:pPr>
      <w:r w:rsidRPr="00606AEB">
        <w:rPr>
          <w:rFonts w:eastAsia="Calibri"/>
          <w:lang w:val="en-US"/>
        </w:rPr>
        <w:t>(1)</w:t>
      </w:r>
      <w:r w:rsidRPr="00606AEB">
        <w:rPr>
          <w:rFonts w:eastAsia="Calibri"/>
          <w:lang w:val="en-US"/>
        </w:rPr>
        <w:tab/>
      </w:r>
      <w:r w:rsidR="000D199A" w:rsidRPr="00606AEB">
        <w:rPr>
          <w:rFonts w:eastAsia="Calibri"/>
          <w:noProof/>
          <w:lang w:val="en-US"/>
        </w:rPr>
        <w:t>European Parliament and Council Directive 94/62/EC</w:t>
      </w:r>
      <w:r w:rsidRPr="00CB7FE7">
        <w:rPr>
          <w:rStyle w:val="FootnoteReference"/>
          <w:rFonts w:eastAsia="Calibri"/>
        </w:rPr>
        <w:footnoteReference w:id="4"/>
      </w:r>
      <w:r w:rsidRPr="00606AEB">
        <w:rPr>
          <w:rFonts w:eastAsia="Calibri"/>
          <w:noProof/>
          <w:lang w:val="en-US"/>
        </w:rPr>
        <w:t xml:space="preserve"> was adopted in order to prevent or reduce the impact of packaging and packaging waste on the environment. Although plastic carrier bags constitute packaging within the meaning of that Directive, it does not contain specific measures on the consumption of such bags.</w:t>
      </w:r>
    </w:p>
    <w:p w:rsidR="00746A6C" w:rsidRPr="00606AEB" w:rsidRDefault="00746A6C" w:rsidP="00746A6C">
      <w:pPr>
        <w:pStyle w:val="ManualConsidrant"/>
        <w:rPr>
          <w:rFonts w:eastAsia="Calibri"/>
        </w:rPr>
      </w:pPr>
      <w:r w:rsidRPr="00606AEB">
        <w:rPr>
          <w:rFonts w:eastAsia="Calibri"/>
          <w:lang w:val="en-US"/>
        </w:rPr>
        <w:t>(2)</w:t>
      </w:r>
      <w:r w:rsidRPr="00606AEB">
        <w:rPr>
          <w:rFonts w:eastAsia="Calibri"/>
          <w:lang w:val="en-US"/>
        </w:rPr>
        <w:tab/>
      </w:r>
      <w:r w:rsidRPr="00606AEB">
        <w:rPr>
          <w:rFonts w:eastAsia="Calibri"/>
        </w:rPr>
        <w:t xml:space="preserve">The current consumption levels of plastic carrier bags result in high levels of littering and an inefficient use of resources and </w:t>
      </w:r>
      <w:r w:rsidR="004F63EA" w:rsidRPr="00606AEB">
        <w:rPr>
          <w:rFonts w:eastAsia="Calibri"/>
        </w:rPr>
        <w:t>are</w:t>
      </w:r>
      <w:r w:rsidRPr="00606AEB">
        <w:rPr>
          <w:rFonts w:eastAsia="Calibri"/>
        </w:rPr>
        <w:t xml:space="preserve"> expected to increase if no action is taken. Littering of plastic carrier bags results in environmental pollution and aggravates the widespread problem of litter in water bodies, threatening aquatic eco-systems worldwide.</w:t>
      </w:r>
    </w:p>
    <w:p w:rsidR="00746A6C" w:rsidRPr="00606AEB" w:rsidRDefault="00746A6C" w:rsidP="00FC7598">
      <w:pPr>
        <w:pStyle w:val="ManualConsidrant"/>
        <w:rPr>
          <w:rFonts w:eastAsia="Calibri"/>
        </w:rPr>
      </w:pPr>
      <w:r w:rsidRPr="00606AEB">
        <w:rPr>
          <w:rFonts w:eastAsia="Calibri"/>
        </w:rPr>
        <w:t>(</w:t>
      </w:r>
      <w:r w:rsidR="00FC7598" w:rsidRPr="00606AEB">
        <w:rPr>
          <w:rFonts w:eastAsia="Calibri"/>
        </w:rPr>
        <w:t>3</w:t>
      </w:r>
      <w:r w:rsidRPr="00606AEB">
        <w:rPr>
          <w:rFonts w:eastAsia="Calibri"/>
        </w:rPr>
        <w:t>)</w:t>
      </w:r>
      <w:r w:rsidRPr="00606AEB">
        <w:rPr>
          <w:rFonts w:eastAsia="Calibri"/>
        </w:rPr>
        <w:tab/>
        <w:t>Furthermore, the accumulation of plastic carrier bags in the environment has a clearly negative impact on certain economic activities.</w:t>
      </w:r>
    </w:p>
    <w:p w:rsidR="00746A6C" w:rsidRPr="00606AEB" w:rsidRDefault="00746A6C" w:rsidP="00FC7598">
      <w:pPr>
        <w:pStyle w:val="ManualConsidrant"/>
        <w:rPr>
          <w:rFonts w:eastAsia="Calibri"/>
        </w:rPr>
      </w:pPr>
      <w:r w:rsidRPr="00606AEB">
        <w:rPr>
          <w:rFonts w:eastAsia="Calibri"/>
        </w:rPr>
        <w:t>(</w:t>
      </w:r>
      <w:r w:rsidR="00FC7598" w:rsidRPr="00606AEB">
        <w:rPr>
          <w:rFonts w:eastAsia="Calibri"/>
        </w:rPr>
        <w:t>4</w:t>
      </w:r>
      <w:r w:rsidRPr="00606AEB">
        <w:rPr>
          <w:rFonts w:eastAsia="Calibri"/>
        </w:rPr>
        <w:t>)</w:t>
      </w:r>
      <w:r w:rsidRPr="00606AEB">
        <w:rPr>
          <w:rFonts w:eastAsia="Calibri"/>
        </w:rPr>
        <w:tab/>
        <w:t>Plastic carrier bags with a wall thickness below 50 microns (</w:t>
      </w:r>
      <w:r w:rsidR="004F63EA" w:rsidRPr="00606AEB">
        <w:rPr>
          <w:rFonts w:eastAsia="Calibri"/>
        </w:rPr>
        <w:t>'</w:t>
      </w:r>
      <w:r w:rsidRPr="00606AEB">
        <w:rPr>
          <w:rFonts w:eastAsia="Calibri"/>
        </w:rPr>
        <w:t>lightweight plastic carrier bags</w:t>
      </w:r>
      <w:r w:rsidR="006D5017" w:rsidRPr="00606AEB">
        <w:rPr>
          <w:rFonts w:eastAsia="Calibri"/>
        </w:rPr>
        <w:t>'</w:t>
      </w:r>
      <w:r w:rsidRPr="00606AEB">
        <w:rPr>
          <w:rFonts w:eastAsia="Calibri"/>
        </w:rPr>
        <w:t>), which represent the vast majority of the total number of plastic carrier bags consumed in the Union, are less frequently re-used than thicker plastic carrier bags. Consequently, lightweight plastic carrier bags become waste more quickly and are more prone to littering due to their light weight.</w:t>
      </w:r>
    </w:p>
    <w:p w:rsidR="00746A6C" w:rsidRPr="00606AEB" w:rsidRDefault="00746A6C" w:rsidP="00FC7598">
      <w:pPr>
        <w:pStyle w:val="ManualConsidrant"/>
        <w:rPr>
          <w:rFonts w:eastAsia="Calibri"/>
          <w:lang w:val="en-US"/>
        </w:rPr>
      </w:pPr>
      <w:r w:rsidRPr="00606AEB">
        <w:rPr>
          <w:rFonts w:eastAsia="Calibri"/>
        </w:rPr>
        <w:br w:type="page"/>
        <w:t>(</w:t>
      </w:r>
      <w:r w:rsidR="00FC7598" w:rsidRPr="00606AEB">
        <w:rPr>
          <w:rFonts w:eastAsia="Calibri"/>
        </w:rPr>
        <w:t>5</w:t>
      </w:r>
      <w:r w:rsidRPr="00606AEB">
        <w:rPr>
          <w:rFonts w:eastAsia="Calibri"/>
        </w:rPr>
        <w:t>)</w:t>
      </w:r>
      <w:r w:rsidRPr="00606AEB">
        <w:rPr>
          <w:rFonts w:eastAsia="Calibri"/>
        </w:rPr>
        <w:tab/>
        <w:t>Current recycling rates of lightweight plastic carrier bags are very low and, due to a number of practical and economic difficulties, are not likely to reach</w:t>
      </w:r>
      <w:r w:rsidRPr="00606AEB">
        <w:rPr>
          <w:rFonts w:eastAsia="Calibri"/>
          <w:lang w:val="en-US"/>
        </w:rPr>
        <w:t xml:space="preserve"> significant levels in the near future.</w:t>
      </w:r>
    </w:p>
    <w:p w:rsidR="00746A6C" w:rsidRPr="00606AEB" w:rsidRDefault="00746A6C" w:rsidP="00FC7598">
      <w:pPr>
        <w:pStyle w:val="ManualConsidrant"/>
        <w:rPr>
          <w:rFonts w:eastAsia="Calibri"/>
          <w:bCs/>
          <w:lang w:val="en-US"/>
        </w:rPr>
      </w:pPr>
      <w:r w:rsidRPr="00606AEB">
        <w:rPr>
          <w:rFonts w:eastAsia="Calibri"/>
          <w:bCs/>
          <w:noProof/>
          <w:lang w:val="en-US"/>
        </w:rPr>
        <w:t>(</w:t>
      </w:r>
      <w:r w:rsidR="00FC7598" w:rsidRPr="00606AEB">
        <w:rPr>
          <w:rFonts w:eastAsia="Calibri"/>
          <w:bCs/>
          <w:noProof/>
          <w:lang w:val="en-US"/>
        </w:rPr>
        <w:t>6</w:t>
      </w:r>
      <w:r w:rsidRPr="00606AEB">
        <w:rPr>
          <w:rFonts w:eastAsia="Calibri"/>
          <w:bCs/>
          <w:noProof/>
          <w:lang w:val="en-US"/>
        </w:rPr>
        <w:t>)</w:t>
      </w:r>
      <w:r w:rsidRPr="00606AEB">
        <w:rPr>
          <w:rFonts w:eastAsia="Calibri"/>
          <w:noProof/>
          <w:lang w:val="en-US"/>
        </w:rPr>
        <w:tab/>
      </w:r>
      <w:r w:rsidRPr="00606AEB">
        <w:rPr>
          <w:rFonts w:eastAsia="Calibri"/>
          <w:bCs/>
          <w:lang w:val="en-US"/>
        </w:rPr>
        <w:t xml:space="preserve">According to the </w:t>
      </w:r>
      <w:r w:rsidR="000D199A" w:rsidRPr="00606AEB">
        <w:rPr>
          <w:rFonts w:eastAsia="Calibri"/>
          <w:bCs/>
          <w:lang w:val="en-US"/>
        </w:rPr>
        <w:t>waste hierarchy</w:t>
      </w:r>
      <w:r w:rsidRPr="00606AEB">
        <w:rPr>
          <w:rFonts w:eastAsia="Calibri"/>
          <w:bCs/>
          <w:lang w:val="en-US"/>
        </w:rPr>
        <w:t xml:space="preserve">, prevention comes first. Plastic carrier bags serve several purposes and their consumption will continue in the future. To ensure that the </w:t>
      </w:r>
      <w:r w:rsidR="000D199A" w:rsidRPr="00606AEB">
        <w:rPr>
          <w:rFonts w:eastAsia="Calibri"/>
          <w:bCs/>
          <w:lang w:val="en-US"/>
        </w:rPr>
        <w:t xml:space="preserve">needed </w:t>
      </w:r>
      <w:r w:rsidRPr="00606AEB">
        <w:rPr>
          <w:rFonts w:eastAsia="Calibri"/>
          <w:bCs/>
          <w:lang w:val="en-US"/>
        </w:rPr>
        <w:t xml:space="preserve">plastic carrier bags will not end up </w:t>
      </w:r>
      <w:r w:rsidR="005B1DA1" w:rsidRPr="00606AEB">
        <w:rPr>
          <w:rFonts w:eastAsia="Calibri"/>
          <w:bCs/>
          <w:lang w:val="en-US"/>
        </w:rPr>
        <w:t xml:space="preserve">as waste </w:t>
      </w:r>
      <w:r w:rsidRPr="00606AEB">
        <w:rPr>
          <w:rFonts w:eastAsia="Calibri"/>
          <w:bCs/>
          <w:lang w:val="en-US"/>
        </w:rPr>
        <w:t xml:space="preserve">in the environment, adequate measures should be in place and consumers should be informed about proper waste </w:t>
      </w:r>
      <w:r w:rsidR="003D7773" w:rsidRPr="00606AEB">
        <w:rPr>
          <w:rFonts w:eastAsia="Calibri"/>
          <w:bCs/>
          <w:lang w:val="en-US"/>
        </w:rPr>
        <w:t>treatment</w:t>
      </w:r>
      <w:r w:rsidRPr="00606AEB">
        <w:rPr>
          <w:rFonts w:eastAsia="Calibri"/>
          <w:bCs/>
          <w:lang w:val="en-US"/>
        </w:rPr>
        <w:t>.</w:t>
      </w:r>
    </w:p>
    <w:p w:rsidR="00746A6C" w:rsidRPr="00606AEB" w:rsidRDefault="00746A6C" w:rsidP="00FC7598">
      <w:pPr>
        <w:pStyle w:val="ManualConsidrant"/>
        <w:rPr>
          <w:rFonts w:eastAsia="Calibri"/>
          <w:noProof/>
          <w:lang w:val="en-US" w:eastAsia="de-DE"/>
        </w:rPr>
      </w:pPr>
      <w:r w:rsidRPr="00606AEB">
        <w:rPr>
          <w:rFonts w:eastAsia="Calibri"/>
          <w:lang w:val="en-US"/>
        </w:rPr>
        <w:t>(</w:t>
      </w:r>
      <w:r w:rsidR="00FC7598" w:rsidRPr="00606AEB">
        <w:rPr>
          <w:rFonts w:eastAsia="Calibri"/>
          <w:lang w:val="en-US"/>
        </w:rPr>
        <w:t>7</w:t>
      </w:r>
      <w:r w:rsidRPr="00606AEB">
        <w:rPr>
          <w:rFonts w:eastAsia="Calibri"/>
          <w:lang w:val="en-US"/>
        </w:rPr>
        <w:t>)</w:t>
      </w:r>
      <w:r w:rsidRPr="00606AEB">
        <w:rPr>
          <w:rFonts w:eastAsia="Calibri"/>
          <w:lang w:val="en-US"/>
        </w:rPr>
        <w:tab/>
      </w:r>
      <w:r w:rsidRPr="00606AEB">
        <w:rPr>
          <w:rFonts w:eastAsia="Calibri"/>
          <w:noProof/>
          <w:lang w:val="en-US" w:eastAsia="de-DE"/>
        </w:rPr>
        <w:t>Consumption levels of plastic carrier bags vary considerably across the Union due to differences in consumption habits, environmental awareness and effectiveness of policy measures taken by Member States. Some Member States have managed to reduce consumption levels of plastic carrier bags significantly, with the average consumption level in the seven best performing Member States amounting to only 20% of the Union average consumption.</w:t>
      </w:r>
    </w:p>
    <w:p w:rsidR="00746A6C" w:rsidRPr="00606AEB" w:rsidRDefault="00746A6C" w:rsidP="00FC7598">
      <w:pPr>
        <w:pStyle w:val="ManualConsidrant"/>
        <w:rPr>
          <w:rFonts w:eastAsia="Calibri"/>
          <w:noProof/>
          <w:lang w:val="en"/>
        </w:rPr>
      </w:pPr>
      <w:r w:rsidRPr="00606AEB">
        <w:rPr>
          <w:rFonts w:eastAsia="Calibri"/>
          <w:bCs/>
          <w:noProof/>
          <w:lang w:val="en-US" w:eastAsia="de-DE"/>
        </w:rPr>
        <w:t>(</w:t>
      </w:r>
      <w:r w:rsidR="00FC7598" w:rsidRPr="00606AEB">
        <w:rPr>
          <w:rFonts w:eastAsia="Calibri"/>
          <w:bCs/>
          <w:noProof/>
          <w:lang w:val="en-US" w:eastAsia="de-DE"/>
        </w:rPr>
        <w:t>8</w:t>
      </w:r>
      <w:r w:rsidRPr="00606AEB">
        <w:rPr>
          <w:rFonts w:eastAsia="Calibri"/>
          <w:bCs/>
          <w:noProof/>
          <w:lang w:val="en-US" w:eastAsia="de-DE"/>
        </w:rPr>
        <w:t>)</w:t>
      </w:r>
      <w:r w:rsidRPr="00606AEB">
        <w:rPr>
          <w:rFonts w:eastAsia="Calibri"/>
          <w:noProof/>
          <w:lang w:val="en-US" w:eastAsia="de-DE"/>
        </w:rPr>
        <w:tab/>
      </w:r>
      <w:r w:rsidRPr="00606AEB">
        <w:rPr>
          <w:rFonts w:eastAsia="Calibri"/>
          <w:noProof/>
          <w:lang w:val="en-US"/>
        </w:rPr>
        <w:t xml:space="preserve">The availability and accuracy of data on the current consumption levels of lightweight plastic carrier bags vary between Member States. Accurate and comparable data on consumption is key to assess the effectiveness of reduction measures and to ensure uniform conditions for implementation. Therefore, </w:t>
      </w:r>
      <w:r w:rsidRPr="00606AEB">
        <w:rPr>
          <w:rFonts w:eastAsia="Calibri"/>
          <w:noProof/>
          <w:lang w:val="en"/>
        </w:rPr>
        <w:t>a common methodology for the calculation of annual consumption of lightweight plastic carrier bags per person should be developed with a view to monitoring progress in reducing consumption of such bags.</w:t>
      </w:r>
    </w:p>
    <w:p w:rsidR="00746A6C" w:rsidRPr="00606AEB" w:rsidRDefault="00746A6C" w:rsidP="00FC7598">
      <w:pPr>
        <w:pStyle w:val="ManualConsidrant"/>
        <w:rPr>
          <w:rFonts w:eastAsia="Calibri"/>
          <w:iCs/>
          <w:lang w:val="en-US"/>
        </w:rPr>
      </w:pPr>
      <w:r w:rsidRPr="00606AEB">
        <w:rPr>
          <w:rFonts w:eastAsia="Calibri"/>
          <w:noProof/>
          <w:lang w:val="en"/>
        </w:rPr>
        <w:br w:type="page"/>
        <w:t>(</w:t>
      </w:r>
      <w:r w:rsidR="00FC7598" w:rsidRPr="00606AEB">
        <w:rPr>
          <w:rFonts w:eastAsia="Calibri"/>
          <w:noProof/>
          <w:lang w:val="en"/>
        </w:rPr>
        <w:t>9</w:t>
      </w:r>
      <w:r w:rsidRPr="00606AEB">
        <w:rPr>
          <w:rFonts w:eastAsia="Calibri"/>
          <w:noProof/>
          <w:lang w:val="en"/>
        </w:rPr>
        <w:t>)</w:t>
      </w:r>
      <w:r w:rsidRPr="00606AEB">
        <w:rPr>
          <w:rFonts w:eastAsia="Calibri"/>
          <w:noProof/>
          <w:lang w:val="en"/>
        </w:rPr>
        <w:tab/>
      </w:r>
      <w:r w:rsidRPr="00606AEB">
        <w:rPr>
          <w:rFonts w:eastAsia="Calibri"/>
          <w:iCs/>
          <w:lang w:val="en-US"/>
        </w:rPr>
        <w:t>Furthermore, consumer information has been shown to play a decisive role in achieving any goals regarding a reduction in the consumption of plastic carrier bags. Therefore, efforts at institutional level are necessary to increase awareness of the environmental impact of plastic carrier bags and end the current perception of plastic as a harmless and cheap commodity.</w:t>
      </w:r>
    </w:p>
    <w:p w:rsidR="00746A6C" w:rsidRPr="00606AEB" w:rsidRDefault="00746A6C" w:rsidP="00CB7FE7">
      <w:pPr>
        <w:pStyle w:val="ManualConsidrant"/>
        <w:rPr>
          <w:rFonts w:eastAsia="Calibri"/>
          <w:noProof/>
          <w:lang w:val="en-US"/>
        </w:rPr>
      </w:pPr>
      <w:r w:rsidRPr="00606AEB">
        <w:rPr>
          <w:rFonts w:eastAsia="Calibri"/>
          <w:lang w:val="en-US"/>
        </w:rPr>
        <w:t>(</w:t>
      </w:r>
      <w:r w:rsidR="00FC7598" w:rsidRPr="00606AEB">
        <w:rPr>
          <w:rFonts w:eastAsia="Calibri"/>
          <w:lang w:val="en-US"/>
        </w:rPr>
        <w:t>10</w:t>
      </w:r>
      <w:r w:rsidRPr="00606AEB">
        <w:rPr>
          <w:rFonts w:eastAsia="Calibri"/>
          <w:lang w:val="en-US"/>
        </w:rPr>
        <w:t>)</w:t>
      </w:r>
      <w:r w:rsidRPr="00606AEB">
        <w:rPr>
          <w:rFonts w:eastAsia="Calibri"/>
          <w:lang w:val="en-US"/>
        </w:rPr>
        <w:tab/>
      </w:r>
      <w:r w:rsidRPr="00606AEB">
        <w:rPr>
          <w:rFonts w:eastAsia="Calibri"/>
          <w:noProof/>
          <w:lang w:val="en-US" w:eastAsia="de-DE"/>
        </w:rPr>
        <w:t xml:space="preserve">To promote </w:t>
      </w:r>
      <w:r w:rsidRPr="00606AEB">
        <w:rPr>
          <w:rFonts w:eastAsia="Calibri"/>
          <w:bCs/>
          <w:noProof/>
          <w:lang w:val="en-US" w:eastAsia="de-DE"/>
        </w:rPr>
        <w:t>sustained</w:t>
      </w:r>
      <w:r w:rsidRPr="00606AEB">
        <w:rPr>
          <w:rFonts w:eastAsia="Calibri"/>
          <w:noProof/>
          <w:lang w:val="en-US" w:eastAsia="de-DE"/>
        </w:rPr>
        <w:t xml:space="preserve"> reductions of the average consumption level of lightweight plastic carrier bags, Member States should take measures to </w:t>
      </w:r>
      <w:r w:rsidRPr="00606AEB">
        <w:rPr>
          <w:rFonts w:eastAsia="Calibri"/>
          <w:bCs/>
          <w:noProof/>
          <w:lang w:val="en-US" w:eastAsia="de-DE"/>
        </w:rPr>
        <w:t>significantly</w:t>
      </w:r>
      <w:r w:rsidRPr="00606AEB">
        <w:rPr>
          <w:rFonts w:eastAsia="Calibri"/>
          <w:noProof/>
          <w:lang w:val="en-US" w:eastAsia="de-DE"/>
        </w:rPr>
        <w:t xml:space="preserve"> reduce the consumption of lightweight plastic carrier bags</w:t>
      </w:r>
      <w:r w:rsidRPr="00606AEB">
        <w:rPr>
          <w:rFonts w:eastAsia="Calibri"/>
          <w:noProof/>
          <w:lang w:val="en-US"/>
        </w:rPr>
        <w:t xml:space="preserve"> </w:t>
      </w:r>
      <w:r w:rsidRPr="00606AEB">
        <w:rPr>
          <w:rFonts w:eastAsia="Calibri"/>
          <w:noProof/>
          <w:lang w:val="en-US" w:eastAsia="de-DE"/>
        </w:rPr>
        <w:t>in line with the overall objectives of the Union</w:t>
      </w:r>
      <w:r w:rsidR="00D37AE7">
        <w:rPr>
          <w:rFonts w:eastAsia="Calibri"/>
          <w:noProof/>
          <w:lang w:val="en-US" w:eastAsia="de-DE"/>
        </w:rPr>
        <w:t>'</w:t>
      </w:r>
      <w:r w:rsidRPr="00606AEB">
        <w:rPr>
          <w:rFonts w:eastAsia="Calibri"/>
          <w:noProof/>
          <w:lang w:val="en-US" w:eastAsia="de-DE"/>
        </w:rPr>
        <w:t xml:space="preserve">s waste policy and the waste hierarchy as </w:t>
      </w:r>
      <w:r w:rsidRPr="00606AEB">
        <w:rPr>
          <w:rFonts w:eastAsia="Calibri"/>
          <w:noProof/>
          <w:lang w:val="en-US"/>
        </w:rPr>
        <w:t>provided for in Directive 2008/98/EC of the European Parliament and of the Council</w:t>
      </w:r>
      <w:r w:rsidRPr="00CB7FE7">
        <w:rPr>
          <w:rStyle w:val="FootnoteReference"/>
          <w:rFonts w:eastAsia="Calibri"/>
        </w:rPr>
        <w:footnoteReference w:id="5"/>
      </w:r>
      <w:r w:rsidRPr="00606AEB">
        <w:rPr>
          <w:rFonts w:eastAsia="Calibri"/>
          <w:noProof/>
          <w:lang w:val="en-US"/>
        </w:rPr>
        <w:t>. Such reduction measures should take account of current consumption levels of plastic carrier bags in individual Member States, with higher levels requiring more ambitious efforts</w:t>
      </w:r>
      <w:r w:rsidRPr="00606AEB">
        <w:rPr>
          <w:rFonts w:eastAsia="Calibri"/>
          <w:bCs/>
          <w:noProof/>
          <w:lang w:val="en-US"/>
        </w:rPr>
        <w:t>, and take account of reductions already achieved</w:t>
      </w:r>
      <w:r w:rsidRPr="00606AEB">
        <w:rPr>
          <w:rFonts w:eastAsia="Calibri"/>
          <w:noProof/>
          <w:lang w:val="en-US"/>
        </w:rPr>
        <w:t xml:space="preserve">. To monitor progress in reducing the </w:t>
      </w:r>
      <w:r w:rsidR="000D199A" w:rsidRPr="00606AEB">
        <w:rPr>
          <w:rFonts w:eastAsia="Calibri"/>
          <w:noProof/>
          <w:lang w:val="en-US" w:eastAsia="de-DE"/>
        </w:rPr>
        <w:t xml:space="preserve">consumption </w:t>
      </w:r>
      <w:r w:rsidRPr="00606AEB">
        <w:rPr>
          <w:rFonts w:eastAsia="Calibri"/>
          <w:noProof/>
          <w:lang w:val="en-US"/>
        </w:rPr>
        <w:t xml:space="preserve">of lightweight plastic carrier bags, it is necessary that national authorities provide data on their </w:t>
      </w:r>
      <w:r w:rsidR="000D199A" w:rsidRPr="00606AEB">
        <w:rPr>
          <w:rFonts w:eastAsia="Calibri"/>
          <w:noProof/>
          <w:lang w:val="en-US"/>
        </w:rPr>
        <w:t xml:space="preserve">consumption </w:t>
      </w:r>
      <w:r w:rsidR="001B358E" w:rsidRPr="00606AEB">
        <w:rPr>
          <w:rFonts w:eastAsia="Calibri"/>
          <w:noProof/>
          <w:lang w:val="en-US"/>
        </w:rPr>
        <w:t xml:space="preserve">in </w:t>
      </w:r>
      <w:r w:rsidR="0004407D" w:rsidRPr="00606AEB">
        <w:rPr>
          <w:rFonts w:eastAsia="Calibri"/>
          <w:noProof/>
          <w:lang w:val="en-US"/>
        </w:rPr>
        <w:t>accord</w:t>
      </w:r>
      <w:r w:rsidR="001B358E" w:rsidRPr="00606AEB">
        <w:rPr>
          <w:rFonts w:eastAsia="Calibri"/>
          <w:noProof/>
          <w:lang w:val="en-US"/>
        </w:rPr>
        <w:t>ance with</w:t>
      </w:r>
      <w:r w:rsidR="0004407D" w:rsidRPr="00606AEB">
        <w:rPr>
          <w:rFonts w:eastAsia="Calibri"/>
          <w:noProof/>
          <w:lang w:val="en-US"/>
        </w:rPr>
        <w:t xml:space="preserve"> </w:t>
      </w:r>
      <w:r w:rsidR="000D199A" w:rsidRPr="00606AEB">
        <w:rPr>
          <w:rFonts w:eastAsia="Calibri"/>
          <w:noProof/>
          <w:lang w:val="en-US"/>
        </w:rPr>
        <w:t xml:space="preserve">Article </w:t>
      </w:r>
      <w:r w:rsidR="000D199A" w:rsidRPr="00606AEB">
        <w:rPr>
          <w:rFonts w:eastAsia="Calibri"/>
          <w:bCs/>
          <w:noProof/>
          <w:lang w:val="en-US"/>
        </w:rPr>
        <w:t>12</w:t>
      </w:r>
      <w:r w:rsidR="000D199A" w:rsidRPr="00606AEB">
        <w:rPr>
          <w:rFonts w:eastAsia="Calibri"/>
          <w:noProof/>
          <w:lang w:val="en-US"/>
        </w:rPr>
        <w:t xml:space="preserve"> of Directive 94/62/EC</w:t>
      </w:r>
      <w:r w:rsidR="00DC1BB0" w:rsidRPr="00606AEB">
        <w:rPr>
          <w:rFonts w:eastAsia="Calibri"/>
          <w:noProof/>
          <w:lang w:val="en-US"/>
        </w:rPr>
        <w:t>.</w:t>
      </w:r>
    </w:p>
    <w:p w:rsidR="00746A6C" w:rsidRPr="00606AEB" w:rsidRDefault="00746A6C" w:rsidP="00FC7598">
      <w:pPr>
        <w:pStyle w:val="ManualConsidrant"/>
        <w:rPr>
          <w:rFonts w:eastAsia="Calibri"/>
          <w:noProof/>
          <w:lang w:val="en-US" w:eastAsia="de-DE"/>
        </w:rPr>
      </w:pPr>
      <w:r w:rsidRPr="00606AEB">
        <w:rPr>
          <w:rFonts w:eastAsia="Calibri"/>
          <w:lang w:val="en-US"/>
        </w:rPr>
        <w:t>(</w:t>
      </w:r>
      <w:r w:rsidR="00FC7598" w:rsidRPr="00606AEB">
        <w:rPr>
          <w:rFonts w:eastAsia="Calibri"/>
          <w:lang w:val="en-US"/>
        </w:rPr>
        <w:t>11</w:t>
      </w:r>
      <w:r w:rsidRPr="00606AEB">
        <w:rPr>
          <w:rFonts w:eastAsia="Calibri"/>
          <w:lang w:val="en-US"/>
        </w:rPr>
        <w:t>)</w:t>
      </w:r>
      <w:r w:rsidRPr="00606AEB">
        <w:rPr>
          <w:rFonts w:eastAsia="Calibri"/>
          <w:lang w:val="en-US"/>
        </w:rPr>
        <w:tab/>
      </w:r>
      <w:r w:rsidRPr="00606AEB">
        <w:rPr>
          <w:rFonts w:eastAsia="Calibri"/>
          <w:noProof/>
          <w:lang w:val="en-US" w:eastAsia="de-DE"/>
        </w:rPr>
        <w:t xml:space="preserve">Measures to be taken by Member States may involve the use of economic instruments such as </w:t>
      </w:r>
      <w:r w:rsidRPr="00606AEB">
        <w:rPr>
          <w:rFonts w:eastAsia="Calibri"/>
          <w:bCs/>
          <w:noProof/>
          <w:lang w:val="en-US" w:eastAsia="de-DE"/>
        </w:rPr>
        <w:t>pricing,</w:t>
      </w:r>
      <w:r w:rsidRPr="00606AEB">
        <w:rPr>
          <w:rFonts w:eastAsia="Calibri"/>
          <w:noProof/>
          <w:lang w:val="en-US" w:eastAsia="de-DE"/>
        </w:rPr>
        <w:t xml:space="preserve"> taxes and levies, which have proved particularly effective in reducing the </w:t>
      </w:r>
      <w:r w:rsidR="000D199A" w:rsidRPr="00606AEB">
        <w:rPr>
          <w:rFonts w:eastAsia="Calibri"/>
          <w:noProof/>
          <w:lang w:val="en-US" w:eastAsia="de-DE"/>
        </w:rPr>
        <w:t>consumption</w:t>
      </w:r>
      <w:r w:rsidRPr="00606AEB">
        <w:rPr>
          <w:rFonts w:eastAsia="Calibri"/>
          <w:noProof/>
          <w:lang w:val="en-US" w:eastAsia="de-DE"/>
        </w:rPr>
        <w:t xml:space="preserve"> of plastic carrier bags, and marketing restrictions such as bans </w:t>
      </w:r>
      <w:r w:rsidR="00D87D5D" w:rsidRPr="00606AEB">
        <w:rPr>
          <w:rFonts w:eastAsia="Calibri"/>
          <w:noProof/>
          <w:lang w:val="en-US" w:eastAsia="de-DE"/>
        </w:rPr>
        <w:t>in derogation of Article 18 of Directive 94/62/EC</w:t>
      </w:r>
      <w:r w:rsidRPr="00606AEB">
        <w:rPr>
          <w:rFonts w:eastAsia="Calibri"/>
          <w:noProof/>
          <w:lang w:val="en-US" w:eastAsia="de-DE"/>
        </w:rPr>
        <w:t xml:space="preserve"> provided that these restrictions are proportionate and non-discriminatory.</w:t>
      </w:r>
    </w:p>
    <w:p w:rsidR="00746A6C" w:rsidRPr="00606AEB" w:rsidRDefault="00746A6C" w:rsidP="00FC7598">
      <w:pPr>
        <w:pStyle w:val="ManualConsidrant"/>
        <w:rPr>
          <w:rFonts w:eastAsia="Calibri"/>
          <w:noProof/>
          <w:lang w:val="en-US"/>
        </w:rPr>
      </w:pPr>
      <w:r w:rsidRPr="00606AEB">
        <w:rPr>
          <w:rFonts w:eastAsia="Calibri"/>
          <w:bCs/>
          <w:noProof/>
          <w:lang w:val="en-US" w:eastAsia="de-DE"/>
        </w:rPr>
        <w:br w:type="page"/>
        <w:t>(</w:t>
      </w:r>
      <w:r w:rsidR="00FC7598" w:rsidRPr="00606AEB">
        <w:rPr>
          <w:rFonts w:eastAsia="Calibri"/>
          <w:bCs/>
          <w:noProof/>
          <w:lang w:val="en-US" w:eastAsia="de-DE"/>
        </w:rPr>
        <w:t>12</w:t>
      </w:r>
      <w:r w:rsidRPr="00606AEB">
        <w:rPr>
          <w:rFonts w:eastAsia="Calibri"/>
          <w:bCs/>
          <w:noProof/>
          <w:lang w:val="en-US" w:eastAsia="de-DE"/>
        </w:rPr>
        <w:t>)</w:t>
      </w:r>
      <w:r w:rsidRPr="00606AEB">
        <w:rPr>
          <w:rFonts w:eastAsia="Calibri"/>
          <w:noProof/>
          <w:lang w:val="en-US" w:eastAsia="de-DE"/>
        </w:rPr>
        <w:tab/>
        <w:t xml:space="preserve">Those measures may vary depending </w:t>
      </w:r>
      <w:r w:rsidRPr="00606AEB">
        <w:rPr>
          <w:rFonts w:eastAsia="Calibri"/>
          <w:noProof/>
          <w:lang w:val="en-US"/>
        </w:rPr>
        <w:t>on the environmental impact of lightweight plastic carrier bags when they are recovered or disposed of, their</w:t>
      </w:r>
      <w:r w:rsidRPr="00606AEB">
        <w:rPr>
          <w:rFonts w:eastAsia="Calibri"/>
          <w:noProof/>
          <w:lang w:val="en-US" w:eastAsia="de-DE"/>
        </w:rPr>
        <w:t xml:space="preserve"> recycling and composting properties, their </w:t>
      </w:r>
      <w:r w:rsidRPr="00606AEB">
        <w:rPr>
          <w:rFonts w:eastAsia="Calibri"/>
          <w:noProof/>
          <w:lang w:val="en-US"/>
        </w:rPr>
        <w:t>durability or the specific intended use of those bags</w:t>
      </w:r>
      <w:r w:rsidR="00DC1BB0" w:rsidRPr="00606AEB">
        <w:rPr>
          <w:rFonts w:eastAsia="Calibri"/>
          <w:noProof/>
          <w:lang w:val="en-US"/>
        </w:rPr>
        <w:t xml:space="preserve">, and </w:t>
      </w:r>
      <w:r w:rsidR="00FC7598" w:rsidRPr="00606AEB">
        <w:rPr>
          <w:rFonts w:eastAsia="Calibri"/>
          <w:noProof/>
          <w:lang w:val="en-US"/>
        </w:rPr>
        <w:t xml:space="preserve">taking into account </w:t>
      </w:r>
      <w:r w:rsidR="000852A7" w:rsidRPr="00606AEB">
        <w:rPr>
          <w:rFonts w:eastAsia="Calibri"/>
          <w:noProof/>
          <w:lang w:val="en-US"/>
        </w:rPr>
        <w:t xml:space="preserve">any </w:t>
      </w:r>
      <w:r w:rsidRPr="00606AEB">
        <w:rPr>
          <w:rFonts w:eastAsia="Calibri"/>
          <w:noProof/>
          <w:lang w:val="en-US"/>
        </w:rPr>
        <w:t>possible adverse substitution effects.</w:t>
      </w:r>
    </w:p>
    <w:p w:rsidR="00746A6C" w:rsidRPr="00606AEB" w:rsidRDefault="00746A6C" w:rsidP="00FC7598">
      <w:pPr>
        <w:pStyle w:val="ManualConsidrant"/>
        <w:rPr>
          <w:rFonts w:eastAsia="Calibri"/>
          <w:noProof/>
          <w:lang w:val="en-US" w:eastAsia="de-DE"/>
        </w:rPr>
      </w:pPr>
      <w:r w:rsidRPr="00606AEB">
        <w:rPr>
          <w:rFonts w:eastAsia="Calibri"/>
          <w:noProof/>
          <w:lang w:val="en-US"/>
        </w:rPr>
        <w:t>(</w:t>
      </w:r>
      <w:r w:rsidR="00FC7598" w:rsidRPr="00606AEB">
        <w:rPr>
          <w:rFonts w:eastAsia="Calibri"/>
          <w:noProof/>
          <w:lang w:val="en-US"/>
        </w:rPr>
        <w:t>13</w:t>
      </w:r>
      <w:r w:rsidRPr="00606AEB">
        <w:rPr>
          <w:rFonts w:eastAsia="Calibri"/>
          <w:noProof/>
          <w:lang w:val="en-US"/>
        </w:rPr>
        <w:t>)</w:t>
      </w:r>
      <w:r w:rsidRPr="00606AEB">
        <w:rPr>
          <w:rFonts w:eastAsia="Calibri"/>
          <w:noProof/>
          <w:lang w:val="en-US"/>
        </w:rPr>
        <w:tab/>
        <w:t xml:space="preserve">Member States may choose to exempt plastic carrier bags with a wall thickness </w:t>
      </w:r>
      <w:r w:rsidR="00606AEB" w:rsidRPr="00606AEB">
        <w:rPr>
          <w:rFonts w:eastAsia="Calibri"/>
          <w:bCs/>
          <w:lang w:val="en-US"/>
        </w:rPr>
        <w:t>below </w:t>
      </w:r>
      <w:r w:rsidRPr="00606AEB">
        <w:rPr>
          <w:rFonts w:eastAsia="Calibri"/>
          <w:bCs/>
          <w:lang w:val="en-US"/>
        </w:rPr>
        <w:t>15 microns</w:t>
      </w:r>
      <w:r w:rsidR="00F26C03" w:rsidRPr="00606AEB">
        <w:rPr>
          <w:rFonts w:eastAsia="Calibri"/>
          <w:bCs/>
          <w:lang w:val="en-US"/>
        </w:rPr>
        <w:t xml:space="preserve"> ("very lightweight plastic carrier bags")</w:t>
      </w:r>
      <w:r w:rsidRPr="00606AEB">
        <w:rPr>
          <w:rFonts w:eastAsia="Calibri"/>
          <w:noProof/>
          <w:lang w:val="en-US"/>
        </w:rPr>
        <w:t xml:space="preserve"> provided as primary packaging for loose food when required for hygiene purposes or when their use helps prevent food wastage.</w:t>
      </w:r>
    </w:p>
    <w:p w:rsidR="00746A6C" w:rsidRPr="00606AEB" w:rsidRDefault="00746A6C" w:rsidP="00FC7598">
      <w:pPr>
        <w:pStyle w:val="ManualConsidrant"/>
        <w:rPr>
          <w:rFonts w:eastAsia="Calibri"/>
          <w:bCs/>
          <w:lang w:val="en-US"/>
        </w:rPr>
      </w:pPr>
      <w:r w:rsidRPr="00606AEB">
        <w:rPr>
          <w:rFonts w:eastAsia="Calibri"/>
          <w:bCs/>
          <w:noProof/>
          <w:lang w:val="en-US" w:eastAsia="de-DE"/>
        </w:rPr>
        <w:t>(</w:t>
      </w:r>
      <w:r w:rsidR="00FC7598" w:rsidRPr="00606AEB">
        <w:rPr>
          <w:rFonts w:eastAsia="Calibri"/>
          <w:bCs/>
          <w:noProof/>
          <w:lang w:val="en-US" w:eastAsia="de-DE"/>
        </w:rPr>
        <w:t>14</w:t>
      </w:r>
      <w:r w:rsidRPr="00606AEB">
        <w:rPr>
          <w:rFonts w:eastAsia="Calibri"/>
          <w:bCs/>
          <w:noProof/>
          <w:lang w:val="en-US" w:eastAsia="de-DE"/>
        </w:rPr>
        <w:t>)</w:t>
      </w:r>
      <w:r w:rsidRPr="00606AEB">
        <w:rPr>
          <w:rFonts w:eastAsia="Calibri"/>
          <w:noProof/>
          <w:lang w:val="en-US" w:eastAsia="de-DE"/>
        </w:rPr>
        <w:tab/>
      </w:r>
      <w:r w:rsidRPr="00606AEB">
        <w:rPr>
          <w:rFonts w:eastAsia="Calibri"/>
          <w:bCs/>
          <w:noProof/>
          <w:lang w:val="en-US" w:eastAsia="de-DE"/>
        </w:rPr>
        <w:t xml:space="preserve">Member States may freely use revenues generated by measures that are taken under Directive 94/62/EC to achieve a sustained reduction in the consumption of lightweight plastic </w:t>
      </w:r>
      <w:r w:rsidRPr="00606AEB">
        <w:rPr>
          <w:rFonts w:eastAsia="Calibri"/>
          <w:noProof/>
          <w:lang w:val="en-US"/>
        </w:rPr>
        <w:t xml:space="preserve">carrier </w:t>
      </w:r>
      <w:r w:rsidRPr="00606AEB">
        <w:rPr>
          <w:rFonts w:eastAsia="Calibri"/>
          <w:bCs/>
          <w:noProof/>
          <w:lang w:val="en-US" w:eastAsia="de-DE"/>
        </w:rPr>
        <w:t>bags.</w:t>
      </w:r>
    </w:p>
    <w:p w:rsidR="00746A6C" w:rsidRPr="00606AEB" w:rsidRDefault="00746A6C" w:rsidP="00FC7598">
      <w:pPr>
        <w:pStyle w:val="ManualConsidrant"/>
        <w:rPr>
          <w:rFonts w:eastAsia="Calibri"/>
          <w:iCs/>
          <w:lang w:val="en-US"/>
        </w:rPr>
      </w:pPr>
      <w:r w:rsidRPr="00606AEB">
        <w:rPr>
          <w:rFonts w:eastAsia="Calibri"/>
          <w:iCs/>
          <w:lang w:val="en-US"/>
        </w:rPr>
        <w:t>(</w:t>
      </w:r>
      <w:r w:rsidR="00FC7598" w:rsidRPr="00606AEB">
        <w:rPr>
          <w:rFonts w:eastAsia="Calibri"/>
          <w:iCs/>
          <w:lang w:val="en-US"/>
        </w:rPr>
        <w:t>15</w:t>
      </w:r>
      <w:r w:rsidRPr="00606AEB">
        <w:rPr>
          <w:rFonts w:eastAsia="Calibri"/>
          <w:iCs/>
          <w:lang w:val="en-US"/>
        </w:rPr>
        <w:t>)</w:t>
      </w:r>
      <w:r w:rsidRPr="00606AEB">
        <w:rPr>
          <w:rFonts w:eastAsia="Calibri"/>
          <w:iCs/>
          <w:lang w:val="en-US"/>
        </w:rPr>
        <w:tab/>
        <w:t xml:space="preserve">Awareness </w:t>
      </w:r>
      <w:r w:rsidRPr="00606AEB">
        <w:rPr>
          <w:rFonts w:eastAsia="Calibri"/>
          <w:iCs/>
        </w:rPr>
        <w:t>programmes</w:t>
      </w:r>
      <w:r w:rsidRPr="00606AEB">
        <w:rPr>
          <w:rFonts w:eastAsia="Calibri"/>
          <w:iCs/>
          <w:lang w:val="en-US"/>
        </w:rPr>
        <w:t xml:space="preserve"> for consumers in general and educational programmes for children can play an important role in reducing the consumption of plastic </w:t>
      </w:r>
      <w:r w:rsidRPr="00606AEB">
        <w:rPr>
          <w:rFonts w:eastAsia="Calibri"/>
          <w:noProof/>
          <w:lang w:val="en-US"/>
        </w:rPr>
        <w:t xml:space="preserve">carrier </w:t>
      </w:r>
      <w:r w:rsidRPr="00606AEB">
        <w:rPr>
          <w:rFonts w:eastAsia="Calibri"/>
          <w:iCs/>
          <w:lang w:val="en-US"/>
        </w:rPr>
        <w:t>bags.</w:t>
      </w:r>
    </w:p>
    <w:p w:rsidR="00746A6C" w:rsidRPr="00606AEB" w:rsidRDefault="00746A6C" w:rsidP="00FC7598">
      <w:pPr>
        <w:pStyle w:val="ManualConsidrant"/>
        <w:rPr>
          <w:rFonts w:eastAsia="Calibri"/>
          <w:i/>
          <w:lang w:val="en-US"/>
        </w:rPr>
      </w:pPr>
      <w:r w:rsidRPr="00606AEB">
        <w:rPr>
          <w:rFonts w:eastAsia="Calibri"/>
          <w:iCs/>
          <w:lang w:val="en-US"/>
        </w:rPr>
        <w:t>(</w:t>
      </w:r>
      <w:r w:rsidR="00FC7598" w:rsidRPr="00606AEB">
        <w:rPr>
          <w:rFonts w:eastAsia="Calibri"/>
          <w:iCs/>
          <w:lang w:val="en-US"/>
        </w:rPr>
        <w:t>16</w:t>
      </w:r>
      <w:r w:rsidRPr="00606AEB">
        <w:rPr>
          <w:rFonts w:eastAsia="Calibri"/>
          <w:iCs/>
          <w:lang w:val="en-US"/>
        </w:rPr>
        <w:t>)</w:t>
      </w:r>
      <w:r w:rsidRPr="00606AEB">
        <w:rPr>
          <w:rFonts w:eastAsia="Calibri"/>
          <w:iCs/>
          <w:lang w:val="en-US"/>
        </w:rPr>
        <w:tab/>
        <w:t xml:space="preserve">European Standard EN 13432 on </w:t>
      </w:r>
      <w:r w:rsidR="00D37AE7">
        <w:rPr>
          <w:rFonts w:eastAsia="Calibri"/>
          <w:iCs/>
          <w:lang w:val="en-US"/>
        </w:rPr>
        <w:t>"</w:t>
      </w:r>
      <w:r w:rsidRPr="00606AEB">
        <w:rPr>
          <w:rFonts w:eastAsia="Calibri"/>
          <w:iCs/>
          <w:lang w:val="en-US"/>
        </w:rPr>
        <w:t>Requirements for packaging recoverable through composting and biodegradation - Test scheme and evaluation criteria for the final acceptance of packaging</w:t>
      </w:r>
      <w:r w:rsidR="00D37AE7">
        <w:rPr>
          <w:rFonts w:eastAsia="Calibri"/>
          <w:iCs/>
          <w:lang w:val="en-US"/>
        </w:rPr>
        <w:t>"</w:t>
      </w:r>
      <w:r w:rsidRPr="00606AEB">
        <w:rPr>
          <w:rFonts w:eastAsia="Calibri"/>
          <w:iCs/>
          <w:lang w:val="en-US"/>
        </w:rPr>
        <w:t xml:space="preserve"> sets out the characteristics that a material must possess to be considered </w:t>
      </w:r>
      <w:r w:rsidR="00D37AE7">
        <w:rPr>
          <w:rFonts w:eastAsia="Calibri"/>
          <w:iCs/>
          <w:lang w:val="en-US"/>
        </w:rPr>
        <w:t>'</w:t>
      </w:r>
      <w:r w:rsidRPr="00606AEB">
        <w:rPr>
          <w:rFonts w:eastAsia="Calibri"/>
          <w:iCs/>
          <w:lang w:val="en-US"/>
        </w:rPr>
        <w:t>compostable</w:t>
      </w:r>
      <w:r w:rsidR="00D37AE7">
        <w:rPr>
          <w:rFonts w:eastAsia="Calibri"/>
          <w:iCs/>
          <w:lang w:val="en-US"/>
        </w:rPr>
        <w:t>'</w:t>
      </w:r>
      <w:r w:rsidRPr="00606AEB">
        <w:rPr>
          <w:rFonts w:eastAsia="Calibri"/>
          <w:iCs/>
          <w:lang w:val="en-US"/>
        </w:rPr>
        <w:t>, namely that it can be recycled through a process of organic recovery comprised of composting and anaerobic digestion. The Commission should ask the European Committee for Standardization to develop a separate standard for home-compostable packaging</w:t>
      </w:r>
      <w:r w:rsidRPr="00606AEB">
        <w:rPr>
          <w:rFonts w:eastAsia="Calibri"/>
          <w:i/>
          <w:lang w:val="en-US"/>
        </w:rPr>
        <w:t>.</w:t>
      </w:r>
    </w:p>
    <w:p w:rsidR="00746A6C" w:rsidRPr="00606AEB" w:rsidRDefault="00746A6C" w:rsidP="00FC7598">
      <w:pPr>
        <w:pStyle w:val="ManualConsidrant"/>
        <w:rPr>
          <w:rFonts w:eastAsia="Calibri"/>
          <w:bCs/>
          <w:noProof/>
          <w:lang w:val="en-US" w:eastAsia="de-DE"/>
        </w:rPr>
      </w:pPr>
      <w:r w:rsidRPr="00606AEB">
        <w:rPr>
          <w:rFonts w:eastAsia="Calibri"/>
          <w:iCs/>
          <w:lang w:val="en-US"/>
        </w:rPr>
        <w:br w:type="page"/>
      </w:r>
      <w:r w:rsidRPr="00606AEB">
        <w:rPr>
          <w:rFonts w:eastAsia="Calibri"/>
          <w:bCs/>
          <w:lang w:val="en-US"/>
        </w:rPr>
        <w:t>(</w:t>
      </w:r>
      <w:r w:rsidR="00FC7598" w:rsidRPr="00606AEB">
        <w:rPr>
          <w:rFonts w:eastAsia="Calibri"/>
          <w:bCs/>
          <w:lang w:val="en-US"/>
        </w:rPr>
        <w:t>17</w:t>
      </w:r>
      <w:r w:rsidRPr="00606AEB">
        <w:rPr>
          <w:rFonts w:eastAsia="Calibri"/>
          <w:bCs/>
          <w:lang w:val="en-US"/>
        </w:rPr>
        <w:t>)</w:t>
      </w:r>
      <w:r w:rsidRPr="00606AEB">
        <w:rPr>
          <w:rFonts w:eastAsia="Calibri"/>
          <w:bCs/>
          <w:lang w:val="en-US"/>
        </w:rPr>
        <w:tab/>
        <w:t xml:space="preserve">It is important to ensure Union-wide recognition of labels or marks for biodegradable and compostable </w:t>
      </w:r>
      <w:r w:rsidR="000852A7" w:rsidRPr="00606AEB">
        <w:rPr>
          <w:rFonts w:eastAsia="Calibri"/>
          <w:bCs/>
          <w:lang w:val="en-US"/>
        </w:rPr>
        <w:t xml:space="preserve">plastic carrier </w:t>
      </w:r>
      <w:r w:rsidRPr="00606AEB">
        <w:rPr>
          <w:rFonts w:eastAsia="Calibri"/>
          <w:bCs/>
          <w:lang w:val="en-US"/>
        </w:rPr>
        <w:t>bags.</w:t>
      </w:r>
    </w:p>
    <w:p w:rsidR="00746A6C" w:rsidRPr="00606AEB" w:rsidRDefault="00746A6C" w:rsidP="00FC7598">
      <w:pPr>
        <w:pStyle w:val="ManualConsidrant"/>
        <w:rPr>
          <w:rFonts w:eastAsia="Calibri"/>
          <w:lang w:val="en-US"/>
        </w:rPr>
      </w:pPr>
      <w:r w:rsidRPr="00606AEB">
        <w:rPr>
          <w:rFonts w:eastAsia="Calibri"/>
          <w:iCs/>
          <w:lang w:val="en-US"/>
        </w:rPr>
        <w:t>(</w:t>
      </w:r>
      <w:r w:rsidR="00FC7598" w:rsidRPr="00606AEB">
        <w:rPr>
          <w:rFonts w:eastAsia="Calibri"/>
          <w:iCs/>
          <w:lang w:val="en-US"/>
        </w:rPr>
        <w:t>18</w:t>
      </w:r>
      <w:r w:rsidRPr="00606AEB">
        <w:rPr>
          <w:rFonts w:eastAsia="Calibri"/>
          <w:iCs/>
          <w:lang w:val="en-US"/>
        </w:rPr>
        <w:t>)</w:t>
      </w:r>
      <w:r w:rsidRPr="00606AEB">
        <w:rPr>
          <w:rFonts w:eastAsia="Calibri"/>
          <w:iCs/>
          <w:lang w:val="en-US"/>
        </w:rPr>
        <w:tab/>
        <w:t xml:space="preserve">Some plastic carrier bags are marked as </w:t>
      </w:r>
      <w:r w:rsidR="00D37AE7">
        <w:rPr>
          <w:rFonts w:eastAsia="Calibri"/>
          <w:iCs/>
          <w:lang w:val="en-US"/>
        </w:rPr>
        <w:t>"</w:t>
      </w:r>
      <w:r w:rsidRPr="00606AEB">
        <w:rPr>
          <w:rFonts w:eastAsia="Calibri"/>
          <w:iCs/>
          <w:lang w:val="en-US"/>
        </w:rPr>
        <w:t>oxo-biodegradable</w:t>
      </w:r>
      <w:r w:rsidR="00D37AE7">
        <w:rPr>
          <w:rFonts w:eastAsia="Calibri"/>
          <w:iCs/>
          <w:lang w:val="en-US"/>
        </w:rPr>
        <w:t>"</w:t>
      </w:r>
      <w:r w:rsidRPr="00606AEB">
        <w:rPr>
          <w:rFonts w:eastAsia="Calibri"/>
          <w:iCs/>
          <w:lang w:val="en-US"/>
        </w:rPr>
        <w:t xml:space="preserve"> or "oxo-degradable" by their manufacturers. In such bags, additives are incorporated into conventional plastics. Due to the presence of those additives, the plastic fragments </w:t>
      </w:r>
      <w:r w:rsidR="00C02C2C" w:rsidRPr="00606AEB">
        <w:rPr>
          <w:rFonts w:eastAsia="Calibri"/>
          <w:iCs/>
          <w:lang w:val="en-US"/>
        </w:rPr>
        <w:t xml:space="preserve">over time </w:t>
      </w:r>
      <w:r w:rsidRPr="00606AEB">
        <w:rPr>
          <w:rFonts w:eastAsia="Calibri"/>
          <w:iCs/>
          <w:lang w:val="en-US"/>
        </w:rPr>
        <w:t xml:space="preserve">into small particles which remain in the environment. It can thus be misleading to refer to such bags as </w:t>
      </w:r>
      <w:r w:rsidR="00D37AE7">
        <w:rPr>
          <w:rFonts w:eastAsia="Calibri"/>
          <w:iCs/>
          <w:lang w:val="en-US"/>
        </w:rPr>
        <w:t>"</w:t>
      </w:r>
      <w:r w:rsidRPr="00606AEB">
        <w:rPr>
          <w:rFonts w:eastAsia="Calibri"/>
          <w:iCs/>
          <w:lang w:val="en-US"/>
        </w:rPr>
        <w:t>biodegradable" as they may not be a solution to littering and may, on the contrary, increase pollution. The Commission should examine the impact of the use of o</w:t>
      </w:r>
      <w:r w:rsidR="00873D8A">
        <w:rPr>
          <w:rFonts w:eastAsia="Calibri"/>
          <w:iCs/>
          <w:lang w:val="en-US"/>
        </w:rPr>
        <w:t>xo</w:t>
      </w:r>
      <w:r w:rsidR="00873D8A">
        <w:rPr>
          <w:rFonts w:eastAsia="Calibri"/>
          <w:iCs/>
          <w:lang w:val="en-US"/>
        </w:rPr>
        <w:noBreakHyphen/>
      </w:r>
      <w:r w:rsidRPr="00606AEB">
        <w:rPr>
          <w:rFonts w:eastAsia="Calibri"/>
          <w:iCs/>
          <w:lang w:val="en-US"/>
        </w:rPr>
        <w:t xml:space="preserve">degradable plastic </w:t>
      </w:r>
      <w:r w:rsidR="00AE0AA2" w:rsidRPr="00606AEB">
        <w:rPr>
          <w:rFonts w:eastAsia="Calibri"/>
          <w:iCs/>
          <w:lang w:val="en-US"/>
        </w:rPr>
        <w:t xml:space="preserve">carrier </w:t>
      </w:r>
      <w:r w:rsidRPr="00606AEB">
        <w:rPr>
          <w:rFonts w:eastAsia="Calibri"/>
          <w:iCs/>
          <w:lang w:val="en-US"/>
        </w:rPr>
        <w:t xml:space="preserve">bags on the environment and present a report to the European Parliament and the Council, including, if appropriate, a set of measures to limit their </w:t>
      </w:r>
      <w:r w:rsidR="00AE0AA2" w:rsidRPr="00606AEB">
        <w:rPr>
          <w:rFonts w:eastAsia="Calibri"/>
          <w:iCs/>
          <w:lang w:val="en-US"/>
        </w:rPr>
        <w:t xml:space="preserve">consumption </w:t>
      </w:r>
      <w:r w:rsidRPr="00606AEB">
        <w:rPr>
          <w:rFonts w:eastAsia="Calibri"/>
          <w:iCs/>
          <w:lang w:val="en-US"/>
        </w:rPr>
        <w:t>or to reduce any harmful impacts.</w:t>
      </w:r>
    </w:p>
    <w:p w:rsidR="00746A6C" w:rsidRPr="00606AEB" w:rsidRDefault="00746A6C" w:rsidP="00FC7598">
      <w:pPr>
        <w:pStyle w:val="ManualConsidrant"/>
        <w:rPr>
          <w:rFonts w:eastAsia="Calibri"/>
          <w:lang w:val="en-US"/>
        </w:rPr>
      </w:pPr>
      <w:r w:rsidRPr="00606AEB">
        <w:rPr>
          <w:rFonts w:eastAsia="Calibri"/>
          <w:lang w:val="en-US"/>
        </w:rPr>
        <w:t>(</w:t>
      </w:r>
      <w:r w:rsidR="00FC7598" w:rsidRPr="00606AEB">
        <w:rPr>
          <w:rFonts w:eastAsia="Calibri"/>
          <w:lang w:val="en-US"/>
        </w:rPr>
        <w:t>19</w:t>
      </w:r>
      <w:r w:rsidRPr="00606AEB">
        <w:rPr>
          <w:rFonts w:eastAsia="Calibri"/>
          <w:lang w:val="en-US"/>
        </w:rPr>
        <w:t>)</w:t>
      </w:r>
      <w:r w:rsidRPr="00606AEB">
        <w:rPr>
          <w:rFonts w:eastAsia="Calibri"/>
          <w:lang w:val="en-US"/>
        </w:rPr>
        <w:tab/>
        <w:t>Measures</w:t>
      </w:r>
      <w:r w:rsidRPr="00606AEB">
        <w:rPr>
          <w:rFonts w:eastAsia="Calibri"/>
          <w:bCs/>
          <w:lang w:val="en-US"/>
        </w:rPr>
        <w:t xml:space="preserve"> to be taken by Member States </w:t>
      </w:r>
      <w:r w:rsidRPr="00606AEB">
        <w:rPr>
          <w:rFonts w:eastAsia="Calibri"/>
          <w:lang w:val="en-US"/>
        </w:rPr>
        <w:t xml:space="preserve">to reduce the consumption of plastic carrier bags should </w:t>
      </w:r>
      <w:r w:rsidRPr="00606AEB">
        <w:rPr>
          <w:rFonts w:eastAsia="Calibri"/>
          <w:iCs/>
          <w:lang w:val="en-US"/>
        </w:rPr>
        <w:t xml:space="preserve">lead to a sustained reduction in the consumption of lightweight plastic carrier bags and should </w:t>
      </w:r>
      <w:r w:rsidRPr="00606AEB">
        <w:rPr>
          <w:rFonts w:eastAsia="Calibri"/>
          <w:lang w:val="en-US"/>
        </w:rPr>
        <w:t>not lead to an overall increase in the generation of packaging.</w:t>
      </w:r>
    </w:p>
    <w:p w:rsidR="00746A6C" w:rsidRPr="00606AEB" w:rsidRDefault="00746A6C" w:rsidP="00CB7FE7">
      <w:pPr>
        <w:pStyle w:val="ManualConsidrant"/>
        <w:rPr>
          <w:rFonts w:eastAsia="Calibri"/>
          <w:noProof/>
          <w:lang w:val="en-US" w:eastAsia="en-GB"/>
        </w:rPr>
      </w:pPr>
      <w:r w:rsidRPr="00606AEB">
        <w:rPr>
          <w:rFonts w:eastAsia="Calibri"/>
          <w:bCs/>
          <w:lang w:val="en-US"/>
        </w:rPr>
        <w:br w:type="page"/>
      </w:r>
      <w:r w:rsidRPr="00606AEB">
        <w:rPr>
          <w:rFonts w:eastAsia="Calibri"/>
          <w:lang w:val="en-US"/>
        </w:rPr>
        <w:t>(</w:t>
      </w:r>
      <w:r w:rsidR="00FC7598" w:rsidRPr="00606AEB">
        <w:rPr>
          <w:rFonts w:eastAsia="Calibri"/>
          <w:lang w:val="en-US"/>
        </w:rPr>
        <w:t>20</w:t>
      </w:r>
      <w:r w:rsidRPr="00606AEB">
        <w:rPr>
          <w:rFonts w:eastAsia="Calibri"/>
          <w:lang w:val="en-US"/>
        </w:rPr>
        <w:t>)</w:t>
      </w:r>
      <w:r w:rsidRPr="00606AEB">
        <w:rPr>
          <w:rFonts w:eastAsia="Calibri"/>
          <w:lang w:val="en-US"/>
        </w:rPr>
        <w:tab/>
      </w:r>
      <w:r w:rsidRPr="00606AEB">
        <w:rPr>
          <w:rFonts w:eastAsia="Calibri"/>
          <w:noProof/>
          <w:lang w:val="en-US"/>
        </w:rPr>
        <w:t>The measures provided for by this Directive are consistent with the Commission Communication on the Roadmap to a Resource Efficient Europe and they should contribute to actions against marine littering, undertak</w:t>
      </w:r>
      <w:r w:rsidR="00873D8A">
        <w:rPr>
          <w:rFonts w:eastAsia="Calibri"/>
          <w:noProof/>
          <w:lang w:val="en-US"/>
        </w:rPr>
        <w:t>en in accordance with Directive </w:t>
      </w:r>
      <w:r w:rsidRPr="00606AEB">
        <w:rPr>
          <w:rFonts w:eastAsia="Calibri"/>
          <w:noProof/>
          <w:lang w:val="en-US"/>
        </w:rPr>
        <w:t>2008/56/EC of the European Parliament and of the Council</w:t>
      </w:r>
      <w:r w:rsidRPr="00CB7FE7">
        <w:rPr>
          <w:rStyle w:val="FootnoteReference"/>
          <w:rFonts w:eastAsia="Calibri"/>
        </w:rPr>
        <w:footnoteReference w:id="6"/>
      </w:r>
      <w:r w:rsidRPr="00606AEB">
        <w:rPr>
          <w:rFonts w:eastAsia="Calibri"/>
          <w:noProof/>
          <w:lang w:val="en-US"/>
        </w:rPr>
        <w:t>.</w:t>
      </w:r>
    </w:p>
    <w:p w:rsidR="00746A6C" w:rsidRPr="00606AEB" w:rsidRDefault="00746A6C" w:rsidP="00FC7598">
      <w:pPr>
        <w:pStyle w:val="ManualConsidrant"/>
        <w:rPr>
          <w:rFonts w:eastAsia="Calibri"/>
          <w:noProof/>
          <w:lang w:val="en-US" w:eastAsia="en-GB"/>
        </w:rPr>
      </w:pPr>
      <w:r w:rsidRPr="00606AEB">
        <w:rPr>
          <w:rFonts w:eastAsia="Calibri"/>
          <w:lang w:val="en-US"/>
        </w:rPr>
        <w:t>(</w:t>
      </w:r>
      <w:r w:rsidR="00FC7598" w:rsidRPr="00606AEB">
        <w:rPr>
          <w:rFonts w:eastAsia="Calibri"/>
          <w:lang w:val="en-US"/>
        </w:rPr>
        <w:t>21</w:t>
      </w:r>
      <w:r w:rsidRPr="00606AEB">
        <w:rPr>
          <w:rFonts w:eastAsia="Calibri"/>
          <w:lang w:val="en-US"/>
        </w:rPr>
        <w:t>)</w:t>
      </w:r>
      <w:r w:rsidRPr="00606AEB">
        <w:rPr>
          <w:rFonts w:eastAsia="Calibri"/>
          <w:lang w:val="en-US"/>
        </w:rPr>
        <w:tab/>
      </w:r>
      <w:r w:rsidRPr="00606AEB">
        <w:rPr>
          <w:rFonts w:eastAsia="Calibri"/>
          <w:noProof/>
          <w:lang w:val="en-US"/>
        </w:rPr>
        <w:t>Directive 94/62/EC should therefore be amended accordingly,</w:t>
      </w:r>
    </w:p>
    <w:p w:rsidR="00746A6C" w:rsidRPr="00606AEB" w:rsidRDefault="00746A6C" w:rsidP="00746A6C">
      <w:pPr>
        <w:pStyle w:val="Formuledadoption"/>
        <w:rPr>
          <w:rFonts w:eastAsia="Calibri"/>
          <w:noProof/>
          <w:lang w:val="en-US"/>
        </w:rPr>
      </w:pPr>
      <w:r w:rsidRPr="00606AEB">
        <w:rPr>
          <w:rFonts w:eastAsia="Calibri"/>
          <w:noProof/>
          <w:lang w:val="en-US"/>
        </w:rPr>
        <w:t>HAVE ADOPTED THIS DIRECTIVE:</w:t>
      </w:r>
    </w:p>
    <w:p w:rsidR="00746A6C" w:rsidRPr="00606AEB" w:rsidRDefault="00746A6C" w:rsidP="00746A6C">
      <w:pPr>
        <w:pStyle w:val="Titrearticle"/>
        <w:rPr>
          <w:rFonts w:eastAsia="Calibri"/>
          <w:noProof/>
          <w:lang w:val="en-US"/>
        </w:rPr>
      </w:pPr>
      <w:r w:rsidRPr="00606AEB">
        <w:rPr>
          <w:rFonts w:eastAsia="Calibri"/>
          <w:noProof/>
          <w:lang w:val="en-US"/>
        </w:rPr>
        <w:br w:type="page"/>
        <w:t>Article 1</w:t>
      </w:r>
    </w:p>
    <w:p w:rsidR="00746A6C" w:rsidRPr="00606AEB" w:rsidRDefault="00746A6C" w:rsidP="00746A6C">
      <w:pPr>
        <w:rPr>
          <w:rFonts w:eastAsia="Calibri"/>
          <w:noProof/>
          <w:lang w:val="en-US" w:eastAsia="en-GB"/>
        </w:rPr>
      </w:pPr>
      <w:r w:rsidRPr="00606AEB">
        <w:rPr>
          <w:rFonts w:eastAsia="Calibri"/>
          <w:noProof/>
          <w:lang w:val="en-US" w:eastAsia="en-GB"/>
        </w:rPr>
        <w:t>Directive 94/62/EC is amended as follows:</w:t>
      </w:r>
    </w:p>
    <w:p w:rsidR="00746A6C" w:rsidRPr="00606AEB" w:rsidRDefault="00746A6C" w:rsidP="00746A6C">
      <w:pPr>
        <w:pStyle w:val="Point0"/>
        <w:rPr>
          <w:rFonts w:eastAsia="Calibri"/>
        </w:rPr>
      </w:pPr>
      <w:r w:rsidRPr="00606AEB">
        <w:rPr>
          <w:rFonts w:eastAsia="Calibri"/>
        </w:rPr>
        <w:t>(1)</w:t>
      </w:r>
      <w:r w:rsidRPr="00606AEB">
        <w:rPr>
          <w:rFonts w:eastAsia="Calibri"/>
        </w:rPr>
        <w:tab/>
        <w:t>In Article 3, the following points are inserted:</w:t>
      </w:r>
    </w:p>
    <w:p w:rsidR="00746A6C" w:rsidRPr="00606AEB" w:rsidRDefault="00AC7493" w:rsidP="00746A6C">
      <w:pPr>
        <w:pStyle w:val="Point1"/>
        <w:rPr>
          <w:rFonts w:eastAsia="Calibri"/>
        </w:rPr>
      </w:pPr>
      <w:r w:rsidRPr="00606AEB">
        <w:rPr>
          <w:rFonts w:eastAsia="Calibri"/>
          <w:bCs/>
          <w:noProof/>
          <w:lang w:val="en-US"/>
        </w:rPr>
        <w:t>'1a</w:t>
      </w:r>
      <w:r w:rsidR="00746A6C" w:rsidRPr="00606AEB">
        <w:rPr>
          <w:rFonts w:eastAsia="Calibri"/>
          <w:bCs/>
          <w:noProof/>
          <w:lang w:val="en-US"/>
        </w:rPr>
        <w:t>.</w:t>
      </w:r>
      <w:r w:rsidR="00746A6C" w:rsidRPr="00606AEB">
        <w:rPr>
          <w:rFonts w:eastAsia="Calibri"/>
          <w:bCs/>
          <w:noProof/>
          <w:lang w:val="en-US"/>
        </w:rPr>
        <w:tab/>
      </w:r>
      <w:r w:rsidR="00D37AE7">
        <w:rPr>
          <w:rFonts w:eastAsia="Calibri"/>
          <w:noProof/>
          <w:lang w:val="en-US"/>
        </w:rPr>
        <w:t>"</w:t>
      </w:r>
      <w:r w:rsidR="00746A6C" w:rsidRPr="00606AEB">
        <w:rPr>
          <w:rFonts w:eastAsia="Calibri"/>
          <w:noProof/>
          <w:lang w:val="en"/>
        </w:rPr>
        <w:t>plastic</w:t>
      </w:r>
      <w:r w:rsidR="00D37AE7">
        <w:rPr>
          <w:rFonts w:eastAsia="Calibri"/>
          <w:noProof/>
          <w:lang w:val="en-US"/>
        </w:rPr>
        <w:t>"</w:t>
      </w:r>
      <w:r w:rsidR="00746A6C" w:rsidRPr="00606AEB">
        <w:rPr>
          <w:rFonts w:eastAsia="Calibri"/>
          <w:noProof/>
          <w:lang w:val="en-US"/>
        </w:rPr>
        <w:t xml:space="preserve"> shall mean a polymer within the meaning of Article 3(5) of Regulation (EC) No 1907/2006 of the European Parliament and of the Council*, to which additives or other substances may have been added, and which is capable of </w:t>
      </w:r>
      <w:r w:rsidR="00746A6C" w:rsidRPr="00606AEB">
        <w:rPr>
          <w:rFonts w:eastAsia="Calibri"/>
        </w:rPr>
        <w:t>functioning as a main structural component of</w:t>
      </w:r>
      <w:r w:rsidR="00B71786" w:rsidRPr="00606AEB">
        <w:rPr>
          <w:rFonts w:eastAsia="Calibri"/>
        </w:rPr>
        <w:t xml:space="preserve"> carrier</w:t>
      </w:r>
      <w:r w:rsidR="00746A6C" w:rsidRPr="00606AEB">
        <w:rPr>
          <w:rFonts w:eastAsia="Calibri"/>
        </w:rPr>
        <w:t xml:space="preserve"> bags;</w:t>
      </w:r>
    </w:p>
    <w:p w:rsidR="00746A6C" w:rsidRPr="00606AEB" w:rsidRDefault="004C68A1" w:rsidP="00746A6C">
      <w:pPr>
        <w:pStyle w:val="Point1"/>
        <w:rPr>
          <w:rFonts w:eastAsia="Calibri"/>
        </w:rPr>
      </w:pPr>
      <w:r w:rsidRPr="00606AEB">
        <w:rPr>
          <w:rFonts w:eastAsia="Calibri"/>
        </w:rPr>
        <w:t>1</w:t>
      </w:r>
      <w:r w:rsidR="00746A6C" w:rsidRPr="00606AEB">
        <w:rPr>
          <w:rFonts w:eastAsia="Calibri"/>
        </w:rPr>
        <w:t>b.</w:t>
      </w:r>
      <w:r w:rsidR="00746A6C" w:rsidRPr="00606AEB">
        <w:rPr>
          <w:rFonts w:eastAsia="Calibri"/>
        </w:rPr>
        <w:tab/>
        <w:t>"plastic carrier bags" shall mean</w:t>
      </w:r>
      <w:r w:rsidR="00B71786" w:rsidRPr="00606AEB">
        <w:rPr>
          <w:rFonts w:eastAsia="Calibri"/>
        </w:rPr>
        <w:t xml:space="preserve"> carrier</w:t>
      </w:r>
      <w:r w:rsidR="00746A6C" w:rsidRPr="00606AEB">
        <w:rPr>
          <w:rFonts w:eastAsia="Calibri"/>
        </w:rPr>
        <w:t xml:space="preserve"> bags, with or without handle, made of plastic, which are supplied to consumers at the point of sale of goods or products;</w:t>
      </w:r>
    </w:p>
    <w:p w:rsidR="00746A6C" w:rsidRPr="00606AEB" w:rsidRDefault="004C68A1" w:rsidP="00746A6C">
      <w:pPr>
        <w:pStyle w:val="Point1"/>
        <w:rPr>
          <w:rFonts w:eastAsia="Calibri"/>
        </w:rPr>
      </w:pPr>
      <w:r w:rsidRPr="00606AEB">
        <w:rPr>
          <w:rFonts w:eastAsia="Calibri"/>
        </w:rPr>
        <w:t>1</w:t>
      </w:r>
      <w:r w:rsidR="00746A6C" w:rsidRPr="00606AEB">
        <w:rPr>
          <w:rFonts w:eastAsia="Calibri"/>
        </w:rPr>
        <w:t>c.</w:t>
      </w:r>
      <w:r w:rsidR="00746A6C" w:rsidRPr="00606AEB">
        <w:rPr>
          <w:rFonts w:eastAsia="Calibri"/>
        </w:rPr>
        <w:tab/>
        <w:t>"lightweight plastic carrier bags" shall mean plastic carrier bags with a wall thickness below 50 microns;</w:t>
      </w:r>
    </w:p>
    <w:p w:rsidR="00746A6C" w:rsidRPr="00606AEB" w:rsidRDefault="004C68A1" w:rsidP="00746A6C">
      <w:pPr>
        <w:pStyle w:val="Point1"/>
        <w:rPr>
          <w:rFonts w:eastAsia="Calibri"/>
        </w:rPr>
      </w:pPr>
      <w:r w:rsidRPr="00606AEB">
        <w:rPr>
          <w:rFonts w:eastAsia="Calibri"/>
        </w:rPr>
        <w:t>1</w:t>
      </w:r>
      <w:r w:rsidR="00746A6C" w:rsidRPr="00606AEB">
        <w:rPr>
          <w:rFonts w:eastAsia="Calibri"/>
        </w:rPr>
        <w:t>d.</w:t>
      </w:r>
      <w:r w:rsidR="00746A6C" w:rsidRPr="00606AEB">
        <w:rPr>
          <w:rFonts w:eastAsia="Calibri"/>
        </w:rPr>
        <w:tab/>
        <w:t>"very lightweight plastic carrier bags" shall mean plastic carrier bags with a wall thickness below 15 microns which are required for hygiene purposes or provided as primary packaging for loose food when this helps to prevent food wastage;</w:t>
      </w:r>
    </w:p>
    <w:p w:rsidR="00746A6C" w:rsidRPr="00606AEB" w:rsidRDefault="00746A6C" w:rsidP="00746A6C">
      <w:pPr>
        <w:pStyle w:val="Point1"/>
        <w:rPr>
          <w:rFonts w:eastAsia="Calibri"/>
        </w:rPr>
      </w:pPr>
      <w:r w:rsidRPr="00606AEB">
        <w:rPr>
          <w:rFonts w:eastAsia="Calibri"/>
        </w:rPr>
        <w:br w:type="page"/>
      </w:r>
      <w:r w:rsidR="004C68A1" w:rsidRPr="00606AEB">
        <w:rPr>
          <w:rFonts w:eastAsia="Calibri"/>
        </w:rPr>
        <w:t>1</w:t>
      </w:r>
      <w:r w:rsidRPr="00606AEB">
        <w:rPr>
          <w:rFonts w:eastAsia="Calibri"/>
        </w:rPr>
        <w:t>e.</w:t>
      </w:r>
      <w:r w:rsidRPr="00606AEB">
        <w:rPr>
          <w:rFonts w:eastAsia="Calibri"/>
        </w:rPr>
        <w:tab/>
        <w:t>"oxo-degradable plastic carrier bags" shall mean plastic carrier bags made of plastic materials that include additives which catalyse the fragmentation of the plastic material into micro-fragments.</w:t>
      </w:r>
    </w:p>
    <w:p w:rsidR="00746A6C" w:rsidRPr="00606AEB" w:rsidRDefault="00606AEB" w:rsidP="00746A6C">
      <w:pPr>
        <w:pStyle w:val="Text1"/>
        <w:rPr>
          <w:rFonts w:eastAsia="Calibri"/>
          <w:lang w:val="en-US"/>
        </w:rPr>
      </w:pPr>
      <w:r w:rsidRPr="00606AEB">
        <w:rPr>
          <w:rFonts w:eastAsia="Calibri"/>
          <w:lang w:val="en-US"/>
        </w:rPr>
        <w:t>________________________</w:t>
      </w:r>
    </w:p>
    <w:p w:rsidR="00746A6C" w:rsidRPr="00606AEB" w:rsidRDefault="00746A6C" w:rsidP="00746A6C">
      <w:pPr>
        <w:pStyle w:val="Point1"/>
        <w:spacing w:line="240" w:lineRule="auto"/>
        <w:ind w:left="1418"/>
        <w:rPr>
          <w:rFonts w:eastAsia="Calibri" w:cs="Arial"/>
          <w:b/>
          <w:bCs/>
          <w:iCs/>
          <w:szCs w:val="22"/>
          <w:lang w:val="en-US"/>
        </w:rPr>
      </w:pPr>
      <w:r w:rsidRPr="00606AEB">
        <w:rPr>
          <w:rFonts w:eastAsia="Calibri" w:cs="Arial"/>
          <w:b/>
          <w:bCs/>
          <w:iCs/>
          <w:szCs w:val="22"/>
          <w:vertAlign w:val="superscript"/>
          <w:lang w:val="en-US"/>
        </w:rPr>
        <w:t>*</w:t>
      </w:r>
      <w:r w:rsidRPr="00606AEB">
        <w:rPr>
          <w:rFonts w:eastAsia="Calibri" w:cs="Arial"/>
          <w:b/>
          <w:bCs/>
          <w:iCs/>
          <w:szCs w:val="22"/>
          <w:lang w:val="en-US"/>
        </w:rPr>
        <w:tab/>
      </w:r>
      <w:r w:rsidRPr="00606AE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w:t>
      </w:r>
      <w:r w:rsidR="00873D8A">
        <w:t>94 as well as Council Directive </w:t>
      </w:r>
      <w:r w:rsidRPr="00606AEB">
        <w:t>76/769/EEC and Commission Directives 91/155/EEC, 93/67/EEC, 93/105/EC and 2000/21/EC (OJ L 396, 30.12.2006, p.</w:t>
      </w:r>
      <w:r w:rsidR="00AC7493" w:rsidRPr="00606AEB">
        <w:t xml:space="preserve"> </w:t>
      </w:r>
      <w:r w:rsidRPr="00606AEB">
        <w:t>1).</w:t>
      </w:r>
      <w:r w:rsidRPr="00606AEB">
        <w:rPr>
          <w:rFonts w:eastAsia="Calibri" w:cs="Arial"/>
          <w:b/>
          <w:bCs/>
          <w:iCs/>
          <w:szCs w:val="22"/>
          <w:lang w:val="en-US"/>
        </w:rPr>
        <w:t>'.</w:t>
      </w:r>
    </w:p>
    <w:p w:rsidR="00746A6C" w:rsidRPr="00606AEB" w:rsidRDefault="00746A6C" w:rsidP="00746A6C">
      <w:pPr>
        <w:pStyle w:val="Point0"/>
        <w:rPr>
          <w:rFonts w:eastAsia="Calibri"/>
        </w:rPr>
      </w:pPr>
      <w:r w:rsidRPr="00606AEB">
        <w:rPr>
          <w:rFonts w:eastAsia="Calibri"/>
        </w:rPr>
        <w:t>(2)</w:t>
      </w:r>
      <w:r w:rsidRPr="00606AEB">
        <w:rPr>
          <w:rFonts w:eastAsia="Calibri"/>
        </w:rPr>
        <w:tab/>
        <w:t>In Article 4, the following paragraphs are inserted:</w:t>
      </w:r>
    </w:p>
    <w:p w:rsidR="00746A6C" w:rsidRPr="00606AEB" w:rsidRDefault="00746A6C" w:rsidP="00746A6C">
      <w:pPr>
        <w:pStyle w:val="Point1"/>
        <w:rPr>
          <w:rFonts w:eastAsia="Calibri"/>
        </w:rPr>
      </w:pPr>
      <w:r w:rsidRPr="00606AEB">
        <w:rPr>
          <w:rFonts w:eastAsia="Calibri"/>
        </w:rPr>
        <w:t>'1a.</w:t>
      </w:r>
      <w:r w:rsidRPr="00606AEB">
        <w:rPr>
          <w:rFonts w:eastAsia="Calibri"/>
        </w:rPr>
        <w:tab/>
        <w:t>Member States shall take measures to achieve a sustained reduction in the consumption of lightweight plastic carrier bags on their territory.</w:t>
      </w:r>
    </w:p>
    <w:p w:rsidR="00746A6C" w:rsidRPr="00606AEB" w:rsidRDefault="00746A6C" w:rsidP="00746A6C">
      <w:pPr>
        <w:pStyle w:val="Text2"/>
        <w:rPr>
          <w:rFonts w:eastAsia="Calibri"/>
        </w:rPr>
      </w:pPr>
      <w:r w:rsidRPr="00606AEB">
        <w:rPr>
          <w:rFonts w:eastAsia="Calibri"/>
        </w:rPr>
        <w:t>Those measures may include the use of national reduction targets, maintaining or introducing economic instruments as well as marketing restrictions in derogation from Article 18 of this Directive, provided that these restrictions are proportionate and non-discriminatory.</w:t>
      </w:r>
    </w:p>
    <w:p w:rsidR="00746A6C" w:rsidRPr="00606AEB" w:rsidRDefault="00746A6C" w:rsidP="00746A6C">
      <w:pPr>
        <w:pStyle w:val="Text2"/>
        <w:rPr>
          <w:rFonts w:eastAsia="Calibri"/>
        </w:rPr>
      </w:pPr>
      <w:r w:rsidRPr="00606AEB">
        <w:rPr>
          <w:rFonts w:eastAsia="Calibri"/>
        </w:rPr>
        <w:t>Such measures may vary depending on the environmental impact of lightweight plastic carrier bags when they are recovered or disposed of, their composting properties, durability or specific intended use.</w:t>
      </w:r>
    </w:p>
    <w:p w:rsidR="00746A6C" w:rsidRPr="00606AEB" w:rsidRDefault="00746A6C" w:rsidP="00746A6C">
      <w:pPr>
        <w:pStyle w:val="Text2"/>
        <w:rPr>
          <w:rFonts w:eastAsia="Calibri"/>
        </w:rPr>
      </w:pPr>
      <w:r w:rsidRPr="00606AEB">
        <w:rPr>
          <w:rFonts w:eastAsia="Calibri"/>
        </w:rPr>
        <w:br w:type="page"/>
        <w:t>The measures taken by Member States shall include either or both of the following:</w:t>
      </w:r>
    </w:p>
    <w:p w:rsidR="00746A6C" w:rsidRPr="00606AEB" w:rsidRDefault="00746A6C" w:rsidP="00746A6C">
      <w:pPr>
        <w:pStyle w:val="Point2"/>
        <w:rPr>
          <w:rFonts w:eastAsia="Calibri"/>
          <w:noProof/>
          <w:lang w:val="en-US"/>
        </w:rPr>
      </w:pPr>
      <w:r w:rsidRPr="00606AEB">
        <w:rPr>
          <w:rFonts w:eastAsia="Calibri"/>
          <w:noProof/>
          <w:lang w:val="en-US"/>
        </w:rPr>
        <w:t>(a)</w:t>
      </w:r>
      <w:r w:rsidRPr="00606AEB">
        <w:rPr>
          <w:rFonts w:eastAsia="Calibri"/>
          <w:noProof/>
          <w:lang w:val="en-US"/>
        </w:rPr>
        <w:tab/>
        <w:t xml:space="preserve">the adoption of measures ensuring that the </w:t>
      </w:r>
      <w:r w:rsidR="00C02C2C" w:rsidRPr="00606AEB">
        <w:rPr>
          <w:rFonts w:eastAsia="Calibri"/>
          <w:noProof/>
          <w:lang w:val="en-US"/>
        </w:rPr>
        <w:t>annual</w:t>
      </w:r>
      <w:r w:rsidRPr="00606AEB">
        <w:rPr>
          <w:rFonts w:eastAsia="Calibri"/>
          <w:noProof/>
          <w:lang w:val="en-US"/>
        </w:rPr>
        <w:t xml:space="preserve"> consumption level does not exceed 90 lightweight plastic carrier bags per</w:t>
      </w:r>
      <w:r w:rsidR="00CB7FE7">
        <w:rPr>
          <w:rFonts w:eastAsia="Calibri"/>
          <w:noProof/>
          <w:lang w:val="en-US"/>
        </w:rPr>
        <w:t xml:space="preserve"> person by 31 December 2019 and </w:t>
      </w:r>
      <w:r w:rsidRPr="00606AEB">
        <w:rPr>
          <w:rFonts w:eastAsia="Calibri"/>
          <w:noProof/>
          <w:lang w:val="en-US"/>
        </w:rPr>
        <w:t>40 lightweight plastic carrier bags per person</w:t>
      </w:r>
      <w:r w:rsidRPr="00606AEB" w:rsidDel="00C434E4">
        <w:rPr>
          <w:rFonts w:eastAsia="Calibri"/>
          <w:noProof/>
          <w:lang w:val="en-US"/>
        </w:rPr>
        <w:t xml:space="preserve"> </w:t>
      </w:r>
      <w:r w:rsidRPr="00606AEB">
        <w:rPr>
          <w:rFonts w:eastAsia="Calibri"/>
          <w:noProof/>
          <w:lang w:val="en-US"/>
        </w:rPr>
        <w:t>by 31 December 2025, or equivalent targets set in weight. Very lightweight plastic carrier bags may be excluded from national consumption objectives;</w:t>
      </w:r>
    </w:p>
    <w:p w:rsidR="00746A6C" w:rsidRPr="00606AEB" w:rsidRDefault="00746A6C" w:rsidP="00BB2E95">
      <w:pPr>
        <w:pStyle w:val="Point2"/>
        <w:rPr>
          <w:rFonts w:eastAsia="Calibri"/>
          <w:noProof/>
          <w:lang w:val="en-US"/>
        </w:rPr>
      </w:pPr>
      <w:r w:rsidRPr="00606AEB">
        <w:rPr>
          <w:rFonts w:eastAsia="Calibri"/>
          <w:noProof/>
          <w:lang w:val="en-US"/>
        </w:rPr>
        <w:t>(b)</w:t>
      </w:r>
      <w:r w:rsidRPr="00606AEB">
        <w:rPr>
          <w:rFonts w:eastAsia="Calibri"/>
          <w:noProof/>
          <w:lang w:val="en-US"/>
        </w:rPr>
        <w:tab/>
        <w:t>the adoption of instruments ensuring that, by 31 December 2018, lightweight plastic carrier bags are not provided free of charge at the point of sale of goods or products, unless equally effective instruments are implemented. Very lightweight plastic carrier bags may be excluded from th</w:t>
      </w:r>
      <w:r w:rsidR="00BB2E95" w:rsidRPr="00606AEB">
        <w:rPr>
          <w:rFonts w:eastAsia="Calibri"/>
          <w:noProof/>
          <w:lang w:val="en-US"/>
        </w:rPr>
        <w:t>o</w:t>
      </w:r>
      <w:r w:rsidRPr="00606AEB">
        <w:rPr>
          <w:rFonts w:eastAsia="Calibri"/>
          <w:noProof/>
          <w:lang w:val="en-US"/>
        </w:rPr>
        <w:t xml:space="preserve">se </w:t>
      </w:r>
      <w:r w:rsidR="00AE0AA2" w:rsidRPr="00606AEB">
        <w:rPr>
          <w:rFonts w:eastAsia="Calibri"/>
          <w:noProof/>
          <w:lang w:val="en-US"/>
        </w:rPr>
        <w:t>measures</w:t>
      </w:r>
      <w:r w:rsidRPr="00606AEB">
        <w:rPr>
          <w:rFonts w:eastAsia="Calibri"/>
          <w:noProof/>
          <w:lang w:val="en-US"/>
        </w:rPr>
        <w:t>.</w:t>
      </w:r>
    </w:p>
    <w:p w:rsidR="00746A6C" w:rsidRPr="00606AEB" w:rsidRDefault="00746A6C" w:rsidP="00A96E43">
      <w:pPr>
        <w:pStyle w:val="Text2"/>
        <w:rPr>
          <w:rFonts w:eastAsia="Calibri"/>
        </w:rPr>
      </w:pPr>
      <w:r w:rsidRPr="00606AEB">
        <w:rPr>
          <w:rFonts w:eastAsia="Calibri"/>
        </w:rPr>
        <w:t>From …</w:t>
      </w:r>
      <w:r w:rsidR="00503C63" w:rsidRPr="00606AEB">
        <w:rPr>
          <w:rStyle w:val="FootnoteReference"/>
          <w:rFonts w:eastAsia="Calibri"/>
        </w:rPr>
        <w:footnoteReference w:customMarkFollows="1" w:id="7"/>
        <w:t>+</w:t>
      </w:r>
      <w:r w:rsidRPr="00606AEB">
        <w:rPr>
          <w:rFonts w:eastAsia="Calibri"/>
        </w:rPr>
        <w:t xml:space="preserve"> Member States shall report on the annual consumption of lightweight plastic carrier bags when </w:t>
      </w:r>
      <w:r w:rsidR="00BB2E95" w:rsidRPr="00606AEB">
        <w:rPr>
          <w:rFonts w:eastAsia="Calibri"/>
        </w:rPr>
        <w:t>providing data</w:t>
      </w:r>
      <w:r w:rsidR="00B87787" w:rsidRPr="00606AEB">
        <w:rPr>
          <w:rFonts w:eastAsia="Calibri"/>
        </w:rPr>
        <w:t xml:space="preserve"> on packaging and packaging waste</w:t>
      </w:r>
      <w:r w:rsidR="00BB2E95" w:rsidRPr="00606AEB">
        <w:rPr>
          <w:rFonts w:eastAsia="Calibri"/>
        </w:rPr>
        <w:t xml:space="preserve"> </w:t>
      </w:r>
      <w:r w:rsidRPr="00606AEB">
        <w:rPr>
          <w:rFonts w:eastAsia="Calibri"/>
        </w:rPr>
        <w:t>to the Commission in accordance with Article 12 of this Directive.</w:t>
      </w:r>
    </w:p>
    <w:p w:rsidR="00746A6C" w:rsidRPr="00606AEB" w:rsidRDefault="00746A6C" w:rsidP="00746A6C">
      <w:pPr>
        <w:pStyle w:val="Text2"/>
        <w:rPr>
          <w:rFonts w:eastAsia="Calibri"/>
          <w:noProof/>
          <w:lang w:val="en-US"/>
        </w:rPr>
      </w:pPr>
      <w:r w:rsidRPr="00606AEB">
        <w:rPr>
          <w:rFonts w:eastAsia="Calibri"/>
          <w:noProof/>
          <w:lang w:val="en-US"/>
        </w:rPr>
        <w:t>By…</w:t>
      </w:r>
      <w:r w:rsidR="00503C63" w:rsidRPr="00606AEB">
        <w:rPr>
          <w:rStyle w:val="FootnoteReference"/>
          <w:rFonts w:eastAsia="Calibri"/>
          <w:noProof/>
          <w:lang w:val="en-US"/>
        </w:rPr>
        <w:footnoteReference w:customMarkFollows="1" w:id="8"/>
        <w:t>++</w:t>
      </w:r>
      <w:r w:rsidRPr="00606AEB">
        <w:rPr>
          <w:rFonts w:eastAsia="Calibri"/>
          <w:noProof/>
          <w:lang w:val="en-US"/>
        </w:rPr>
        <w:t>, the Commission shall adopt an implementing act laying down the methodology for the calculation of the annual consumption of lightweight plastic carrier bags per person and adapting the reportin</w:t>
      </w:r>
      <w:r w:rsidR="00CB7FE7">
        <w:rPr>
          <w:rFonts w:eastAsia="Calibri"/>
          <w:noProof/>
          <w:lang w:val="en-US"/>
        </w:rPr>
        <w:t>g formats adopted under Article </w:t>
      </w:r>
      <w:r w:rsidRPr="00606AEB">
        <w:rPr>
          <w:rFonts w:eastAsia="Calibri"/>
          <w:noProof/>
          <w:lang w:val="en-US"/>
        </w:rPr>
        <w:t xml:space="preserve">12(3). That implementing act shall be adopted in accordance with the regulatory procedure referred to in </w:t>
      </w:r>
      <w:r w:rsidR="003A64FF" w:rsidRPr="00606AEB">
        <w:rPr>
          <w:rFonts w:eastAsia="Calibri"/>
          <w:noProof/>
          <w:lang w:val="en-US"/>
        </w:rPr>
        <w:t>A</w:t>
      </w:r>
      <w:r w:rsidRPr="00606AEB">
        <w:rPr>
          <w:rFonts w:eastAsia="Calibri"/>
          <w:noProof/>
          <w:lang w:val="en-US"/>
        </w:rPr>
        <w:t>rticle 21(2).</w:t>
      </w:r>
    </w:p>
    <w:p w:rsidR="00746A6C" w:rsidRPr="00606AEB" w:rsidRDefault="00746A6C" w:rsidP="00746A6C">
      <w:pPr>
        <w:pStyle w:val="Point1"/>
        <w:rPr>
          <w:rFonts w:eastAsia="Calibri"/>
          <w:noProof/>
          <w:lang w:val="en-US"/>
        </w:rPr>
      </w:pPr>
      <w:r w:rsidRPr="00606AEB">
        <w:rPr>
          <w:rFonts w:eastAsia="Calibri"/>
          <w:noProof/>
          <w:lang w:val="en-US"/>
        </w:rPr>
        <w:br w:type="page"/>
        <w:t>1b.</w:t>
      </w:r>
      <w:r w:rsidRPr="00606AEB">
        <w:rPr>
          <w:rFonts w:eastAsia="Calibri"/>
          <w:noProof/>
          <w:lang w:val="en-US"/>
        </w:rPr>
        <w:tab/>
        <w:t>Without prejudice to Article 15, Member States may take measures such as economic instruments and national reduction targets, as regards any kind of plastic carrier bags, regardless of their wall thickness.</w:t>
      </w:r>
    </w:p>
    <w:p w:rsidR="00746A6C" w:rsidRPr="00606AEB" w:rsidRDefault="00746A6C" w:rsidP="00606AEB">
      <w:pPr>
        <w:pStyle w:val="Point1"/>
        <w:rPr>
          <w:rFonts w:eastAsia="Calibri"/>
          <w:lang w:val="en-US"/>
        </w:rPr>
      </w:pPr>
      <w:r w:rsidRPr="00606AEB">
        <w:rPr>
          <w:rFonts w:eastAsia="Calibri"/>
          <w:lang w:val="en-US"/>
        </w:rPr>
        <w:t>1c.</w:t>
      </w:r>
      <w:r w:rsidRPr="00606AEB">
        <w:rPr>
          <w:rFonts w:eastAsia="Calibri"/>
          <w:lang w:val="en-US"/>
        </w:rPr>
        <w:tab/>
        <w:t>The Commission and the Member States shall, at least during the first year following the …</w:t>
      </w:r>
      <w:r w:rsidR="00D432BB" w:rsidRPr="00606AEB">
        <w:rPr>
          <w:rStyle w:val="FootnoteReference"/>
          <w:rFonts w:eastAsia="Calibri"/>
          <w:lang w:val="en-US"/>
        </w:rPr>
        <w:footnoteReference w:customMarkFollows="1" w:id="9"/>
        <w:sym w:font="Symbol" w:char="F02B"/>
      </w:r>
      <w:r w:rsidRPr="00606AEB">
        <w:rPr>
          <w:rFonts w:eastAsia="Calibri"/>
          <w:lang w:val="en-US"/>
        </w:rPr>
        <w:t xml:space="preserve">, actively encourage public information and awareness campaigns concerning the adverse environmental impact of the excessive </w:t>
      </w:r>
      <w:r w:rsidR="00AE0AA2" w:rsidRPr="00606AEB">
        <w:rPr>
          <w:rFonts w:eastAsia="Calibri"/>
          <w:lang w:val="en-US"/>
        </w:rPr>
        <w:t xml:space="preserve">consumption </w:t>
      </w:r>
      <w:r w:rsidRPr="00606AEB">
        <w:rPr>
          <w:rFonts w:eastAsia="Calibri"/>
          <w:lang w:val="en-US"/>
        </w:rPr>
        <w:t>of lightweight plastic carrier bags.'.</w:t>
      </w:r>
    </w:p>
    <w:p w:rsidR="00746A6C" w:rsidRPr="00606AEB" w:rsidRDefault="00746A6C" w:rsidP="00912DB2">
      <w:pPr>
        <w:pStyle w:val="Point0"/>
        <w:rPr>
          <w:rFonts w:eastAsia="Calibri"/>
          <w:lang w:val="en-US"/>
        </w:rPr>
      </w:pPr>
      <w:r w:rsidRPr="00606AEB">
        <w:rPr>
          <w:rFonts w:eastAsia="Calibri"/>
          <w:lang w:val="en-US"/>
        </w:rPr>
        <w:t>(</w:t>
      </w:r>
      <w:r w:rsidR="00912DB2" w:rsidRPr="00606AEB">
        <w:rPr>
          <w:rFonts w:eastAsia="Calibri"/>
          <w:lang w:val="en-US"/>
        </w:rPr>
        <w:t>3</w:t>
      </w:r>
      <w:r w:rsidRPr="00606AEB">
        <w:rPr>
          <w:rFonts w:eastAsia="Calibri"/>
          <w:lang w:val="en-US"/>
        </w:rPr>
        <w:t>)</w:t>
      </w:r>
      <w:r w:rsidRPr="00606AEB">
        <w:rPr>
          <w:rFonts w:eastAsia="Calibri"/>
          <w:lang w:val="en-US"/>
        </w:rPr>
        <w:tab/>
        <w:t>The following Article is inserted:</w:t>
      </w:r>
    </w:p>
    <w:p w:rsidR="009A7F0A" w:rsidRPr="00606AEB" w:rsidRDefault="00746A6C" w:rsidP="00606AEB">
      <w:pPr>
        <w:pStyle w:val="Text1"/>
        <w:rPr>
          <w:rFonts w:eastAsia="Calibri"/>
          <w:i/>
          <w:iCs/>
          <w:lang w:val="en-US"/>
        </w:rPr>
      </w:pPr>
      <w:r w:rsidRPr="00606AEB">
        <w:rPr>
          <w:rFonts w:eastAsia="Calibri"/>
          <w:i/>
          <w:iCs/>
          <w:lang w:val="en-US"/>
        </w:rPr>
        <w:t xml:space="preserve">'Article 8a </w:t>
      </w:r>
      <w:r w:rsidR="00606AEB" w:rsidRPr="00606AEB">
        <w:rPr>
          <w:rFonts w:eastAsia="Calibri"/>
          <w:i/>
          <w:iCs/>
          <w:lang w:val="en-US"/>
        </w:rPr>
        <w:br/>
      </w:r>
      <w:r w:rsidR="00912DB2" w:rsidRPr="00606AEB">
        <w:rPr>
          <w:rFonts w:eastAsia="Calibri"/>
          <w:i/>
          <w:iCs/>
          <w:lang w:val="en-US"/>
        </w:rPr>
        <w:t>Specific measures</w:t>
      </w:r>
      <w:r w:rsidR="009A7F0A" w:rsidRPr="00606AEB">
        <w:rPr>
          <w:rFonts w:eastAsia="Calibri"/>
          <w:i/>
          <w:iCs/>
          <w:lang w:val="en-US"/>
        </w:rPr>
        <w:t xml:space="preserve"> for </w:t>
      </w:r>
      <w:r w:rsidR="009A7F0A" w:rsidRPr="00606AEB">
        <w:rPr>
          <w:rFonts w:eastAsia="Calibri"/>
          <w:i/>
          <w:lang w:val="en-US"/>
        </w:rPr>
        <w:t>biodegradable and compostable plastic carrier bags</w:t>
      </w:r>
    </w:p>
    <w:p w:rsidR="00746A6C" w:rsidRPr="00606AEB" w:rsidRDefault="00746A6C" w:rsidP="00746A6C">
      <w:pPr>
        <w:pStyle w:val="Text1"/>
        <w:rPr>
          <w:rFonts w:eastAsia="Calibri"/>
          <w:noProof/>
          <w:lang w:val="en-US"/>
        </w:rPr>
      </w:pPr>
      <w:r w:rsidRPr="00606AEB">
        <w:rPr>
          <w:rFonts w:eastAsia="Calibri"/>
          <w:lang w:val="en-US"/>
        </w:rPr>
        <w:t>By ...</w:t>
      </w:r>
      <w:r w:rsidR="00D432BB" w:rsidRPr="00606AEB">
        <w:rPr>
          <w:rStyle w:val="FootnoteReference"/>
          <w:rFonts w:eastAsia="Calibri"/>
          <w:lang w:val="en-US"/>
        </w:rPr>
        <w:footnoteReference w:customMarkFollows="1" w:id="10"/>
        <w:t>++</w:t>
      </w:r>
      <w:r w:rsidRPr="00606AEB">
        <w:rPr>
          <w:rFonts w:eastAsia="Calibri"/>
          <w:lang w:val="en-US"/>
        </w:rPr>
        <w:t xml:space="preserve">, the Commission shall adopt an implementing act laying down the specifications of labels or marks to ensure Union-wide recognition of biodegradable and compostable plastic carrier bags and to provide consumers with the correct information about the composting properties of such bags. </w:t>
      </w:r>
      <w:r w:rsidRPr="00606AEB">
        <w:rPr>
          <w:rFonts w:eastAsia="Calibri"/>
          <w:noProof/>
          <w:lang w:val="en-US"/>
        </w:rPr>
        <w:t xml:space="preserve">That implementing act shall be adopted in accordance with the regulatory procedure referred to in </w:t>
      </w:r>
      <w:r w:rsidR="006D5017" w:rsidRPr="00606AEB">
        <w:rPr>
          <w:rFonts w:eastAsia="Calibri"/>
          <w:noProof/>
          <w:lang w:val="en-US"/>
        </w:rPr>
        <w:t>A</w:t>
      </w:r>
      <w:r w:rsidRPr="00606AEB">
        <w:rPr>
          <w:rFonts w:eastAsia="Calibri"/>
          <w:noProof/>
          <w:lang w:val="en-US"/>
        </w:rPr>
        <w:t>rticle 21(2).</w:t>
      </w:r>
    </w:p>
    <w:p w:rsidR="00746A6C" w:rsidRPr="00606AEB" w:rsidRDefault="00746A6C" w:rsidP="00606AEB">
      <w:pPr>
        <w:pStyle w:val="Text1"/>
        <w:rPr>
          <w:rFonts w:eastAsia="Calibri"/>
          <w:lang w:val="en-US"/>
        </w:rPr>
      </w:pPr>
      <w:r w:rsidRPr="00606AEB">
        <w:rPr>
          <w:rFonts w:eastAsia="Calibri"/>
          <w:lang w:val="en-US"/>
        </w:rPr>
        <w:br w:type="page"/>
        <w:t>E</w:t>
      </w:r>
      <w:r w:rsidRPr="00606AEB">
        <w:rPr>
          <w:rFonts w:eastAsia="Calibri"/>
          <w:bCs/>
          <w:noProof/>
          <w:lang w:val="en-US" w:eastAsia="en-GB"/>
        </w:rPr>
        <w:t>ighteen</w:t>
      </w:r>
      <w:r w:rsidRPr="00606AEB">
        <w:rPr>
          <w:rFonts w:eastAsia="Calibri"/>
          <w:noProof/>
          <w:lang w:val="en-US" w:eastAsia="en-GB"/>
        </w:rPr>
        <w:t xml:space="preserve"> </w:t>
      </w:r>
      <w:r w:rsidRPr="00606AEB">
        <w:rPr>
          <w:rFonts w:eastAsia="Calibri"/>
          <w:lang w:val="en-US"/>
        </w:rPr>
        <w:t>months after the adoption of that implementing act, at the latest, Member States shall ensure that biodegradable and compostable plastic carrier bags are labelled in accordance with the specifications provided for in that implementing act</w:t>
      </w:r>
      <w:r w:rsidRPr="00606AEB">
        <w:rPr>
          <w:rFonts w:eastAsia="Calibri"/>
          <w:noProof/>
          <w:lang w:val="en-US"/>
        </w:rPr>
        <w:t>.</w:t>
      </w:r>
      <w:r w:rsidRPr="00606AEB">
        <w:rPr>
          <w:rFonts w:eastAsia="Calibri"/>
          <w:lang w:val="en-US"/>
        </w:rPr>
        <w:t xml:space="preserve"> '.</w:t>
      </w:r>
    </w:p>
    <w:p w:rsidR="00746A6C" w:rsidRPr="00606AEB" w:rsidRDefault="00746A6C" w:rsidP="00912DB2">
      <w:pPr>
        <w:pStyle w:val="Point0"/>
        <w:rPr>
          <w:rFonts w:eastAsia="Calibri"/>
        </w:rPr>
      </w:pPr>
      <w:r w:rsidRPr="00606AEB">
        <w:rPr>
          <w:rFonts w:eastAsia="Calibri"/>
        </w:rPr>
        <w:t>(</w:t>
      </w:r>
      <w:r w:rsidR="00912DB2" w:rsidRPr="00606AEB">
        <w:rPr>
          <w:rFonts w:eastAsia="Calibri"/>
        </w:rPr>
        <w:t>4</w:t>
      </w:r>
      <w:r w:rsidRPr="00606AEB">
        <w:rPr>
          <w:rFonts w:eastAsia="Calibri"/>
        </w:rPr>
        <w:t>)</w:t>
      </w:r>
      <w:r w:rsidRPr="00606AEB">
        <w:rPr>
          <w:rFonts w:eastAsia="Calibri"/>
        </w:rPr>
        <w:tab/>
        <w:t>The following Article is inserted:</w:t>
      </w:r>
    </w:p>
    <w:p w:rsidR="009A7F0A" w:rsidRPr="00606AEB" w:rsidRDefault="00746A6C" w:rsidP="00606AEB">
      <w:pPr>
        <w:pStyle w:val="Text1"/>
        <w:rPr>
          <w:rFonts w:eastAsia="Calibri"/>
          <w:i/>
          <w:iCs/>
          <w:noProof/>
          <w:lang w:eastAsia="en-GB"/>
        </w:rPr>
      </w:pPr>
      <w:r w:rsidRPr="00606AEB">
        <w:rPr>
          <w:rFonts w:eastAsia="Calibri"/>
          <w:noProof/>
          <w:lang w:eastAsia="en-GB"/>
        </w:rPr>
        <w:t>'</w:t>
      </w:r>
      <w:r w:rsidRPr="00606AEB">
        <w:rPr>
          <w:rFonts w:eastAsia="Calibri"/>
          <w:i/>
          <w:iCs/>
        </w:rPr>
        <w:t>Article 20a</w:t>
      </w:r>
      <w:r w:rsidR="00606AEB" w:rsidRPr="00606AEB">
        <w:rPr>
          <w:rFonts w:eastAsia="Calibri"/>
          <w:i/>
          <w:iCs/>
        </w:rPr>
        <w:br/>
      </w:r>
      <w:r w:rsidR="009A7F0A" w:rsidRPr="00606AEB">
        <w:rPr>
          <w:rFonts w:eastAsia="Calibri"/>
          <w:i/>
          <w:iCs/>
        </w:rPr>
        <w:t>Report</w:t>
      </w:r>
      <w:r w:rsidR="00912DB2" w:rsidRPr="00606AEB">
        <w:rPr>
          <w:rFonts w:eastAsia="Calibri"/>
          <w:i/>
          <w:iCs/>
        </w:rPr>
        <w:t>ing</w:t>
      </w:r>
      <w:r w:rsidR="009A7F0A" w:rsidRPr="00606AEB">
        <w:rPr>
          <w:rFonts w:eastAsia="Calibri"/>
          <w:i/>
          <w:iCs/>
        </w:rPr>
        <w:t xml:space="preserve"> on </w:t>
      </w:r>
      <w:r w:rsidR="009A7F0A" w:rsidRPr="00606AEB">
        <w:rPr>
          <w:rFonts w:eastAsia="Calibri"/>
          <w:i/>
          <w:iCs/>
          <w:noProof/>
          <w:lang w:val="en-US"/>
        </w:rPr>
        <w:t>plastic carrier bags</w:t>
      </w:r>
    </w:p>
    <w:p w:rsidR="00746A6C" w:rsidRPr="00606AEB" w:rsidRDefault="00746A6C" w:rsidP="00746A6C">
      <w:pPr>
        <w:pStyle w:val="Point1"/>
        <w:rPr>
          <w:rFonts w:eastAsia="Calibri"/>
          <w:noProof/>
          <w:lang w:val="en-US"/>
        </w:rPr>
      </w:pPr>
      <w:r w:rsidRPr="00606AEB">
        <w:rPr>
          <w:rFonts w:eastAsia="Calibri"/>
          <w:noProof/>
          <w:lang w:val="en-US" w:eastAsia="en-GB"/>
        </w:rPr>
        <w:t>1.</w:t>
      </w:r>
      <w:r w:rsidRPr="00606AEB">
        <w:rPr>
          <w:rFonts w:eastAsia="Calibri"/>
          <w:noProof/>
          <w:lang w:val="en-US" w:eastAsia="en-GB"/>
        </w:rPr>
        <w:tab/>
      </w:r>
      <w:r w:rsidRPr="00606AEB">
        <w:rPr>
          <w:rFonts w:eastAsia="Calibri"/>
          <w:noProof/>
          <w:lang w:val="en-US"/>
        </w:rPr>
        <w:t>By ...</w:t>
      </w:r>
      <w:r w:rsidR="008B2581" w:rsidRPr="00606AEB">
        <w:rPr>
          <w:rStyle w:val="FootnoteReference"/>
          <w:rFonts w:eastAsia="Calibri"/>
          <w:noProof/>
          <w:lang w:val="en-US"/>
        </w:rPr>
        <w:footnoteReference w:customMarkFollows="1" w:id="11"/>
        <w:t>+</w:t>
      </w:r>
      <w:r w:rsidRPr="00606AEB">
        <w:rPr>
          <w:rFonts w:eastAsia="Calibri"/>
          <w:noProof/>
          <w:lang w:val="en-US"/>
        </w:rPr>
        <w:t>, the Commission shall present a report to the European Parliament and to the Council, assessing the effectiveness of measures in Article 4(1a) at Union level, in combating littering, changing consumer behaviour and promoting waste prevention. If the assessment shows that the measures adopted are not effective, the Commission shall examine other possible ways to achieve a reduction in the consumption of lightweight plastic carrier bags, including the setting of realistic and achievable targets at Union level, and present a legislative proposal, if appropriate.</w:t>
      </w:r>
    </w:p>
    <w:p w:rsidR="00746A6C" w:rsidRPr="00606AEB" w:rsidRDefault="00746A6C" w:rsidP="00746A6C">
      <w:pPr>
        <w:pStyle w:val="Point1"/>
        <w:rPr>
          <w:rFonts w:eastAsia="Calibri"/>
          <w:noProof/>
          <w:lang w:val="en-US"/>
        </w:rPr>
      </w:pPr>
      <w:r w:rsidRPr="00606AEB">
        <w:rPr>
          <w:rFonts w:eastAsia="Calibri"/>
          <w:noProof/>
          <w:lang w:val="en-US"/>
        </w:rPr>
        <w:br w:type="page"/>
        <w:t>2.</w:t>
      </w:r>
      <w:r w:rsidRPr="00606AEB">
        <w:rPr>
          <w:rFonts w:eastAsia="Calibri"/>
          <w:noProof/>
          <w:lang w:val="en-US"/>
        </w:rPr>
        <w:tab/>
        <w:t>By ...</w:t>
      </w:r>
      <w:r w:rsidR="008B2581" w:rsidRPr="00606AEB">
        <w:rPr>
          <w:rStyle w:val="FootnoteReference"/>
          <w:rFonts w:eastAsia="Calibri"/>
          <w:noProof/>
          <w:lang w:val="en-US"/>
        </w:rPr>
        <w:footnoteReference w:customMarkFollows="1" w:id="12"/>
        <w:t>+</w:t>
      </w:r>
      <w:r w:rsidRPr="00606AEB">
        <w:rPr>
          <w:rFonts w:eastAsia="Calibri"/>
          <w:noProof/>
          <w:lang w:val="en-US"/>
        </w:rPr>
        <w:t>, the Commission shall present a report to the European Parliament and to the Council, examining the impact of the use of oxo-degradable plastic carrier bags on the environment and present a legislative proposal, if appropriate.</w:t>
      </w:r>
    </w:p>
    <w:p w:rsidR="00746A6C" w:rsidRPr="00606AEB" w:rsidRDefault="00746A6C" w:rsidP="00606AEB">
      <w:pPr>
        <w:pStyle w:val="Point1"/>
        <w:rPr>
          <w:rFonts w:eastAsia="Calibri" w:cs="Arial"/>
          <w:szCs w:val="22"/>
          <w:lang w:val="en-US"/>
        </w:rPr>
      </w:pPr>
      <w:r w:rsidRPr="00606AEB">
        <w:rPr>
          <w:rFonts w:eastAsia="Calibri"/>
          <w:bCs/>
          <w:lang w:val="en-US"/>
        </w:rPr>
        <w:t>3.</w:t>
      </w:r>
      <w:r w:rsidRPr="00606AEB">
        <w:rPr>
          <w:rFonts w:eastAsia="Calibri"/>
          <w:bCs/>
          <w:lang w:val="en-US"/>
        </w:rPr>
        <w:tab/>
        <w:t>By …</w:t>
      </w:r>
      <w:r w:rsidR="008B2581" w:rsidRPr="00606AEB">
        <w:rPr>
          <w:rStyle w:val="FootnoteReference"/>
          <w:rFonts w:eastAsia="Calibri"/>
          <w:bCs/>
          <w:lang w:val="en-US"/>
        </w:rPr>
        <w:footnoteReference w:customMarkFollows="1" w:id="13"/>
        <w:t>++</w:t>
      </w:r>
      <w:r w:rsidRPr="00606AEB">
        <w:rPr>
          <w:rFonts w:eastAsia="Calibri"/>
          <w:noProof/>
          <w:lang w:val="en-US"/>
        </w:rPr>
        <w:t xml:space="preserve">, </w:t>
      </w:r>
      <w:r w:rsidRPr="00606AEB">
        <w:rPr>
          <w:rFonts w:eastAsia="Calibri"/>
          <w:bCs/>
          <w:lang w:val="en-US"/>
        </w:rPr>
        <w:t xml:space="preserve">the Commission shall assess the life cycle impacts of different possibilities to </w:t>
      </w:r>
      <w:r w:rsidR="00AC1B13" w:rsidRPr="00606AEB">
        <w:rPr>
          <w:rFonts w:eastAsia="Calibri"/>
          <w:bCs/>
          <w:lang w:val="en-US"/>
        </w:rPr>
        <w:t xml:space="preserve">reduce the consumption of </w:t>
      </w:r>
      <w:r w:rsidRPr="00606AEB">
        <w:rPr>
          <w:rFonts w:eastAsia="Calibri"/>
          <w:bCs/>
          <w:lang w:val="en-US"/>
        </w:rPr>
        <w:t>very lightweight plastic carrier bags , and present a legislative proposal, if appropriate.</w:t>
      </w:r>
      <w:r w:rsidRPr="00606AEB">
        <w:rPr>
          <w:rFonts w:eastAsia="Calibri"/>
          <w:lang w:val="en-US"/>
        </w:rPr>
        <w:t>'.</w:t>
      </w:r>
    </w:p>
    <w:p w:rsidR="00746A6C" w:rsidRPr="00606AEB" w:rsidRDefault="00746A6C" w:rsidP="00912DB2">
      <w:pPr>
        <w:pStyle w:val="Point0"/>
        <w:rPr>
          <w:rFonts w:eastAsia="Calibri"/>
          <w:noProof/>
          <w:lang w:val="en-US"/>
        </w:rPr>
      </w:pPr>
      <w:bookmarkStart w:id="3" w:name="ControlPages"/>
      <w:bookmarkEnd w:id="3"/>
      <w:r w:rsidRPr="00606AEB">
        <w:rPr>
          <w:rFonts w:eastAsia="Calibri"/>
          <w:iCs/>
          <w:lang w:val="en-US"/>
        </w:rPr>
        <w:t>(</w:t>
      </w:r>
      <w:r w:rsidR="00912DB2" w:rsidRPr="00606AEB">
        <w:rPr>
          <w:rFonts w:eastAsia="Calibri"/>
          <w:iCs/>
          <w:lang w:val="en-US"/>
        </w:rPr>
        <w:t>5</w:t>
      </w:r>
      <w:r w:rsidRPr="00606AEB">
        <w:rPr>
          <w:rFonts w:eastAsia="Calibri"/>
          <w:iCs/>
          <w:lang w:val="en-US"/>
        </w:rPr>
        <w:t>)</w:t>
      </w:r>
      <w:r w:rsidRPr="00606AEB">
        <w:rPr>
          <w:rFonts w:eastAsia="Calibri"/>
          <w:iCs/>
          <w:lang w:val="en-US"/>
        </w:rPr>
        <w:tab/>
      </w:r>
      <w:r w:rsidRPr="00606AEB">
        <w:rPr>
          <w:rFonts w:eastAsia="Calibri"/>
          <w:noProof/>
          <w:lang w:val="en-US"/>
        </w:rPr>
        <w:t xml:space="preserve">In </w:t>
      </w:r>
      <w:r w:rsidRPr="00606AEB">
        <w:rPr>
          <w:rFonts w:eastAsia="Calibri"/>
          <w:lang w:val="en-US"/>
        </w:rPr>
        <w:t>Article</w:t>
      </w:r>
      <w:r w:rsidRPr="00606AEB">
        <w:rPr>
          <w:rFonts w:eastAsia="Calibri"/>
          <w:noProof/>
          <w:lang w:val="en-US"/>
        </w:rPr>
        <w:t xml:space="preserve"> 22, paragraph 3a, the first subparagraph is replaced by the following:</w:t>
      </w:r>
    </w:p>
    <w:p w:rsidR="00746A6C" w:rsidRPr="00606AEB" w:rsidRDefault="00746A6C" w:rsidP="00912DB2">
      <w:pPr>
        <w:pStyle w:val="Point1"/>
        <w:rPr>
          <w:rFonts w:eastAsia="Calibri"/>
          <w:lang w:val="en-US"/>
        </w:rPr>
      </w:pPr>
      <w:r w:rsidRPr="00606AEB">
        <w:rPr>
          <w:rFonts w:eastAsia="Calibri"/>
          <w:noProof/>
          <w:lang w:val="en-US"/>
        </w:rPr>
        <w:t>'3a.</w:t>
      </w:r>
      <w:r w:rsidRPr="00606AEB">
        <w:rPr>
          <w:rFonts w:eastAsia="Calibri"/>
          <w:noProof/>
          <w:lang w:val="en-US"/>
        </w:rPr>
        <w:tab/>
        <w:t>Provided</w:t>
      </w:r>
      <w:r w:rsidRPr="00606AEB">
        <w:rPr>
          <w:rFonts w:eastAsia="Calibri"/>
          <w:lang w:val="en-US" w:eastAsia="de-AT"/>
        </w:rPr>
        <w:t xml:space="preserve"> that the objectives set out in Article 4 and </w:t>
      </w:r>
      <w:r w:rsidR="00976346" w:rsidRPr="00606AEB">
        <w:rPr>
          <w:rFonts w:eastAsia="Calibri"/>
          <w:lang w:val="en-US" w:eastAsia="de-AT"/>
        </w:rPr>
        <w:t>Article</w:t>
      </w:r>
      <w:r w:rsidR="006C2F63" w:rsidRPr="00606AEB">
        <w:rPr>
          <w:rFonts w:eastAsia="Calibri"/>
          <w:lang w:val="en-US" w:eastAsia="de-AT"/>
        </w:rPr>
        <w:t xml:space="preserve"> </w:t>
      </w:r>
      <w:r w:rsidR="00873D8A">
        <w:rPr>
          <w:rFonts w:eastAsia="Calibri"/>
          <w:lang w:val="en-US" w:eastAsia="de-AT"/>
        </w:rPr>
        <w:t>6 are achieved, Member </w:t>
      </w:r>
      <w:r w:rsidRPr="00606AEB">
        <w:rPr>
          <w:rFonts w:eastAsia="Calibri"/>
          <w:lang w:val="en-US" w:eastAsia="de-AT"/>
        </w:rPr>
        <w:t>States may transpose the provisions set out in Articles 4(1a) and 7 by means of agreements between the competent authorities and the economic sectors concerned.'.</w:t>
      </w:r>
    </w:p>
    <w:p w:rsidR="00746A6C" w:rsidRPr="00606AEB" w:rsidRDefault="00746A6C" w:rsidP="00AC1B13">
      <w:pPr>
        <w:pStyle w:val="Titrearticle"/>
        <w:rPr>
          <w:rFonts w:eastAsia="Calibri"/>
          <w:noProof/>
          <w:lang w:val="en-US"/>
        </w:rPr>
      </w:pPr>
      <w:r w:rsidRPr="00606AEB">
        <w:rPr>
          <w:rFonts w:eastAsia="Calibri"/>
          <w:noProof/>
          <w:lang w:val="en-US"/>
        </w:rPr>
        <w:br w:type="page"/>
        <w:t>Article</w:t>
      </w:r>
      <w:r w:rsidR="00AC1B13" w:rsidRPr="00606AEB">
        <w:rPr>
          <w:rFonts w:eastAsia="Calibri"/>
          <w:noProof/>
          <w:lang w:val="en-US"/>
        </w:rPr>
        <w:t xml:space="preserve"> 2</w:t>
      </w:r>
    </w:p>
    <w:p w:rsidR="00746A6C" w:rsidRPr="00606AEB" w:rsidRDefault="00746A6C" w:rsidP="00AC1B13">
      <w:pPr>
        <w:pStyle w:val="ManualNumPar1"/>
        <w:rPr>
          <w:rFonts w:eastAsia="Calibri"/>
        </w:rPr>
      </w:pPr>
      <w:r w:rsidRPr="00606AEB">
        <w:rPr>
          <w:rFonts w:eastAsia="Calibri"/>
          <w:noProof/>
          <w:lang w:val="en-US" w:eastAsia="en-GB"/>
        </w:rPr>
        <w:t>1.</w:t>
      </w:r>
      <w:r w:rsidRPr="00606AEB">
        <w:rPr>
          <w:rFonts w:eastAsia="Calibri"/>
          <w:noProof/>
          <w:lang w:val="en-US" w:eastAsia="en-GB"/>
        </w:rPr>
        <w:tab/>
      </w:r>
      <w:r w:rsidRPr="00606AEB">
        <w:rPr>
          <w:rFonts w:eastAsia="Calibri"/>
        </w:rPr>
        <w:t>Member States shall bring into force the laws, regulations and administrative provisions necessary to comply with this Directive by …</w:t>
      </w:r>
      <w:r w:rsidR="006C2F63" w:rsidRPr="00606AEB">
        <w:rPr>
          <w:rStyle w:val="FootnoteReference"/>
          <w:rFonts w:eastAsia="Calibri"/>
          <w:b w:val="0"/>
        </w:rPr>
        <w:footnoteReference w:customMarkFollows="1" w:id="14"/>
        <w:t>+</w:t>
      </w:r>
      <w:r w:rsidRPr="00606AEB">
        <w:rPr>
          <w:rFonts w:eastAsia="Calibri"/>
        </w:rPr>
        <w:t>. They shall i</w:t>
      </w:r>
      <w:r w:rsidR="006E1177" w:rsidRPr="00606AEB">
        <w:rPr>
          <w:rFonts w:eastAsia="Calibri"/>
        </w:rPr>
        <w:t>m</w:t>
      </w:r>
      <w:r w:rsidRPr="00606AEB">
        <w:rPr>
          <w:rFonts w:eastAsia="Calibri"/>
        </w:rPr>
        <w:t>mediately inform the Commission thereof.</w:t>
      </w:r>
    </w:p>
    <w:p w:rsidR="00AC1B13" w:rsidRPr="00606AEB" w:rsidRDefault="00AC1B13" w:rsidP="00AC1B13">
      <w:pPr>
        <w:pStyle w:val="Text1"/>
        <w:rPr>
          <w:rFonts w:eastAsia="Calibri"/>
          <w:noProof/>
          <w:lang w:val="en-US"/>
        </w:rPr>
      </w:pPr>
      <w:r w:rsidRPr="00606AEB">
        <w:rPr>
          <w:rFonts w:eastAsia="Calibri"/>
          <w:noProof/>
          <w:lang w:val="en-US"/>
        </w:rPr>
        <w:t>When Member States adopt those measures, they shall contain a reference to this Directive or shall be accompanied by such reference on the occasion of their official publication. The methods of making such reference shall be laid down by Member States.</w:t>
      </w:r>
    </w:p>
    <w:p w:rsidR="00746A6C" w:rsidRPr="00606AEB" w:rsidRDefault="00AC1B13" w:rsidP="00AC1B13">
      <w:pPr>
        <w:pStyle w:val="ManualNumPar1"/>
        <w:rPr>
          <w:rFonts w:eastAsia="Calibri"/>
          <w:noProof/>
          <w:lang w:val="en-US"/>
        </w:rPr>
      </w:pPr>
      <w:r w:rsidRPr="00606AEB">
        <w:rPr>
          <w:rFonts w:eastAsia="Calibri"/>
          <w:noProof/>
          <w:lang w:val="en-US"/>
        </w:rPr>
        <w:t>2.</w:t>
      </w:r>
      <w:r w:rsidRPr="00606AEB">
        <w:rPr>
          <w:rFonts w:eastAsia="Calibri"/>
          <w:noProof/>
          <w:lang w:val="en-US"/>
        </w:rPr>
        <w:tab/>
        <w:t>Member States shall communicate to the Commission the text of the main measures of national law which they adopt in the field covered by this Directive.</w:t>
      </w:r>
    </w:p>
    <w:p w:rsidR="00746A6C" w:rsidRPr="00606AEB" w:rsidRDefault="00746A6C" w:rsidP="00746A6C">
      <w:pPr>
        <w:pStyle w:val="Titrearticle"/>
        <w:rPr>
          <w:rFonts w:eastAsia="Calibri"/>
          <w:noProof/>
          <w:lang w:val="en-US"/>
        </w:rPr>
      </w:pPr>
      <w:r w:rsidRPr="00606AEB">
        <w:rPr>
          <w:rFonts w:eastAsia="Calibri"/>
          <w:noProof/>
          <w:lang w:val="en-US"/>
        </w:rPr>
        <w:br w:type="page"/>
        <w:t>Article 3</w:t>
      </w:r>
    </w:p>
    <w:p w:rsidR="00746A6C" w:rsidRPr="00606AEB" w:rsidRDefault="00746A6C" w:rsidP="00746A6C">
      <w:pPr>
        <w:rPr>
          <w:rFonts w:eastAsia="Calibri"/>
          <w:noProof/>
          <w:lang w:val="en-US" w:eastAsia="en-GB"/>
        </w:rPr>
      </w:pPr>
      <w:r w:rsidRPr="00606AEB">
        <w:rPr>
          <w:rFonts w:eastAsia="Calibri"/>
          <w:noProof/>
          <w:lang w:val="en-US" w:eastAsia="en-GB"/>
        </w:rPr>
        <w:t xml:space="preserve">This Directive shall enter into force on the twentieth day following that of its publication in the </w:t>
      </w:r>
      <w:r w:rsidRPr="00606AEB">
        <w:rPr>
          <w:rFonts w:eastAsia="Calibri"/>
          <w:i/>
          <w:iCs/>
          <w:noProof/>
          <w:lang w:val="en-US" w:eastAsia="en-GB"/>
        </w:rPr>
        <w:t>Official Journal of the European Union</w:t>
      </w:r>
      <w:r w:rsidRPr="00606AEB">
        <w:rPr>
          <w:rFonts w:eastAsia="Calibri"/>
          <w:noProof/>
          <w:lang w:val="en-US" w:eastAsia="en-GB"/>
        </w:rPr>
        <w:t>.</w:t>
      </w:r>
    </w:p>
    <w:p w:rsidR="00746A6C" w:rsidRPr="00606AEB" w:rsidRDefault="00746A6C" w:rsidP="00746A6C">
      <w:pPr>
        <w:pStyle w:val="Titrearticle"/>
        <w:rPr>
          <w:rFonts w:eastAsia="Calibri"/>
          <w:noProof/>
          <w:lang w:val="en-US" w:eastAsia="en-GB"/>
        </w:rPr>
      </w:pPr>
      <w:r w:rsidRPr="00606AEB">
        <w:rPr>
          <w:rFonts w:eastAsia="Calibri"/>
          <w:noProof/>
          <w:lang w:val="en-US" w:eastAsia="en-GB"/>
        </w:rPr>
        <w:t>Article 4</w:t>
      </w:r>
    </w:p>
    <w:p w:rsidR="00746A6C" w:rsidRPr="00606AEB" w:rsidRDefault="00746A6C" w:rsidP="00746A6C">
      <w:pPr>
        <w:rPr>
          <w:rFonts w:eastAsia="Calibri"/>
          <w:noProof/>
          <w:lang w:val="en-US"/>
        </w:rPr>
      </w:pPr>
      <w:r w:rsidRPr="00606AEB">
        <w:rPr>
          <w:rFonts w:eastAsia="Calibri"/>
          <w:noProof/>
          <w:lang w:val="en-US"/>
        </w:rPr>
        <w:t>This Directive is addressed to the Member States.</w:t>
      </w:r>
    </w:p>
    <w:p w:rsidR="00746A6C" w:rsidRPr="00606AEB" w:rsidRDefault="00746A6C" w:rsidP="00746A6C">
      <w:pPr>
        <w:pStyle w:val="Fait"/>
        <w:rPr>
          <w:rFonts w:eastAsia="Calibri"/>
          <w:noProof/>
          <w:lang w:val="en-US"/>
        </w:rPr>
      </w:pPr>
      <w:r w:rsidRPr="00606AEB">
        <w:rPr>
          <w:rFonts w:eastAsia="Calibri"/>
          <w:noProof/>
          <w:lang w:val="en-US"/>
        </w:rPr>
        <w:t>Done at,</w:t>
      </w:r>
    </w:p>
    <w:p w:rsidR="00746A6C" w:rsidRPr="00606AEB" w:rsidRDefault="00746A6C" w:rsidP="00746A6C">
      <w:pPr>
        <w:pStyle w:val="Institutionquisigne"/>
        <w:rPr>
          <w:rFonts w:eastAsia="Calibri"/>
          <w:noProof/>
          <w:lang w:val="en-US"/>
        </w:rPr>
      </w:pPr>
      <w:r w:rsidRPr="00606AEB">
        <w:rPr>
          <w:rFonts w:eastAsia="Calibri"/>
          <w:noProof/>
          <w:lang w:val="en-US"/>
        </w:rPr>
        <w:t>For the European Parliament</w:t>
      </w:r>
      <w:r w:rsidRPr="00606AEB">
        <w:rPr>
          <w:rFonts w:eastAsia="Calibri"/>
          <w:noProof/>
          <w:lang w:val="en-US"/>
        </w:rPr>
        <w:tab/>
        <w:t>For the Council</w:t>
      </w:r>
    </w:p>
    <w:p w:rsidR="00746A6C" w:rsidRDefault="00746A6C" w:rsidP="00746A6C">
      <w:pPr>
        <w:pStyle w:val="Personnequisigne"/>
        <w:rPr>
          <w:rFonts w:eastAsia="Calibri"/>
          <w:noProof/>
          <w:lang w:val="en-US"/>
        </w:rPr>
      </w:pPr>
      <w:r w:rsidRPr="00606AEB">
        <w:rPr>
          <w:rFonts w:eastAsia="Calibri"/>
          <w:noProof/>
          <w:lang w:val="en-US"/>
        </w:rPr>
        <w:t>The President</w:t>
      </w:r>
      <w:r w:rsidRPr="00606AEB">
        <w:rPr>
          <w:rFonts w:eastAsia="Calibri"/>
          <w:noProof/>
          <w:lang w:val="en-US"/>
        </w:rPr>
        <w:tab/>
        <w:t>The President</w:t>
      </w:r>
    </w:p>
    <w:p w:rsidR="00A025A9" w:rsidRPr="00E26DCC" w:rsidRDefault="00A025A9" w:rsidP="00746A6C">
      <w:pPr>
        <w:pStyle w:val="Lignefinal"/>
      </w:pPr>
    </w:p>
    <w:sectPr w:rsidR="00A025A9" w:rsidRPr="00E26DCC" w:rsidSect="00E26DCC">
      <w:headerReference w:type="even" r:id="rId16"/>
      <w:headerReference w:type="default" r:id="rId17"/>
      <w:footerReference w:type="even" r:id="rId18"/>
      <w:headerReference w:type="first" r:id="rId19"/>
      <w:footerReference w:type="first" r:id="rId20"/>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BE1" w:rsidRDefault="008D4BE1" w:rsidP="00A025A9">
      <w:pPr>
        <w:spacing w:before="0" w:after="0" w:line="240" w:lineRule="auto"/>
      </w:pPr>
      <w:r>
        <w:separator/>
      </w:r>
    </w:p>
  </w:endnote>
  <w:endnote w:type="continuationSeparator" w:id="0">
    <w:p w:rsidR="008D4BE1" w:rsidRDefault="008D4BE1" w:rsidP="00A025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DCC" w:rsidRPr="00E26DCC" w:rsidRDefault="00E26DCC" w:rsidP="00E26D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E26DCC" w:rsidRPr="0035025C" w:rsidTr="00E26DCC">
      <w:trPr>
        <w:jc w:val="center"/>
      </w:trPr>
      <w:tc>
        <w:tcPr>
          <w:tcW w:w="5000" w:type="pct"/>
          <w:gridSpan w:val="7"/>
          <w:shd w:val="clear" w:color="auto" w:fill="auto"/>
          <w:tcMar>
            <w:top w:w="57" w:type="dxa"/>
          </w:tcMar>
        </w:tcPr>
        <w:p w:rsidR="00E26DCC" w:rsidRPr="0035025C" w:rsidRDefault="00E26DCC" w:rsidP="0035025C">
          <w:pPr>
            <w:pStyle w:val="FooterText"/>
            <w:pBdr>
              <w:top w:val="single" w:sz="4" w:space="1" w:color="auto"/>
            </w:pBdr>
            <w:spacing w:before="200"/>
            <w:rPr>
              <w:sz w:val="2"/>
              <w:szCs w:val="2"/>
            </w:rPr>
          </w:pPr>
          <w:bookmarkStart w:id="2" w:name="FOOTER_LEGACTS"/>
        </w:p>
      </w:tc>
    </w:tr>
    <w:tr w:rsidR="00E26DCC" w:rsidRPr="00B310DC" w:rsidTr="00E26DCC">
      <w:trPr>
        <w:jc w:val="center"/>
      </w:trPr>
      <w:tc>
        <w:tcPr>
          <w:tcW w:w="2500" w:type="pct"/>
          <w:gridSpan w:val="2"/>
          <w:shd w:val="clear" w:color="auto" w:fill="auto"/>
          <w:tcMar>
            <w:top w:w="0" w:type="dxa"/>
          </w:tcMar>
        </w:tcPr>
        <w:p w:rsidR="00E26DCC" w:rsidRPr="00AD7BF2" w:rsidRDefault="00E26DCC" w:rsidP="0035025C">
          <w:pPr>
            <w:pStyle w:val="FooterText"/>
          </w:pPr>
          <w:r>
            <w:t xml:space="preserve">5094/1/15 REV 1 </w:t>
          </w:r>
        </w:p>
      </w:tc>
      <w:tc>
        <w:tcPr>
          <w:tcW w:w="625" w:type="pct"/>
          <w:shd w:val="clear" w:color="auto" w:fill="auto"/>
          <w:tcMar>
            <w:top w:w="0" w:type="dxa"/>
          </w:tcMar>
        </w:tcPr>
        <w:p w:rsidR="00E26DCC" w:rsidRPr="00AD7BF2" w:rsidRDefault="00E26DCC" w:rsidP="0035025C">
          <w:pPr>
            <w:pStyle w:val="FooterText"/>
            <w:jc w:val="center"/>
          </w:pPr>
        </w:p>
      </w:tc>
      <w:tc>
        <w:tcPr>
          <w:tcW w:w="1287" w:type="pct"/>
          <w:gridSpan w:val="3"/>
          <w:shd w:val="clear" w:color="auto" w:fill="auto"/>
          <w:tcMar>
            <w:top w:w="0" w:type="dxa"/>
          </w:tcMar>
        </w:tcPr>
        <w:p w:rsidR="00E26DCC" w:rsidRPr="002511D8" w:rsidRDefault="00E26DCC" w:rsidP="0035025C">
          <w:pPr>
            <w:pStyle w:val="FooterText"/>
            <w:jc w:val="center"/>
          </w:pPr>
          <w:r>
            <w:t>MFG/JP/vm</w:t>
          </w:r>
        </w:p>
      </w:tc>
      <w:tc>
        <w:tcPr>
          <w:tcW w:w="588" w:type="pct"/>
          <w:shd w:val="clear" w:color="auto" w:fill="auto"/>
          <w:tcMar>
            <w:top w:w="0" w:type="dxa"/>
          </w:tcMar>
        </w:tcPr>
        <w:p w:rsidR="00E26DCC" w:rsidRPr="00B310DC" w:rsidRDefault="00E26DCC"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E26DCC" w:rsidRPr="0035025C" w:rsidTr="00E26DCC">
      <w:trPr>
        <w:jc w:val="center"/>
      </w:trPr>
      <w:tc>
        <w:tcPr>
          <w:tcW w:w="1774" w:type="pct"/>
          <w:shd w:val="clear" w:color="auto" w:fill="auto"/>
        </w:tcPr>
        <w:p w:rsidR="00E26DCC" w:rsidRPr="00AD7BF2" w:rsidRDefault="00E26DCC" w:rsidP="0035025C">
          <w:pPr>
            <w:pStyle w:val="FooterText"/>
            <w:spacing w:before="40"/>
          </w:pPr>
        </w:p>
      </w:tc>
      <w:tc>
        <w:tcPr>
          <w:tcW w:w="1494" w:type="pct"/>
          <w:gridSpan w:val="3"/>
          <w:shd w:val="clear" w:color="auto" w:fill="auto"/>
        </w:tcPr>
        <w:p w:rsidR="00E26DCC" w:rsidRPr="00AD7BF2" w:rsidRDefault="00E26DCC" w:rsidP="0035025C">
          <w:pPr>
            <w:pStyle w:val="FooterText"/>
            <w:spacing w:before="40"/>
            <w:jc w:val="center"/>
          </w:pPr>
          <w:r>
            <w:t>DGE 1</w:t>
          </w:r>
        </w:p>
      </w:tc>
      <w:tc>
        <w:tcPr>
          <w:tcW w:w="1107" w:type="pct"/>
          <w:shd w:val="clear" w:color="auto" w:fill="auto"/>
        </w:tcPr>
        <w:p w:rsidR="00E26DCC" w:rsidRPr="0035025C" w:rsidRDefault="00E26DCC" w:rsidP="0035025C">
          <w:pPr>
            <w:pStyle w:val="FooterText"/>
            <w:jc w:val="right"/>
            <w:rPr>
              <w:b/>
              <w:position w:val="-4"/>
              <w:sz w:val="36"/>
            </w:rPr>
          </w:pPr>
        </w:p>
      </w:tc>
      <w:tc>
        <w:tcPr>
          <w:tcW w:w="625" w:type="pct"/>
          <w:gridSpan w:val="2"/>
          <w:shd w:val="clear" w:color="auto" w:fill="auto"/>
        </w:tcPr>
        <w:p w:rsidR="00E26DCC" w:rsidRPr="0035025C" w:rsidRDefault="00E26DCC" w:rsidP="0035025C">
          <w:pPr>
            <w:pStyle w:val="FooterText"/>
            <w:jc w:val="right"/>
            <w:rPr>
              <w:sz w:val="16"/>
            </w:rPr>
          </w:pPr>
          <w:r>
            <w:rPr>
              <w:b/>
              <w:position w:val="-4"/>
              <w:sz w:val="36"/>
            </w:rPr>
            <w:t>EN</w:t>
          </w:r>
        </w:p>
      </w:tc>
    </w:tr>
    <w:bookmarkEnd w:id="2"/>
  </w:tbl>
  <w:p w:rsidR="00732F30" w:rsidRPr="00E26DCC" w:rsidRDefault="00732F30" w:rsidP="00E26DC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E26DCC" w:rsidRPr="0035025C" w:rsidTr="00E26DCC">
      <w:trPr>
        <w:jc w:val="center"/>
      </w:trPr>
      <w:tc>
        <w:tcPr>
          <w:tcW w:w="5000" w:type="pct"/>
          <w:gridSpan w:val="7"/>
          <w:shd w:val="clear" w:color="auto" w:fill="auto"/>
          <w:tcMar>
            <w:top w:w="57" w:type="dxa"/>
          </w:tcMar>
        </w:tcPr>
        <w:p w:rsidR="00E26DCC" w:rsidRPr="0035025C" w:rsidRDefault="00E26DCC" w:rsidP="0035025C">
          <w:pPr>
            <w:pStyle w:val="FooterText"/>
            <w:pBdr>
              <w:top w:val="single" w:sz="4" w:space="1" w:color="auto"/>
            </w:pBdr>
            <w:spacing w:before="200"/>
            <w:rPr>
              <w:sz w:val="2"/>
              <w:szCs w:val="2"/>
            </w:rPr>
          </w:pPr>
        </w:p>
      </w:tc>
    </w:tr>
    <w:tr w:rsidR="00E26DCC" w:rsidRPr="00B310DC" w:rsidTr="00E26DCC">
      <w:trPr>
        <w:jc w:val="center"/>
      </w:trPr>
      <w:tc>
        <w:tcPr>
          <w:tcW w:w="2500" w:type="pct"/>
          <w:gridSpan w:val="2"/>
          <w:shd w:val="clear" w:color="auto" w:fill="auto"/>
          <w:tcMar>
            <w:top w:w="0" w:type="dxa"/>
          </w:tcMar>
        </w:tcPr>
        <w:p w:rsidR="00E26DCC" w:rsidRPr="00AD7BF2" w:rsidRDefault="00E26DCC" w:rsidP="0035025C">
          <w:pPr>
            <w:pStyle w:val="FooterText"/>
          </w:pPr>
          <w:r>
            <w:t xml:space="preserve">5094/1/15 REV 1 </w:t>
          </w:r>
        </w:p>
      </w:tc>
      <w:tc>
        <w:tcPr>
          <w:tcW w:w="625" w:type="pct"/>
          <w:shd w:val="clear" w:color="auto" w:fill="auto"/>
          <w:tcMar>
            <w:top w:w="0" w:type="dxa"/>
          </w:tcMar>
        </w:tcPr>
        <w:p w:rsidR="00E26DCC" w:rsidRPr="00AD7BF2" w:rsidRDefault="00E26DCC" w:rsidP="0035025C">
          <w:pPr>
            <w:pStyle w:val="FooterText"/>
            <w:jc w:val="center"/>
          </w:pPr>
        </w:p>
      </w:tc>
      <w:tc>
        <w:tcPr>
          <w:tcW w:w="1287" w:type="pct"/>
          <w:gridSpan w:val="3"/>
          <w:shd w:val="clear" w:color="auto" w:fill="auto"/>
          <w:tcMar>
            <w:top w:w="0" w:type="dxa"/>
          </w:tcMar>
        </w:tcPr>
        <w:p w:rsidR="00E26DCC" w:rsidRPr="002511D8" w:rsidRDefault="00E26DCC" w:rsidP="0035025C">
          <w:pPr>
            <w:pStyle w:val="FooterText"/>
            <w:jc w:val="center"/>
          </w:pPr>
          <w:r>
            <w:t>MFG/JP/vm</w:t>
          </w:r>
        </w:p>
      </w:tc>
      <w:tc>
        <w:tcPr>
          <w:tcW w:w="588" w:type="pct"/>
          <w:shd w:val="clear" w:color="auto" w:fill="auto"/>
          <w:tcMar>
            <w:top w:w="0" w:type="dxa"/>
          </w:tcMar>
        </w:tcPr>
        <w:p w:rsidR="00E26DCC" w:rsidRPr="00B310DC" w:rsidRDefault="00E26DCC" w:rsidP="0035025C">
          <w:pPr>
            <w:pStyle w:val="FooterText"/>
            <w:jc w:val="right"/>
          </w:pPr>
        </w:p>
      </w:tc>
    </w:tr>
    <w:tr w:rsidR="00E26DCC" w:rsidRPr="0035025C" w:rsidTr="00E26DCC">
      <w:trPr>
        <w:jc w:val="center"/>
      </w:trPr>
      <w:tc>
        <w:tcPr>
          <w:tcW w:w="1774" w:type="pct"/>
          <w:shd w:val="clear" w:color="auto" w:fill="auto"/>
        </w:tcPr>
        <w:p w:rsidR="00E26DCC" w:rsidRPr="00AD7BF2" w:rsidRDefault="00E26DCC" w:rsidP="0035025C">
          <w:pPr>
            <w:pStyle w:val="FooterText"/>
            <w:spacing w:before="40"/>
          </w:pPr>
        </w:p>
      </w:tc>
      <w:tc>
        <w:tcPr>
          <w:tcW w:w="1494" w:type="pct"/>
          <w:gridSpan w:val="3"/>
          <w:shd w:val="clear" w:color="auto" w:fill="auto"/>
        </w:tcPr>
        <w:p w:rsidR="00E26DCC" w:rsidRPr="00AD7BF2" w:rsidRDefault="00E26DCC" w:rsidP="0035025C">
          <w:pPr>
            <w:pStyle w:val="FooterText"/>
            <w:spacing w:before="40"/>
            <w:jc w:val="center"/>
          </w:pPr>
          <w:r>
            <w:t>DGE 1</w:t>
          </w:r>
        </w:p>
      </w:tc>
      <w:tc>
        <w:tcPr>
          <w:tcW w:w="1107" w:type="pct"/>
          <w:shd w:val="clear" w:color="auto" w:fill="auto"/>
        </w:tcPr>
        <w:p w:rsidR="00E26DCC" w:rsidRPr="0035025C" w:rsidRDefault="00E26DCC" w:rsidP="0035025C">
          <w:pPr>
            <w:pStyle w:val="FooterText"/>
            <w:jc w:val="right"/>
            <w:rPr>
              <w:b/>
              <w:position w:val="-4"/>
              <w:sz w:val="36"/>
            </w:rPr>
          </w:pPr>
        </w:p>
      </w:tc>
      <w:tc>
        <w:tcPr>
          <w:tcW w:w="625" w:type="pct"/>
          <w:gridSpan w:val="2"/>
          <w:shd w:val="clear" w:color="auto" w:fill="auto"/>
        </w:tcPr>
        <w:p w:rsidR="00E26DCC" w:rsidRPr="0035025C" w:rsidRDefault="00E26DCC" w:rsidP="0035025C">
          <w:pPr>
            <w:pStyle w:val="FooterText"/>
            <w:jc w:val="right"/>
            <w:rPr>
              <w:sz w:val="16"/>
            </w:rPr>
          </w:pPr>
          <w:r>
            <w:rPr>
              <w:b/>
              <w:position w:val="-4"/>
              <w:sz w:val="36"/>
            </w:rPr>
            <w:t>EN</w:t>
          </w:r>
        </w:p>
      </w:tc>
    </w:tr>
  </w:tbl>
  <w:p w:rsidR="00732F30" w:rsidRPr="00E26DCC" w:rsidRDefault="00732F30" w:rsidP="00E26DCC">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30" w:rsidRPr="00E26DCC" w:rsidRDefault="00732F30" w:rsidP="00E26DC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30" w:rsidRPr="00E26DCC" w:rsidRDefault="00732F30" w:rsidP="00E26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BE1" w:rsidRDefault="008D4BE1" w:rsidP="00A025A9">
      <w:pPr>
        <w:spacing w:before="0" w:after="0" w:line="240" w:lineRule="auto"/>
      </w:pPr>
      <w:r>
        <w:separator/>
      </w:r>
    </w:p>
  </w:footnote>
  <w:footnote w:type="continuationSeparator" w:id="0">
    <w:p w:rsidR="008D4BE1" w:rsidRDefault="008D4BE1" w:rsidP="00A025A9">
      <w:pPr>
        <w:spacing w:before="0" w:after="0" w:line="240" w:lineRule="auto"/>
      </w:pPr>
      <w:r>
        <w:continuationSeparator/>
      </w:r>
    </w:p>
  </w:footnote>
  <w:footnote w:id="1">
    <w:p w:rsidR="00732F30" w:rsidRPr="00606AEB" w:rsidRDefault="00732F30" w:rsidP="00746A6C">
      <w:pPr>
        <w:pStyle w:val="FootnoteText"/>
      </w:pPr>
      <w:r w:rsidRPr="00606AEB">
        <w:rPr>
          <w:rStyle w:val="FootnoteReference"/>
          <w:szCs w:val="24"/>
        </w:rPr>
        <w:footnoteRef/>
      </w:r>
      <w:r w:rsidRPr="00606AEB">
        <w:tab/>
        <w:t>OJ C 214, 8.7.2014, p. 40.</w:t>
      </w:r>
    </w:p>
  </w:footnote>
  <w:footnote w:id="2">
    <w:p w:rsidR="00732F30" w:rsidRPr="00606AEB" w:rsidRDefault="00732F30" w:rsidP="00746A6C">
      <w:pPr>
        <w:pStyle w:val="FootnoteText"/>
      </w:pPr>
      <w:r w:rsidRPr="00606AEB">
        <w:rPr>
          <w:rStyle w:val="FootnoteReference"/>
          <w:szCs w:val="24"/>
        </w:rPr>
        <w:footnoteRef/>
      </w:r>
      <w:r w:rsidRPr="00606AEB">
        <w:tab/>
        <w:t>OJ C 174, 7.6.2014, p. 43.</w:t>
      </w:r>
    </w:p>
  </w:footnote>
  <w:footnote w:id="3">
    <w:p w:rsidR="00732F30" w:rsidRPr="00606AEB" w:rsidRDefault="00732F30" w:rsidP="00D06E40">
      <w:pPr>
        <w:pStyle w:val="FootnoteText"/>
      </w:pPr>
      <w:r w:rsidRPr="00606AEB">
        <w:rPr>
          <w:rStyle w:val="FootnoteReference"/>
        </w:rPr>
        <w:footnoteRef/>
      </w:r>
      <w:r w:rsidRPr="00606AEB">
        <w:tab/>
      </w:r>
      <w:r w:rsidR="00D06E40" w:rsidRPr="00606AEB">
        <w:t xml:space="preserve">Position of the European Parliament of 16 April 2014 (not yet published in the OJ) and position of the Council at first reading of </w:t>
      </w:r>
      <w:r w:rsidR="00D06E40">
        <w:t>2 March 2015</w:t>
      </w:r>
      <w:r w:rsidR="00D06E40" w:rsidRPr="006F24E0">
        <w:t>. [(OJ ...)] [(not yet published in the Official Journal)]. Position of the European Parliament of ... [(OJ ...)] [(not yet published in the Official Journal)].</w:t>
      </w:r>
    </w:p>
  </w:footnote>
  <w:footnote w:id="4">
    <w:p w:rsidR="00732F30" w:rsidRPr="00606AEB" w:rsidRDefault="00732F30" w:rsidP="008348D5">
      <w:pPr>
        <w:pStyle w:val="FootnoteText"/>
      </w:pPr>
      <w:r w:rsidRPr="00606AEB">
        <w:rPr>
          <w:rStyle w:val="FootnoteReference"/>
          <w:szCs w:val="24"/>
        </w:rPr>
        <w:footnoteRef/>
      </w:r>
      <w:r w:rsidRPr="00606AEB">
        <w:tab/>
      </w:r>
      <w:r w:rsidR="008348D5" w:rsidRPr="00606AEB">
        <w:rPr>
          <w:rFonts w:eastAsia="Calibri" w:cs="Arial"/>
          <w:noProof/>
          <w:szCs w:val="22"/>
          <w:lang w:val="en-US"/>
        </w:rPr>
        <w:t>European Parliament and Council</w:t>
      </w:r>
      <w:r w:rsidR="008348D5" w:rsidRPr="00606AEB">
        <w:t xml:space="preserve"> </w:t>
      </w:r>
      <w:r w:rsidRPr="00606AEB">
        <w:rPr>
          <w:rFonts w:eastAsia="Calibri" w:cs="Arial"/>
          <w:noProof/>
          <w:szCs w:val="22"/>
          <w:lang w:val="en-US"/>
        </w:rPr>
        <w:t xml:space="preserve">Directive 94/62/EC </w:t>
      </w:r>
      <w:r w:rsidRPr="00606AEB">
        <w:t>of 20 December 1994 on packaging and packaging waste (OJ L 365, 31.12.1994, p. 10).</w:t>
      </w:r>
    </w:p>
  </w:footnote>
  <w:footnote w:id="5">
    <w:p w:rsidR="00732F30" w:rsidRPr="00606AEB" w:rsidRDefault="00732F30" w:rsidP="00606AEB">
      <w:pPr>
        <w:pStyle w:val="FootnoteText"/>
      </w:pPr>
      <w:r w:rsidRPr="00606AEB">
        <w:rPr>
          <w:rStyle w:val="FootnoteReference"/>
          <w:szCs w:val="24"/>
        </w:rPr>
        <w:footnoteRef/>
      </w:r>
      <w:r w:rsidRPr="00606AEB">
        <w:tab/>
        <w:t>Directive 2008/98/EC of the European Parliament and of the Council of 19 November 2008 on waste and repealing certain Directives (OJ L 312, 22.11.2008, p. 3).</w:t>
      </w:r>
    </w:p>
  </w:footnote>
  <w:footnote w:id="6">
    <w:p w:rsidR="00732F30" w:rsidRPr="00606AEB" w:rsidRDefault="00732F30" w:rsidP="00746A6C">
      <w:pPr>
        <w:pStyle w:val="FootnoteText"/>
      </w:pPr>
      <w:r w:rsidRPr="00606AEB">
        <w:rPr>
          <w:rStyle w:val="FootnoteReference"/>
          <w:szCs w:val="24"/>
        </w:rPr>
        <w:footnoteRef/>
      </w:r>
      <w:r w:rsidRPr="00606AEB">
        <w:tab/>
        <w:t>Directive 2008/56/EC of the European Parliament and of the Council of 17 June 2008 establishing a framework for community action in the field of marine environmental policy (Marine Strategy Framework Directive) (OJ L 164, 25.6.2008, p. 19).</w:t>
      </w:r>
    </w:p>
  </w:footnote>
  <w:footnote w:id="7">
    <w:p w:rsidR="00503C63" w:rsidRPr="00606AEB" w:rsidRDefault="00503C63">
      <w:pPr>
        <w:pStyle w:val="FootnoteText"/>
      </w:pPr>
      <w:r w:rsidRPr="00606AEB">
        <w:rPr>
          <w:rStyle w:val="FootnoteReference"/>
        </w:rPr>
        <w:t>+</w:t>
      </w:r>
      <w:r w:rsidR="00CB7FE7">
        <w:tab/>
      </w:r>
      <w:r w:rsidRPr="00606AEB">
        <w:rPr>
          <w:rFonts w:eastAsia="Calibri"/>
        </w:rPr>
        <w:t>OJ: please insert the date = date of entry into force of this Directive + 36 months.</w:t>
      </w:r>
    </w:p>
  </w:footnote>
  <w:footnote w:id="8">
    <w:p w:rsidR="00503C63" w:rsidRPr="00606AEB" w:rsidRDefault="00503C63">
      <w:pPr>
        <w:pStyle w:val="FootnoteText"/>
      </w:pPr>
      <w:r w:rsidRPr="00606AEB">
        <w:rPr>
          <w:rStyle w:val="FootnoteReference"/>
        </w:rPr>
        <w:t>++</w:t>
      </w:r>
      <w:r w:rsidR="00CB7FE7">
        <w:tab/>
      </w:r>
      <w:r w:rsidR="0087286C" w:rsidRPr="00606AEB">
        <w:rPr>
          <w:rFonts w:eastAsia="Calibri"/>
        </w:rPr>
        <w:t>OJ: please insert the date = date of entry into force of this Directive + 12 months.</w:t>
      </w:r>
    </w:p>
  </w:footnote>
  <w:footnote w:id="9">
    <w:p w:rsidR="00D432BB" w:rsidRPr="00606AEB" w:rsidRDefault="00D432BB">
      <w:pPr>
        <w:pStyle w:val="FootnoteText"/>
      </w:pPr>
      <w:r w:rsidRPr="00606AEB">
        <w:rPr>
          <w:rStyle w:val="FootnoteReference"/>
        </w:rPr>
        <w:sym w:font="Symbol" w:char="F02B"/>
      </w:r>
      <w:r w:rsidR="00CB7FE7">
        <w:tab/>
      </w:r>
      <w:r w:rsidRPr="00606AEB">
        <w:t xml:space="preserve">OJ: please insert the date = </w:t>
      </w:r>
      <w:r w:rsidRPr="00606AEB">
        <w:rPr>
          <w:rFonts w:eastAsia="Calibri"/>
        </w:rPr>
        <w:t>eighteen months after the entry into force of this Directive</w:t>
      </w:r>
    </w:p>
  </w:footnote>
  <w:footnote w:id="10">
    <w:p w:rsidR="00D432BB" w:rsidRPr="00606AEB" w:rsidRDefault="00D432BB">
      <w:pPr>
        <w:pStyle w:val="FootnoteText"/>
      </w:pPr>
      <w:r w:rsidRPr="00606AEB">
        <w:rPr>
          <w:rStyle w:val="FootnoteReference"/>
        </w:rPr>
        <w:t>++</w:t>
      </w:r>
      <w:r w:rsidR="00CB7FE7">
        <w:tab/>
      </w:r>
      <w:r w:rsidR="008B2581" w:rsidRPr="00606AEB">
        <w:rPr>
          <w:rFonts w:eastAsia="Calibri"/>
        </w:rPr>
        <w:t>OJ: please insert the date – two years after the entry into force of this Directive.</w:t>
      </w:r>
    </w:p>
  </w:footnote>
  <w:footnote w:id="11">
    <w:p w:rsidR="008B2581" w:rsidRPr="00606AEB" w:rsidRDefault="008B2581">
      <w:pPr>
        <w:pStyle w:val="FootnoteText"/>
      </w:pPr>
      <w:r w:rsidRPr="00606AEB">
        <w:rPr>
          <w:rStyle w:val="FootnoteReference"/>
        </w:rPr>
        <w:t>+</w:t>
      </w:r>
      <w:r w:rsidRPr="00606AEB">
        <w:tab/>
      </w:r>
      <w:r w:rsidRPr="00606AEB">
        <w:rPr>
          <w:rFonts w:eastAsia="Calibri"/>
        </w:rPr>
        <w:t>OJ: please insert the date = date of entry into force of this Directive + 78 months.</w:t>
      </w:r>
    </w:p>
  </w:footnote>
  <w:footnote w:id="12">
    <w:p w:rsidR="008B2581" w:rsidRPr="00606AEB" w:rsidRDefault="008B2581">
      <w:pPr>
        <w:pStyle w:val="FootnoteText"/>
      </w:pPr>
      <w:r w:rsidRPr="00606AEB">
        <w:rPr>
          <w:rStyle w:val="FootnoteReference"/>
        </w:rPr>
        <w:t>+</w:t>
      </w:r>
      <w:r w:rsidR="00873D8A">
        <w:tab/>
      </w:r>
      <w:r w:rsidRPr="00606AEB">
        <w:rPr>
          <w:rFonts w:eastAsia="Calibri"/>
        </w:rPr>
        <w:t>OJ: please insert the date = date of entry into force of this Directive + 24 months.</w:t>
      </w:r>
    </w:p>
  </w:footnote>
  <w:footnote w:id="13">
    <w:p w:rsidR="008B2581" w:rsidRPr="00606AEB" w:rsidRDefault="008B2581">
      <w:pPr>
        <w:pStyle w:val="FootnoteText"/>
      </w:pPr>
      <w:r w:rsidRPr="00606AEB">
        <w:rPr>
          <w:rStyle w:val="FootnoteReference"/>
        </w:rPr>
        <w:t>++</w:t>
      </w:r>
      <w:r w:rsidR="00873D8A">
        <w:tab/>
      </w:r>
      <w:r w:rsidRPr="00606AEB">
        <w:rPr>
          <w:rFonts w:eastAsia="Calibri"/>
        </w:rPr>
        <w:t>OJ: please insert the date = date of entry into force of this Directive + 24 months.</w:t>
      </w:r>
    </w:p>
  </w:footnote>
  <w:footnote w:id="14">
    <w:p w:rsidR="006C2F63" w:rsidRPr="00181B3D" w:rsidRDefault="006C2F63">
      <w:pPr>
        <w:pStyle w:val="FootnoteText"/>
      </w:pPr>
      <w:r w:rsidRPr="00606AEB">
        <w:rPr>
          <w:rStyle w:val="FootnoteReference"/>
        </w:rPr>
        <w:t>+</w:t>
      </w:r>
      <w:r w:rsidRPr="00606AEB">
        <w:tab/>
        <w:t xml:space="preserve">OJ: please insert the date = </w:t>
      </w:r>
      <w:r w:rsidRPr="00606AEB">
        <w:rPr>
          <w:rFonts w:eastAsia="Calibri"/>
        </w:rPr>
        <w:t>eighteen months after the entry into force of this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DCC" w:rsidRPr="00E26DCC" w:rsidRDefault="00E26DCC" w:rsidP="00E26D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DCC" w:rsidRPr="00E26DCC" w:rsidRDefault="00E26DCC" w:rsidP="00E26DC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DCC" w:rsidRPr="00E26DCC" w:rsidRDefault="00E26DCC" w:rsidP="00E26DCC">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30" w:rsidRPr="00E26DCC" w:rsidRDefault="00732F30" w:rsidP="00E26D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30" w:rsidRPr="00E26DCC" w:rsidRDefault="00732F30" w:rsidP="00E26DC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30" w:rsidRPr="00E26DCC" w:rsidRDefault="00732F30" w:rsidP="00E26D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A06B2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604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FB8B5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4097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BAC4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046C5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05206AC"/>
    <w:lvl w:ilvl="0">
      <w:start w:val="1"/>
      <w:numFmt w:val="decimal"/>
      <w:pStyle w:val="ListNumber"/>
      <w:lvlText w:val="%1."/>
      <w:lvlJc w:val="left"/>
      <w:pPr>
        <w:tabs>
          <w:tab w:val="num" w:pos="360"/>
        </w:tabs>
        <w:ind w:left="360" w:hanging="360"/>
      </w:pPr>
    </w:lvl>
  </w:abstractNum>
  <w:abstractNum w:abstractNumId="7">
    <w:nsid w:val="FFFFFF89"/>
    <w:multiLevelType w:val="singleLevel"/>
    <w:tmpl w:val="7D5218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2">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4">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8">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21">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3">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4">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1"/>
  </w:num>
  <w:num w:numId="2">
    <w:abstractNumId w:val="15"/>
  </w:num>
  <w:num w:numId="3">
    <w:abstractNumId w:val="17"/>
  </w:num>
  <w:num w:numId="4">
    <w:abstractNumId w:val="16"/>
  </w:num>
  <w:num w:numId="5">
    <w:abstractNumId w:val="22"/>
  </w:num>
  <w:num w:numId="6">
    <w:abstractNumId w:val="12"/>
  </w:num>
  <w:num w:numId="7">
    <w:abstractNumId w:val="8"/>
  </w:num>
  <w:num w:numId="8">
    <w:abstractNumId w:val="23"/>
  </w:num>
  <w:num w:numId="9">
    <w:abstractNumId w:val="14"/>
  </w:num>
  <w:num w:numId="10">
    <w:abstractNumId w:val="10"/>
  </w:num>
  <w:num w:numId="11">
    <w:abstractNumId w:val="9"/>
  </w:num>
  <w:num w:numId="12">
    <w:abstractNumId w:val="21"/>
  </w:num>
  <w:num w:numId="13">
    <w:abstractNumId w:val="18"/>
  </w:num>
  <w:num w:numId="14">
    <w:abstractNumId w:val="20"/>
  </w:num>
  <w:num w:numId="15">
    <w:abstractNumId w:val="24"/>
  </w:num>
  <w:num w:numId="16">
    <w:abstractNumId w:val="13"/>
  </w:num>
  <w:num w:numId="17">
    <w:abstractNumId w:val="19"/>
  </w:num>
  <w:num w:numId="18">
    <w:abstractNumId w:val="11"/>
  </w:num>
  <w:num w:numId="19">
    <w:abstractNumId w:val="15"/>
  </w:num>
  <w:num w:numId="20">
    <w:abstractNumId w:val="17"/>
  </w:num>
  <w:num w:numId="21">
    <w:abstractNumId w:val="16"/>
  </w:num>
  <w:num w:numId="22">
    <w:abstractNumId w:val="22"/>
  </w:num>
  <w:num w:numId="23">
    <w:abstractNumId w:val="12"/>
  </w:num>
  <w:num w:numId="24">
    <w:abstractNumId w:val="8"/>
  </w:num>
  <w:num w:numId="25">
    <w:abstractNumId w:val="23"/>
  </w:num>
  <w:num w:numId="26">
    <w:abstractNumId w:val="14"/>
  </w:num>
  <w:num w:numId="27">
    <w:abstractNumId w:val="10"/>
  </w:num>
  <w:num w:numId="28">
    <w:abstractNumId w:val="9"/>
  </w:num>
  <w:num w:numId="29">
    <w:abstractNumId w:val="21"/>
  </w:num>
  <w:num w:numId="30">
    <w:abstractNumId w:val="18"/>
  </w:num>
  <w:num w:numId="31">
    <w:abstractNumId w:val="20"/>
  </w:num>
  <w:num w:numId="32">
    <w:abstractNumId w:val="7"/>
  </w:num>
  <w:num w:numId="33">
    <w:abstractNumId w:val="5"/>
  </w:num>
  <w:num w:numId="34">
    <w:abstractNumId w:val="4"/>
  </w:num>
  <w:num w:numId="35">
    <w:abstractNumId w:val="3"/>
  </w:num>
  <w:num w:numId="36">
    <w:abstractNumId w:val="6"/>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bac0ec31-b40f-44d0-9612-1fc64abfa4ca&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04&lt;/text&gt;_x000d__x000a_  &lt;/metadata&gt;_x000d__x000a_  &lt;metadata key=&quot;md_Prefix&quot;&gt;_x000d__x000a_    &lt;text&gt;&lt;/text&gt;_x000d__x000a_  &lt;/metadata&gt;_x000d__x000a_  &lt;metadata key=&quot;md_DocumentNumber&quot;&gt;_x000d__x000a_    &lt;text&gt;5094&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V 6&lt;/text&gt;_x000d__x000a_      &lt;text&gt;MI 11&lt;/text&gt;_x000d__x000a_      &lt;text&gt;IND 9&lt;/text&gt;_x000d__x000a_      &lt;text&gt;CONSOM 5&lt;/text&gt;_x000d__x000a_      &lt;text&gt;CODEC 16&lt;/text&gt;_x000d__x000a_      &lt;text&gt;PARLNAT 1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371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DIRECTIVE OF THE EUROPEAN PARLIAMENT AND OF THE COUNCIL amending Directive 94/62/EC as regards reducing the consumption of lightweight plastic carrier bags - Adopted by the Council on 2 March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amp;gt;Position of the Council at first reading with a view to the adoption of a&amp;lt;/Run&amp;gt;&amp;lt;Run FontFamily=&quot;Times New Roman&quot; xml:lang=&quot;fr-fr&quot; xml:space=&quot;preserve&quot;&amp;gt; DIRECTIVE OF THE EUROPEAN PARLIAMENT AND OF THE COUNCIL &amp;lt;/Run&amp;gt;&amp;lt;Run FontFamily=&quot;Times New Roman&quot;&amp;gt;amending Directive 94/62/EC&amp;lt;/Run&amp;gt;&amp;lt;Run FontFamily=&quot;Times New Roman&quot; xml:lang=&quot;fr-be&quot; xml:space=&quot;preserve&quot;&amp;gt; &amp;lt;/Run&amp;gt;&amp;lt;Run FontFamily=&quot;Times New Roman&quot;&amp;gt;as regards reducing the consumption&amp;lt;/Run&amp;gt;&amp;lt;Run FontFamily=&quot;Times New Roman&quot; xml:lang=&quot;fr-be&quot; xml:space=&quot;preserve&quot;&amp;gt; &amp;lt;/Run&amp;gt;&amp;lt;Run FontFamily=&quot;Times New Roman&quot;&amp;gt;of lightweight plastic carrier bags&amp;lt;/Run&amp;gt;&amp;lt;LineBreak /&amp;gt;&amp;lt;Run FontFamily=&quot;Times New Roman&quot; xml:lang=&quot;en-gb&quot;&amp;gt;- Adopted by the Council on 2 March 2015&amp;lt;/Run&amp;gt;&amp;lt;/Paragraph&amp;gt;&amp;lt;/FlowDocument&amp;gt;&lt;/xaml&gt;_x000d__x000a_  &lt;/metadata&gt;_x000d__x000a_  &lt;metadata key=&quot;md_SubjectFootnote&quot; /&gt;_x000d__x000a_  &lt;metadata key=&quot;md_DG&quot;&gt;_x000d__x000a_    &lt;text&gt;DGE 1&lt;/text&gt;_x000d__x000a_  &lt;/metadata&gt;_x000d__x000a_  &lt;metadata key=&quot;md_Initials&quot;&gt;_x000d__x000a_    &lt;text&gt;MFG/JP/v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A025A9"/>
    <w:rsid w:val="00012D1C"/>
    <w:rsid w:val="00017F19"/>
    <w:rsid w:val="0002556F"/>
    <w:rsid w:val="0004407D"/>
    <w:rsid w:val="00061B27"/>
    <w:rsid w:val="000852A7"/>
    <w:rsid w:val="000B14AC"/>
    <w:rsid w:val="000D199A"/>
    <w:rsid w:val="000D5795"/>
    <w:rsid w:val="000E1363"/>
    <w:rsid w:val="000F5278"/>
    <w:rsid w:val="00122B35"/>
    <w:rsid w:val="00181B3D"/>
    <w:rsid w:val="001B358E"/>
    <w:rsid w:val="0021423D"/>
    <w:rsid w:val="00220B12"/>
    <w:rsid w:val="00223E5D"/>
    <w:rsid w:val="00224697"/>
    <w:rsid w:val="002259F6"/>
    <w:rsid w:val="00231B6B"/>
    <w:rsid w:val="00235D5A"/>
    <w:rsid w:val="002620DA"/>
    <w:rsid w:val="00266C45"/>
    <w:rsid w:val="002C28C8"/>
    <w:rsid w:val="002D732C"/>
    <w:rsid w:val="003363C0"/>
    <w:rsid w:val="0036128D"/>
    <w:rsid w:val="00384302"/>
    <w:rsid w:val="00396278"/>
    <w:rsid w:val="003A1B24"/>
    <w:rsid w:val="003A64FF"/>
    <w:rsid w:val="003D7773"/>
    <w:rsid w:val="003F615E"/>
    <w:rsid w:val="003F7CE9"/>
    <w:rsid w:val="00401878"/>
    <w:rsid w:val="004C1C00"/>
    <w:rsid w:val="004C68A1"/>
    <w:rsid w:val="004D2105"/>
    <w:rsid w:val="004E3F7D"/>
    <w:rsid w:val="004F63EA"/>
    <w:rsid w:val="00503C63"/>
    <w:rsid w:val="0051324C"/>
    <w:rsid w:val="00522160"/>
    <w:rsid w:val="0052675C"/>
    <w:rsid w:val="00527C56"/>
    <w:rsid w:val="0057189F"/>
    <w:rsid w:val="00574CB4"/>
    <w:rsid w:val="005A549F"/>
    <w:rsid w:val="005B1DA1"/>
    <w:rsid w:val="005F15E7"/>
    <w:rsid w:val="00602A06"/>
    <w:rsid w:val="0060476A"/>
    <w:rsid w:val="00604835"/>
    <w:rsid w:val="00606AEB"/>
    <w:rsid w:val="00610C99"/>
    <w:rsid w:val="00610E32"/>
    <w:rsid w:val="00615B75"/>
    <w:rsid w:val="00653D31"/>
    <w:rsid w:val="006719C4"/>
    <w:rsid w:val="00675D7B"/>
    <w:rsid w:val="006771A6"/>
    <w:rsid w:val="00693033"/>
    <w:rsid w:val="00695110"/>
    <w:rsid w:val="006A7270"/>
    <w:rsid w:val="006C2F63"/>
    <w:rsid w:val="006D5017"/>
    <w:rsid w:val="006E1177"/>
    <w:rsid w:val="006F7A60"/>
    <w:rsid w:val="0070598A"/>
    <w:rsid w:val="00732F30"/>
    <w:rsid w:val="00744FFB"/>
    <w:rsid w:val="00746A6C"/>
    <w:rsid w:val="007567DB"/>
    <w:rsid w:val="00771D04"/>
    <w:rsid w:val="00781A10"/>
    <w:rsid w:val="00790C82"/>
    <w:rsid w:val="007A5082"/>
    <w:rsid w:val="007D01A3"/>
    <w:rsid w:val="007F2E63"/>
    <w:rsid w:val="00800080"/>
    <w:rsid w:val="00811704"/>
    <w:rsid w:val="00813598"/>
    <w:rsid w:val="008135FB"/>
    <w:rsid w:val="00827ED1"/>
    <w:rsid w:val="0083040F"/>
    <w:rsid w:val="008348D5"/>
    <w:rsid w:val="0087286C"/>
    <w:rsid w:val="00873D8A"/>
    <w:rsid w:val="00894038"/>
    <w:rsid w:val="008B2581"/>
    <w:rsid w:val="008C7651"/>
    <w:rsid w:val="008D2B0A"/>
    <w:rsid w:val="008D4BE1"/>
    <w:rsid w:val="008D666A"/>
    <w:rsid w:val="0090581E"/>
    <w:rsid w:val="00912DB2"/>
    <w:rsid w:val="00944B45"/>
    <w:rsid w:val="00976346"/>
    <w:rsid w:val="00981748"/>
    <w:rsid w:val="009A7F0A"/>
    <w:rsid w:val="009C1D2B"/>
    <w:rsid w:val="009C2F19"/>
    <w:rsid w:val="009E24B1"/>
    <w:rsid w:val="009E5DED"/>
    <w:rsid w:val="009F1011"/>
    <w:rsid w:val="00A025A9"/>
    <w:rsid w:val="00A02668"/>
    <w:rsid w:val="00A04492"/>
    <w:rsid w:val="00A306DC"/>
    <w:rsid w:val="00A320D2"/>
    <w:rsid w:val="00A701AD"/>
    <w:rsid w:val="00A705AB"/>
    <w:rsid w:val="00A728AA"/>
    <w:rsid w:val="00A933F3"/>
    <w:rsid w:val="00A96E43"/>
    <w:rsid w:val="00AB585E"/>
    <w:rsid w:val="00AC1B13"/>
    <w:rsid w:val="00AC7493"/>
    <w:rsid w:val="00AD5CA4"/>
    <w:rsid w:val="00AD73C5"/>
    <w:rsid w:val="00AE0AA2"/>
    <w:rsid w:val="00AF4EDC"/>
    <w:rsid w:val="00B25505"/>
    <w:rsid w:val="00B61ED0"/>
    <w:rsid w:val="00B64C3C"/>
    <w:rsid w:val="00B71786"/>
    <w:rsid w:val="00B762A0"/>
    <w:rsid w:val="00B87787"/>
    <w:rsid w:val="00B95778"/>
    <w:rsid w:val="00BA1D3C"/>
    <w:rsid w:val="00BB2E95"/>
    <w:rsid w:val="00BC6A48"/>
    <w:rsid w:val="00BC6E67"/>
    <w:rsid w:val="00BD0BAE"/>
    <w:rsid w:val="00BD5E59"/>
    <w:rsid w:val="00BE248A"/>
    <w:rsid w:val="00C02C2C"/>
    <w:rsid w:val="00C15C75"/>
    <w:rsid w:val="00C41061"/>
    <w:rsid w:val="00C601FE"/>
    <w:rsid w:val="00C8450C"/>
    <w:rsid w:val="00CA1D3F"/>
    <w:rsid w:val="00CB08DD"/>
    <w:rsid w:val="00CB12DE"/>
    <w:rsid w:val="00CB7C1F"/>
    <w:rsid w:val="00CB7FE7"/>
    <w:rsid w:val="00CC7FA8"/>
    <w:rsid w:val="00CD268B"/>
    <w:rsid w:val="00CE388E"/>
    <w:rsid w:val="00D037BC"/>
    <w:rsid w:val="00D06E40"/>
    <w:rsid w:val="00D142A1"/>
    <w:rsid w:val="00D35A11"/>
    <w:rsid w:val="00D37AE7"/>
    <w:rsid w:val="00D432BB"/>
    <w:rsid w:val="00D47313"/>
    <w:rsid w:val="00D87D5D"/>
    <w:rsid w:val="00D91432"/>
    <w:rsid w:val="00DC1BB0"/>
    <w:rsid w:val="00DE5A0E"/>
    <w:rsid w:val="00DF16FD"/>
    <w:rsid w:val="00E06410"/>
    <w:rsid w:val="00E126B3"/>
    <w:rsid w:val="00E15BCC"/>
    <w:rsid w:val="00E26DCC"/>
    <w:rsid w:val="00E4185F"/>
    <w:rsid w:val="00EA7029"/>
    <w:rsid w:val="00EC3E11"/>
    <w:rsid w:val="00EC4E58"/>
    <w:rsid w:val="00ED4E66"/>
    <w:rsid w:val="00F04773"/>
    <w:rsid w:val="00F26C03"/>
    <w:rsid w:val="00F37382"/>
    <w:rsid w:val="00F76798"/>
    <w:rsid w:val="00F82F68"/>
    <w:rsid w:val="00FA313B"/>
    <w:rsid w:val="00FC3717"/>
    <w:rsid w:val="00FC7598"/>
    <w:rsid w:val="00FE38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eastAsia="en-US"/>
    </w:rPr>
  </w:style>
  <w:style w:type="paragraph" w:styleId="Heading1">
    <w:name w:val="heading 1"/>
    <w:basedOn w:val="Normal"/>
    <w:next w:val="Text1"/>
    <w:qFormat/>
    <w:rsid w:val="00224697"/>
    <w:pPr>
      <w:keepNext/>
      <w:numPr>
        <w:numId w:val="24"/>
      </w:numPr>
      <w:spacing w:before="360"/>
      <w:outlineLvl w:val="0"/>
    </w:pPr>
    <w:rPr>
      <w:b/>
      <w:bCs/>
      <w:smallCaps/>
      <w:szCs w:val="32"/>
    </w:rPr>
  </w:style>
  <w:style w:type="paragraph" w:styleId="Heading2">
    <w:name w:val="heading 2"/>
    <w:basedOn w:val="Normal"/>
    <w:next w:val="Text1"/>
    <w:qFormat/>
    <w:rsid w:val="00224697"/>
    <w:pPr>
      <w:keepNext/>
      <w:numPr>
        <w:ilvl w:val="1"/>
        <w:numId w:val="24"/>
      </w:numPr>
      <w:outlineLvl w:val="1"/>
    </w:pPr>
    <w:rPr>
      <w:b/>
      <w:bCs/>
      <w:iCs/>
      <w:szCs w:val="28"/>
    </w:rPr>
  </w:style>
  <w:style w:type="paragraph" w:styleId="Heading3">
    <w:name w:val="heading 3"/>
    <w:basedOn w:val="Normal"/>
    <w:next w:val="Text1"/>
    <w:qFormat/>
    <w:rsid w:val="00224697"/>
    <w:pPr>
      <w:keepNext/>
      <w:numPr>
        <w:ilvl w:val="2"/>
        <w:numId w:val="24"/>
      </w:numPr>
      <w:outlineLvl w:val="2"/>
    </w:pPr>
    <w:rPr>
      <w:bCs/>
      <w:i/>
      <w:szCs w:val="26"/>
    </w:rPr>
  </w:style>
  <w:style w:type="paragraph" w:styleId="Heading4">
    <w:name w:val="heading 4"/>
    <w:basedOn w:val="Normal"/>
    <w:next w:val="Text1"/>
    <w:qFormat/>
    <w:rsid w:val="00224697"/>
    <w:pPr>
      <w:keepNext/>
      <w:numPr>
        <w:ilvl w:val="3"/>
        <w:numId w:val="24"/>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A025A9"/>
    <w:pPr>
      <w:spacing w:before="0" w:after="600" w:line="240" w:lineRule="auto"/>
      <w:jc w:val="center"/>
    </w:pPr>
    <w:rPr>
      <w:b/>
      <w:caps/>
      <w:lang w:eastAsia="de-DE"/>
    </w:rPr>
  </w:style>
  <w:style w:type="paragraph" w:customStyle="1" w:styleId="Rfrenceinterne">
    <w:name w:val="Référence interne"/>
    <w:basedOn w:val="Normal"/>
    <w:next w:val="Normal"/>
    <w:rsid w:val="00A025A9"/>
    <w:pPr>
      <w:spacing w:before="0" w:after="600" w:line="240" w:lineRule="auto"/>
      <w:jc w:val="center"/>
    </w:pPr>
    <w:rPr>
      <w:b/>
      <w:lang w:eastAsia="de-DE"/>
    </w:rPr>
  </w:style>
  <w:style w:type="paragraph" w:customStyle="1" w:styleId="HeaderCouncilLarge">
    <w:name w:val="Header Council Large"/>
    <w:basedOn w:val="Normal"/>
    <w:link w:val="HeaderCouncilLargeChar"/>
    <w:rsid w:val="00A025A9"/>
    <w:pPr>
      <w:spacing w:before="0" w:after="440"/>
    </w:pPr>
    <w:rPr>
      <w:sz w:val="2"/>
    </w:rPr>
  </w:style>
  <w:style w:type="character" w:customStyle="1" w:styleId="LignefinalChar">
    <w:name w:val="Ligne final Char"/>
    <w:rsid w:val="00A025A9"/>
    <w:rPr>
      <w:b/>
      <w:sz w:val="24"/>
      <w:szCs w:val="24"/>
      <w:lang w:eastAsia="en-US"/>
    </w:rPr>
  </w:style>
  <w:style w:type="character" w:customStyle="1" w:styleId="HeaderCouncilLargeChar">
    <w:name w:val="Header Council Large Char"/>
    <w:link w:val="HeaderCouncilLarge"/>
    <w:rsid w:val="00A025A9"/>
    <w:rPr>
      <w:sz w:val="2"/>
      <w:szCs w:val="24"/>
      <w:lang w:eastAsia="en-US"/>
    </w:rPr>
  </w:style>
  <w:style w:type="paragraph" w:customStyle="1" w:styleId="FooterText">
    <w:name w:val="Footer Text"/>
    <w:basedOn w:val="Normal"/>
    <w:rsid w:val="00A025A9"/>
    <w:pPr>
      <w:spacing w:before="0" w:after="0" w:line="240" w:lineRule="auto"/>
    </w:pPr>
  </w:style>
  <w:style w:type="paragraph" w:customStyle="1" w:styleId="FinalLine">
    <w:name w:val="Final Line"/>
    <w:basedOn w:val="Normal"/>
    <w:next w:val="Normal"/>
    <w:rsid w:val="00746A6C"/>
    <w:pPr>
      <w:pBdr>
        <w:bottom w:val="single" w:sz="4" w:space="0" w:color="000000"/>
      </w:pBdr>
      <w:spacing w:before="360"/>
      <w:ind w:left="3400" w:right="3400"/>
      <w:jc w:val="center"/>
    </w:pPr>
    <w:rPr>
      <w:b/>
    </w:rPr>
  </w:style>
  <w:style w:type="paragraph" w:customStyle="1" w:styleId="DashEqual2">
    <w:name w:val="Dash Equal 2"/>
    <w:basedOn w:val="Normal"/>
    <w:rsid w:val="00746A6C"/>
    <w:pPr>
      <w:numPr>
        <w:numId w:val="16"/>
      </w:numPr>
      <w:outlineLvl w:val="1"/>
    </w:pPr>
  </w:style>
  <w:style w:type="paragraph" w:customStyle="1" w:styleId="DashEqual4">
    <w:name w:val="Dash Equal 4"/>
    <w:basedOn w:val="Normal"/>
    <w:rsid w:val="00746A6C"/>
    <w:pPr>
      <w:numPr>
        <w:numId w:val="17"/>
      </w:numPr>
      <w:outlineLvl w:val="3"/>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rsid w:val="00746A6C"/>
    <w:rPr>
      <w:sz w:val="24"/>
      <w:lang w:eastAsia="en-US"/>
    </w:rPr>
  </w:style>
  <w:style w:type="character" w:styleId="CommentReference">
    <w:name w:val="annotation reference"/>
    <w:uiPriority w:val="99"/>
    <w:semiHidden/>
    <w:unhideWhenUsed/>
    <w:rsid w:val="00746A6C"/>
    <w:rPr>
      <w:sz w:val="16"/>
      <w:szCs w:val="16"/>
    </w:rPr>
  </w:style>
  <w:style w:type="paragraph" w:styleId="CommentText">
    <w:name w:val="annotation text"/>
    <w:basedOn w:val="Normal"/>
    <w:link w:val="CommentTextChar"/>
    <w:uiPriority w:val="99"/>
    <w:unhideWhenUsed/>
    <w:rsid w:val="00746A6C"/>
    <w:rPr>
      <w:sz w:val="20"/>
      <w:szCs w:val="20"/>
    </w:rPr>
  </w:style>
  <w:style w:type="character" w:customStyle="1" w:styleId="CommentTextChar">
    <w:name w:val="Comment Text Char"/>
    <w:link w:val="CommentText"/>
    <w:uiPriority w:val="99"/>
    <w:rsid w:val="00746A6C"/>
    <w:rPr>
      <w:lang w:eastAsia="en-US"/>
    </w:rPr>
  </w:style>
  <w:style w:type="paragraph" w:styleId="BalloonText">
    <w:name w:val="Balloon Text"/>
    <w:basedOn w:val="Normal"/>
    <w:link w:val="BalloonTextChar"/>
    <w:uiPriority w:val="99"/>
    <w:semiHidden/>
    <w:unhideWhenUsed/>
    <w:rsid w:val="00746A6C"/>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746A6C"/>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4F63EA"/>
    <w:rPr>
      <w:b/>
      <w:bCs/>
    </w:rPr>
  </w:style>
  <w:style w:type="character" w:customStyle="1" w:styleId="CommentSubjectChar">
    <w:name w:val="Comment Subject Char"/>
    <w:link w:val="CommentSubject"/>
    <w:uiPriority w:val="99"/>
    <w:semiHidden/>
    <w:rsid w:val="004F63EA"/>
    <w:rPr>
      <w:b/>
      <w:bCs/>
      <w:lang w:eastAsia="en-US"/>
    </w:rPr>
  </w:style>
  <w:style w:type="paragraph" w:styleId="Revision">
    <w:name w:val="Revision"/>
    <w:hidden/>
    <w:uiPriority w:val="99"/>
    <w:semiHidden/>
    <w:rsid w:val="00B71786"/>
    <w:rPr>
      <w:sz w:val="24"/>
      <w:szCs w:val="24"/>
      <w:lang w:eastAsia="en-US"/>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rsid w:val="00CB7FE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8"/>
      </w:numPr>
    </w:pPr>
  </w:style>
  <w:style w:type="paragraph" w:customStyle="1" w:styleId="Tiret1">
    <w:name w:val="Tiret 1"/>
    <w:basedOn w:val="Normal"/>
    <w:rsid w:val="00224697"/>
    <w:pPr>
      <w:numPr>
        <w:numId w:val="19"/>
      </w:numPr>
      <w:outlineLvl w:val="0"/>
    </w:pPr>
  </w:style>
  <w:style w:type="paragraph" w:customStyle="1" w:styleId="Tiret2">
    <w:name w:val="Tiret 2"/>
    <w:basedOn w:val="Normal"/>
    <w:rsid w:val="00224697"/>
    <w:pPr>
      <w:numPr>
        <w:numId w:val="20"/>
      </w:numPr>
      <w:outlineLvl w:val="1"/>
    </w:pPr>
  </w:style>
  <w:style w:type="paragraph" w:customStyle="1" w:styleId="Tiret3">
    <w:name w:val="Tiret 3"/>
    <w:basedOn w:val="Normal"/>
    <w:rsid w:val="00224697"/>
    <w:pPr>
      <w:numPr>
        <w:numId w:val="21"/>
      </w:numPr>
      <w:outlineLvl w:val="2"/>
    </w:pPr>
  </w:style>
  <w:style w:type="paragraph" w:customStyle="1" w:styleId="Tiret4">
    <w:name w:val="Tiret 4"/>
    <w:basedOn w:val="Normal"/>
    <w:rsid w:val="00224697"/>
    <w:pPr>
      <w:numPr>
        <w:numId w:val="22"/>
      </w:numPr>
      <w:outlineLvl w:val="3"/>
    </w:pPr>
  </w:style>
  <w:style w:type="paragraph" w:customStyle="1" w:styleId="NumPar1">
    <w:name w:val="NumPar 1"/>
    <w:basedOn w:val="Normal"/>
    <w:next w:val="Text1"/>
    <w:rsid w:val="00224697"/>
    <w:pPr>
      <w:numPr>
        <w:numId w:val="23"/>
      </w:numPr>
      <w:outlineLvl w:val="0"/>
    </w:pPr>
  </w:style>
  <w:style w:type="paragraph" w:customStyle="1" w:styleId="NumPar2">
    <w:name w:val="NumPar 2"/>
    <w:basedOn w:val="Normal"/>
    <w:next w:val="Text1"/>
    <w:rsid w:val="00224697"/>
    <w:pPr>
      <w:numPr>
        <w:ilvl w:val="1"/>
        <w:numId w:val="23"/>
      </w:numPr>
      <w:outlineLvl w:val="1"/>
    </w:pPr>
  </w:style>
  <w:style w:type="paragraph" w:customStyle="1" w:styleId="NumPar3">
    <w:name w:val="NumPar 3"/>
    <w:basedOn w:val="Normal"/>
    <w:next w:val="Text1"/>
    <w:rsid w:val="00224697"/>
    <w:pPr>
      <w:numPr>
        <w:ilvl w:val="2"/>
        <w:numId w:val="23"/>
      </w:numPr>
      <w:outlineLvl w:val="2"/>
    </w:pPr>
  </w:style>
  <w:style w:type="paragraph" w:customStyle="1" w:styleId="NumPar4">
    <w:name w:val="NumPar 4"/>
    <w:basedOn w:val="Normal"/>
    <w:next w:val="Text1"/>
    <w:rsid w:val="00224697"/>
    <w:pPr>
      <w:numPr>
        <w:ilvl w:val="3"/>
        <w:numId w:val="23"/>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25"/>
      </w:numPr>
    </w:pPr>
  </w:style>
  <w:style w:type="paragraph" w:customStyle="1" w:styleId="Point1number">
    <w:name w:val="Point 1 (number)"/>
    <w:basedOn w:val="Normal"/>
    <w:rsid w:val="00224697"/>
    <w:pPr>
      <w:numPr>
        <w:ilvl w:val="2"/>
        <w:numId w:val="25"/>
      </w:numPr>
      <w:outlineLvl w:val="0"/>
    </w:pPr>
  </w:style>
  <w:style w:type="paragraph" w:customStyle="1" w:styleId="Point2number">
    <w:name w:val="Point 2 (number)"/>
    <w:basedOn w:val="Normal"/>
    <w:rsid w:val="00224697"/>
    <w:pPr>
      <w:numPr>
        <w:ilvl w:val="4"/>
        <w:numId w:val="25"/>
      </w:numPr>
      <w:outlineLvl w:val="1"/>
    </w:pPr>
  </w:style>
  <w:style w:type="paragraph" w:customStyle="1" w:styleId="Point3number">
    <w:name w:val="Point 3 (number)"/>
    <w:basedOn w:val="Normal"/>
    <w:rsid w:val="00224697"/>
    <w:pPr>
      <w:numPr>
        <w:ilvl w:val="6"/>
        <w:numId w:val="25"/>
      </w:numPr>
      <w:outlineLvl w:val="2"/>
    </w:pPr>
  </w:style>
  <w:style w:type="paragraph" w:customStyle="1" w:styleId="Point0letter">
    <w:name w:val="Point 0 (letter)"/>
    <w:basedOn w:val="Normal"/>
    <w:rsid w:val="00224697"/>
    <w:pPr>
      <w:numPr>
        <w:ilvl w:val="1"/>
        <w:numId w:val="25"/>
      </w:numPr>
    </w:pPr>
  </w:style>
  <w:style w:type="paragraph" w:customStyle="1" w:styleId="Point1letter">
    <w:name w:val="Point 1 (letter)"/>
    <w:basedOn w:val="Normal"/>
    <w:rsid w:val="00224697"/>
    <w:pPr>
      <w:numPr>
        <w:ilvl w:val="3"/>
        <w:numId w:val="25"/>
      </w:numPr>
      <w:outlineLvl w:val="0"/>
    </w:pPr>
  </w:style>
  <w:style w:type="paragraph" w:customStyle="1" w:styleId="Point2letter">
    <w:name w:val="Point 2 (letter)"/>
    <w:basedOn w:val="Normal"/>
    <w:rsid w:val="00224697"/>
    <w:pPr>
      <w:numPr>
        <w:ilvl w:val="5"/>
        <w:numId w:val="25"/>
      </w:numPr>
      <w:outlineLvl w:val="1"/>
    </w:pPr>
  </w:style>
  <w:style w:type="paragraph" w:customStyle="1" w:styleId="Point3letter">
    <w:name w:val="Point 3 (letter)"/>
    <w:basedOn w:val="Normal"/>
    <w:rsid w:val="00224697"/>
    <w:pPr>
      <w:numPr>
        <w:ilvl w:val="7"/>
        <w:numId w:val="25"/>
      </w:numPr>
      <w:outlineLvl w:val="2"/>
    </w:pPr>
  </w:style>
  <w:style w:type="paragraph" w:customStyle="1" w:styleId="Point4letter">
    <w:name w:val="Point 4 (letter)"/>
    <w:basedOn w:val="Normal"/>
    <w:rsid w:val="00224697"/>
    <w:pPr>
      <w:numPr>
        <w:ilvl w:val="8"/>
        <w:numId w:val="25"/>
      </w:numPr>
      <w:outlineLvl w:val="3"/>
    </w:pPr>
  </w:style>
  <w:style w:type="paragraph" w:customStyle="1" w:styleId="Bullet0">
    <w:name w:val="Bullet 0"/>
    <w:basedOn w:val="Normal"/>
    <w:rsid w:val="00224697"/>
    <w:pPr>
      <w:numPr>
        <w:numId w:val="26"/>
      </w:numPr>
    </w:pPr>
  </w:style>
  <w:style w:type="paragraph" w:customStyle="1" w:styleId="Bullet1">
    <w:name w:val="Bullet 1"/>
    <w:basedOn w:val="Normal"/>
    <w:rsid w:val="00224697"/>
    <w:pPr>
      <w:numPr>
        <w:numId w:val="27"/>
      </w:numPr>
      <w:outlineLvl w:val="0"/>
    </w:pPr>
  </w:style>
  <w:style w:type="paragraph" w:customStyle="1" w:styleId="Bullet2">
    <w:name w:val="Bullet 2"/>
    <w:basedOn w:val="Normal"/>
    <w:rsid w:val="00224697"/>
    <w:pPr>
      <w:numPr>
        <w:numId w:val="28"/>
      </w:numPr>
      <w:outlineLvl w:val="1"/>
    </w:pPr>
  </w:style>
  <w:style w:type="paragraph" w:customStyle="1" w:styleId="Bullet3">
    <w:name w:val="Bullet 3"/>
    <w:basedOn w:val="Normal"/>
    <w:rsid w:val="00224697"/>
    <w:pPr>
      <w:numPr>
        <w:numId w:val="29"/>
      </w:numPr>
      <w:outlineLvl w:val="2"/>
    </w:pPr>
  </w:style>
  <w:style w:type="paragraph" w:customStyle="1" w:styleId="Bullet4">
    <w:name w:val="Bullet 4"/>
    <w:basedOn w:val="Normal"/>
    <w:rsid w:val="00224697"/>
    <w:pPr>
      <w:numPr>
        <w:numId w:val="30"/>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1"/>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styleId="ListBullet">
    <w:name w:val="List Bullet"/>
    <w:basedOn w:val="Normal"/>
    <w:uiPriority w:val="99"/>
    <w:semiHidden/>
    <w:unhideWhenUsed/>
    <w:rsid w:val="00CB7FE7"/>
    <w:pPr>
      <w:numPr>
        <w:numId w:val="32"/>
      </w:numPr>
      <w:contextualSpacing/>
    </w:pPr>
  </w:style>
  <w:style w:type="paragraph" w:styleId="ListBullet2">
    <w:name w:val="List Bullet 2"/>
    <w:basedOn w:val="Normal"/>
    <w:uiPriority w:val="99"/>
    <w:semiHidden/>
    <w:unhideWhenUsed/>
    <w:rsid w:val="00CB7FE7"/>
    <w:pPr>
      <w:numPr>
        <w:numId w:val="33"/>
      </w:numPr>
      <w:contextualSpacing/>
    </w:pPr>
  </w:style>
  <w:style w:type="paragraph" w:styleId="ListBullet3">
    <w:name w:val="List Bullet 3"/>
    <w:basedOn w:val="Normal"/>
    <w:uiPriority w:val="99"/>
    <w:semiHidden/>
    <w:unhideWhenUsed/>
    <w:rsid w:val="00CB7FE7"/>
    <w:pPr>
      <w:numPr>
        <w:numId w:val="34"/>
      </w:numPr>
      <w:contextualSpacing/>
    </w:pPr>
  </w:style>
  <w:style w:type="paragraph" w:styleId="ListBullet4">
    <w:name w:val="List Bullet 4"/>
    <w:basedOn w:val="Normal"/>
    <w:uiPriority w:val="99"/>
    <w:semiHidden/>
    <w:unhideWhenUsed/>
    <w:rsid w:val="00CB7FE7"/>
    <w:pPr>
      <w:numPr>
        <w:numId w:val="35"/>
      </w:numPr>
      <w:contextualSpacing/>
    </w:pPr>
  </w:style>
  <w:style w:type="paragraph" w:styleId="ListNumber">
    <w:name w:val="List Number"/>
    <w:basedOn w:val="Normal"/>
    <w:uiPriority w:val="99"/>
    <w:semiHidden/>
    <w:unhideWhenUsed/>
    <w:rsid w:val="00CB7FE7"/>
    <w:pPr>
      <w:numPr>
        <w:numId w:val="36"/>
      </w:numPr>
      <w:contextualSpacing/>
    </w:pPr>
  </w:style>
  <w:style w:type="paragraph" w:styleId="ListNumber2">
    <w:name w:val="List Number 2"/>
    <w:basedOn w:val="Normal"/>
    <w:uiPriority w:val="99"/>
    <w:semiHidden/>
    <w:unhideWhenUsed/>
    <w:rsid w:val="00CB7FE7"/>
    <w:pPr>
      <w:numPr>
        <w:numId w:val="37"/>
      </w:numPr>
      <w:contextualSpacing/>
    </w:pPr>
  </w:style>
  <w:style w:type="paragraph" w:styleId="ListNumber3">
    <w:name w:val="List Number 3"/>
    <w:basedOn w:val="Normal"/>
    <w:uiPriority w:val="99"/>
    <w:semiHidden/>
    <w:unhideWhenUsed/>
    <w:rsid w:val="00CB7FE7"/>
    <w:pPr>
      <w:numPr>
        <w:numId w:val="38"/>
      </w:numPr>
      <w:contextualSpacing/>
    </w:pPr>
  </w:style>
  <w:style w:type="paragraph" w:styleId="ListNumber4">
    <w:name w:val="List Number 4"/>
    <w:basedOn w:val="Normal"/>
    <w:uiPriority w:val="99"/>
    <w:semiHidden/>
    <w:unhideWhenUsed/>
    <w:rsid w:val="00CB7FE7"/>
    <w:pPr>
      <w:numPr>
        <w:numId w:val="39"/>
      </w:numPr>
      <w:contextualSpacing/>
    </w:pPr>
  </w:style>
  <w:style w:type="character" w:styleId="Hyperlink">
    <w:name w:val="Hyperlink"/>
    <w:basedOn w:val="DefaultParagraphFont"/>
    <w:uiPriority w:val="99"/>
    <w:unhideWhenUsed/>
    <w:rsid w:val="00CB7F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BD97-1F0B-4E80-B2F7-A96F8BFF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Template>
  <TotalTime>3</TotalTime>
  <Pages>16</Pages>
  <Words>2313</Words>
  <Characters>13005</Characters>
  <Application>Microsoft Office Word</Application>
  <DocSecurity>0</DocSecurity>
  <Lines>236</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DQC</cp:lastModifiedBy>
  <cp:revision>6</cp:revision>
  <cp:lastPrinted>2015-02-11T11:30:00Z</cp:lastPrinted>
  <dcterms:created xsi:type="dcterms:W3CDTF">2015-03-03T13:33:00Z</dcterms:created>
  <dcterms:modified xsi:type="dcterms:W3CDTF">2015-03-03T13:36:00Z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