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9C45F1" w:rsidRDefault="00C07097" w:rsidP="009C45F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7371454-340f-4b36-b817-804581aaba8f" style="width:568.4pt;height:349.45pt">
            <v:imagedata r:id="rId9" o:title=""/>
          </v:shape>
        </w:pict>
      </w:r>
      <w:bookmarkEnd w:id="0"/>
    </w:p>
    <w:p w:rsidR="00D27895" w:rsidRPr="009C45F1" w:rsidRDefault="00D27895" w:rsidP="00D27895"/>
    <w:p w:rsidR="00577F46" w:rsidRPr="009C45F1" w:rsidRDefault="00577F46" w:rsidP="0029142D">
      <w:pPr>
        <w:pStyle w:val="PointManual"/>
        <w:spacing w:before="0"/>
      </w:pPr>
    </w:p>
    <w:p w:rsidR="00577F46" w:rsidRPr="009C45F1" w:rsidRDefault="00577F46" w:rsidP="0029142D">
      <w:pPr>
        <w:pStyle w:val="PointManual"/>
        <w:spacing w:before="0"/>
      </w:pPr>
    </w:p>
    <w:p w:rsidR="009C45F1" w:rsidRPr="009C45F1" w:rsidRDefault="009C45F1" w:rsidP="009C45F1">
      <w:pPr>
        <w:pStyle w:val="PointManual"/>
        <w:spacing w:before="0"/>
      </w:pPr>
      <w:r w:rsidRPr="009C45F1">
        <w:t>1.</w:t>
      </w:r>
      <w:r w:rsidRPr="009C45F1">
        <w:tab/>
        <w:t>Adoption de l'ordre du jour</w:t>
      </w:r>
    </w:p>
    <w:p w:rsidR="009C45F1" w:rsidRPr="009C45F1" w:rsidRDefault="009C45F1" w:rsidP="009C45F1">
      <w:pPr>
        <w:rPr>
          <w:szCs w:val="32"/>
          <w:u w:val="single"/>
        </w:rPr>
      </w:pPr>
    </w:p>
    <w:p w:rsidR="009C45F1" w:rsidRPr="009C45F1" w:rsidRDefault="009C45F1" w:rsidP="009C45F1">
      <w:pPr>
        <w:rPr>
          <w:szCs w:val="32"/>
          <w:u w:val="single"/>
        </w:rPr>
      </w:pPr>
    </w:p>
    <w:p w:rsidR="009C45F1" w:rsidRPr="009C45F1" w:rsidRDefault="009C45F1" w:rsidP="009C45F1">
      <w:pPr>
        <w:outlineLvl w:val="0"/>
        <w:rPr>
          <w:b/>
          <w:bCs/>
          <w:u w:val="single"/>
        </w:rPr>
      </w:pPr>
      <w:r w:rsidRPr="009C45F1">
        <w:rPr>
          <w:b/>
          <w:bCs/>
          <w:u w:val="single"/>
        </w:rPr>
        <w:t>Délibérations législatives</w:t>
      </w:r>
    </w:p>
    <w:p w:rsidR="009C45F1" w:rsidRPr="009C45F1" w:rsidRDefault="009C45F1" w:rsidP="009C45F1">
      <w:pPr>
        <w:rPr>
          <w:b/>
          <w:bCs/>
        </w:rPr>
      </w:pPr>
      <w:r w:rsidRPr="009C45F1">
        <w:rPr>
          <w:b/>
          <w:bCs/>
        </w:rPr>
        <w:t>(Délibération publique conformément à l'article 16, paragraphe 8, du traité sur l'Union européenne)</w:t>
      </w:r>
    </w:p>
    <w:p w:rsidR="009C45F1" w:rsidRPr="009C45F1" w:rsidRDefault="009C45F1" w:rsidP="009C45F1">
      <w:pPr>
        <w:pStyle w:val="NormalIndent"/>
        <w:spacing w:line="240" w:lineRule="auto"/>
        <w:ind w:left="0"/>
      </w:pPr>
    </w:p>
    <w:p w:rsidR="009C45F1" w:rsidRPr="009C45F1" w:rsidRDefault="009C45F1" w:rsidP="009C45F1">
      <w:pPr>
        <w:pStyle w:val="NormalIndent"/>
        <w:spacing w:line="240" w:lineRule="auto"/>
        <w:ind w:left="0"/>
      </w:pPr>
    </w:p>
    <w:p w:rsidR="009C45F1" w:rsidRPr="009C45F1" w:rsidRDefault="009C45F1" w:rsidP="009C45F1">
      <w:pPr>
        <w:pStyle w:val="PointManual"/>
        <w:spacing w:before="0"/>
      </w:pPr>
      <w:r w:rsidRPr="009C45F1">
        <w:t>2.</w:t>
      </w:r>
      <w:r w:rsidRPr="009C45F1">
        <w:tab/>
        <w:t>Approbation de la liste des points "A"</w:t>
      </w:r>
    </w:p>
    <w:p w:rsidR="009C45F1" w:rsidRPr="009C45F1" w:rsidRDefault="009C45F1" w:rsidP="009C45F1">
      <w:pPr>
        <w:pStyle w:val="PointManual"/>
        <w:spacing w:before="0"/>
        <w:ind w:left="2268"/>
      </w:pPr>
      <w:r w:rsidRPr="009C45F1">
        <w:t>6530/15 PTS A 14</w:t>
      </w:r>
    </w:p>
    <w:p w:rsidR="009C45F1" w:rsidRPr="009C45F1" w:rsidRDefault="009C45F1" w:rsidP="009C45F1">
      <w:pPr>
        <w:rPr>
          <w:szCs w:val="32"/>
          <w:u w:val="single"/>
        </w:rPr>
      </w:pPr>
    </w:p>
    <w:p w:rsidR="009C45F1" w:rsidRPr="009C45F1" w:rsidRDefault="009C45F1" w:rsidP="009C45F1">
      <w:pPr>
        <w:rPr>
          <w:szCs w:val="32"/>
          <w:u w:val="single"/>
        </w:rPr>
      </w:pPr>
    </w:p>
    <w:p w:rsidR="009C45F1" w:rsidRPr="009C45F1" w:rsidRDefault="009C45F1" w:rsidP="009C45F1">
      <w:pPr>
        <w:rPr>
          <w:b/>
          <w:bCs/>
          <w:szCs w:val="32"/>
          <w:u w:val="single"/>
        </w:rPr>
      </w:pPr>
      <w:r w:rsidRPr="009C45F1">
        <w:rPr>
          <w:b/>
          <w:bCs/>
          <w:szCs w:val="32"/>
          <w:u w:val="single"/>
        </w:rPr>
        <w:t>Activités non législatives</w:t>
      </w:r>
    </w:p>
    <w:p w:rsidR="009C45F1" w:rsidRPr="009C45F1" w:rsidRDefault="009C45F1" w:rsidP="009C45F1"/>
    <w:p w:rsidR="009C45F1" w:rsidRPr="009C45F1" w:rsidRDefault="009C45F1" w:rsidP="009C45F1">
      <w:pPr>
        <w:pStyle w:val="PointManual"/>
      </w:pPr>
      <w:r w:rsidRPr="009C45F1">
        <w:t>3.</w:t>
      </w:r>
      <w:r w:rsidRPr="009C45F1">
        <w:tab/>
        <w:t>Approbation de la liste des points "A"</w:t>
      </w:r>
    </w:p>
    <w:p w:rsidR="009C45F1" w:rsidRPr="009C45F1" w:rsidRDefault="009C45F1" w:rsidP="009C45F1">
      <w:pPr>
        <w:pStyle w:val="PointManual"/>
        <w:ind w:left="2268"/>
      </w:pPr>
      <w:r w:rsidRPr="009C45F1">
        <w:t>6531/15 PTS A 15</w:t>
      </w:r>
    </w:p>
    <w:p w:rsidR="009C45F1" w:rsidRPr="009C45F1" w:rsidRDefault="009C45F1" w:rsidP="009C45F1">
      <w:r w:rsidRPr="009C45F1">
        <w:br w:type="page"/>
      </w:r>
      <w:r w:rsidRPr="009C45F1">
        <w:lastRenderedPageBreak/>
        <w:t>4.</w:t>
      </w:r>
      <w:r w:rsidRPr="009C45F1">
        <w:tab/>
        <w:t>Union de l'énergie</w:t>
      </w:r>
    </w:p>
    <w:p w:rsidR="009C45F1" w:rsidRPr="009C45F1" w:rsidRDefault="009C45F1" w:rsidP="009C45F1">
      <w:pPr>
        <w:pStyle w:val="Dash1"/>
      </w:pPr>
      <w:r w:rsidRPr="009C45F1">
        <w:t>Présentation par la Commission</w:t>
      </w:r>
    </w:p>
    <w:p w:rsidR="009C45F1" w:rsidRPr="009C45F1" w:rsidRDefault="009C45F1" w:rsidP="009C45F1">
      <w:pPr>
        <w:pStyle w:val="Dash1"/>
      </w:pPr>
      <w:r w:rsidRPr="009C45F1">
        <w:t>Échange de vues</w:t>
      </w:r>
    </w:p>
    <w:p w:rsidR="009C45F1" w:rsidRPr="009C45F1" w:rsidRDefault="009C45F1" w:rsidP="009C45F1">
      <w:pPr>
        <w:pStyle w:val="Text3"/>
        <w:rPr>
          <w:iCs/>
        </w:rPr>
      </w:pPr>
      <w:r w:rsidRPr="009C45F1">
        <w:t>6594</w:t>
      </w:r>
      <w:r w:rsidRPr="009C45F1">
        <w:rPr>
          <w:iCs/>
        </w:rPr>
        <w:t>/15 ENER 50 CLIMA 20 AGRI 83 COMPET 66 TRANS 64 ENV 97</w:t>
      </w:r>
    </w:p>
    <w:p w:rsidR="009C45F1" w:rsidRPr="009C45F1" w:rsidRDefault="009C45F1" w:rsidP="009C45F1">
      <w:pPr>
        <w:pStyle w:val="Text5"/>
      </w:pPr>
      <w:r w:rsidRPr="009C45F1">
        <w:t>ECOFIN 141 RELEX 164 TELECOM 56 CONSOM 39</w:t>
      </w:r>
    </w:p>
    <w:p w:rsidR="009C45F1" w:rsidRPr="009C45F1" w:rsidRDefault="009C45F1" w:rsidP="009C45F1">
      <w:pPr>
        <w:pStyle w:val="Text4"/>
      </w:pPr>
      <w:r w:rsidRPr="009C45F1">
        <w:t>+ ADD 1</w:t>
      </w:r>
    </w:p>
    <w:p w:rsidR="009C45F1" w:rsidRPr="009C45F1" w:rsidRDefault="009C45F1" w:rsidP="009C45F1">
      <w:pPr>
        <w:pStyle w:val="Text3"/>
        <w:rPr>
          <w:iCs/>
        </w:rPr>
      </w:pPr>
      <w:r w:rsidRPr="009C45F1">
        <w:t>6358</w:t>
      </w:r>
      <w:r w:rsidRPr="009C45F1">
        <w:rPr>
          <w:iCs/>
        </w:rPr>
        <w:t>/15 ENER 34 CLIMA 14 AGRI 68 COMPET 49 TRANS 55</w:t>
      </w:r>
    </w:p>
    <w:p w:rsidR="009C45F1" w:rsidRPr="009C45F1" w:rsidRDefault="009C45F1" w:rsidP="009C45F1">
      <w:pPr>
        <w:pStyle w:val="Dash1"/>
        <w:numPr>
          <w:ilvl w:val="0"/>
          <w:numId w:val="0"/>
        </w:numPr>
        <w:ind w:left="567"/>
      </w:pPr>
    </w:p>
    <w:p w:rsidR="009C45F1" w:rsidRPr="009C45F1" w:rsidRDefault="009C45F1" w:rsidP="009C45F1">
      <w:pPr>
        <w:rPr>
          <w:iCs/>
        </w:rPr>
      </w:pPr>
    </w:p>
    <w:p w:rsidR="009C45F1" w:rsidRPr="009C45F1" w:rsidRDefault="009C45F1" w:rsidP="009C45F1">
      <w:pPr>
        <w:rPr>
          <w:iCs/>
        </w:rPr>
      </w:pPr>
    </w:p>
    <w:p w:rsidR="009C45F1" w:rsidRPr="009C45F1" w:rsidRDefault="009C45F1" w:rsidP="009C45F1">
      <w:r w:rsidRPr="009C45F1">
        <w:t>5.</w:t>
      </w:r>
      <w:r w:rsidRPr="009C45F1">
        <w:tab/>
        <w:t>Infrastructures énergétiques: évolutions et priorités</w:t>
      </w:r>
    </w:p>
    <w:p w:rsidR="009C45F1" w:rsidRPr="009C45F1" w:rsidRDefault="009C45F1" w:rsidP="009C45F1">
      <w:pPr>
        <w:pStyle w:val="Dash1"/>
      </w:pPr>
      <w:r w:rsidRPr="009C45F1">
        <w:rPr>
          <w:iCs/>
        </w:rPr>
        <w:t>Présentation par la Commission</w:t>
      </w:r>
    </w:p>
    <w:p w:rsidR="009C45F1" w:rsidRPr="009C45F1" w:rsidRDefault="009C45F1" w:rsidP="009C45F1">
      <w:pPr>
        <w:pStyle w:val="Dash1"/>
        <w:rPr>
          <w:iCs/>
        </w:rPr>
      </w:pPr>
      <w:r w:rsidRPr="009C45F1">
        <w:rPr>
          <w:iCs/>
        </w:rPr>
        <w:t>Débat d'orientation</w:t>
      </w:r>
    </w:p>
    <w:p w:rsidR="009C45F1" w:rsidRPr="009C45F1" w:rsidRDefault="009C45F1" w:rsidP="009C45F1">
      <w:pPr>
        <w:pStyle w:val="Text3"/>
        <w:rPr>
          <w:iCs/>
        </w:rPr>
      </w:pPr>
      <w:r w:rsidRPr="009C45F1">
        <w:t>6595</w:t>
      </w:r>
      <w:r w:rsidRPr="009C45F1">
        <w:rPr>
          <w:iCs/>
        </w:rPr>
        <w:t>/15 ENER 51 COMPET 77 ECOFIN 152 RECH 47</w:t>
      </w:r>
    </w:p>
    <w:p w:rsidR="009C45F1" w:rsidRPr="009C45F1" w:rsidRDefault="009C45F1" w:rsidP="009C45F1">
      <w:pPr>
        <w:pStyle w:val="Text4"/>
        <w:rPr>
          <w:iCs/>
        </w:rPr>
      </w:pPr>
      <w:r w:rsidRPr="009C45F1">
        <w:rPr>
          <w:iCs/>
        </w:rPr>
        <w:t>+ ADD 1</w:t>
      </w:r>
    </w:p>
    <w:p w:rsidR="009C45F1" w:rsidRPr="009C45F1" w:rsidRDefault="009C45F1" w:rsidP="009C45F1">
      <w:pPr>
        <w:pStyle w:val="Text3"/>
        <w:rPr>
          <w:iCs/>
        </w:rPr>
      </w:pPr>
      <w:r w:rsidRPr="009C45F1">
        <w:t>6359</w:t>
      </w:r>
      <w:r w:rsidRPr="009C45F1">
        <w:rPr>
          <w:iCs/>
        </w:rPr>
        <w:t>/15 ENER 35</w:t>
      </w:r>
    </w:p>
    <w:p w:rsidR="009C45F1" w:rsidRPr="009C45F1" w:rsidRDefault="009C45F1" w:rsidP="009C45F1">
      <w:pPr>
        <w:rPr>
          <w:iCs/>
        </w:rPr>
      </w:pPr>
    </w:p>
    <w:p w:rsidR="009C45F1" w:rsidRPr="009C45F1" w:rsidRDefault="009C45F1" w:rsidP="009C45F1">
      <w:pPr>
        <w:rPr>
          <w:iCs/>
        </w:rPr>
      </w:pPr>
    </w:p>
    <w:p w:rsidR="009C45F1" w:rsidRPr="009C45F1" w:rsidRDefault="009C45F1" w:rsidP="009C45F1">
      <w:pPr>
        <w:rPr>
          <w:iCs/>
        </w:rPr>
      </w:pPr>
    </w:p>
    <w:p w:rsidR="009C45F1" w:rsidRPr="009C45F1" w:rsidRDefault="009C45F1" w:rsidP="009C45F1">
      <w:pPr>
        <w:rPr>
          <w:b/>
          <w:bCs/>
          <w:u w:val="single"/>
        </w:rPr>
      </w:pPr>
      <w:r w:rsidRPr="009C45F1">
        <w:rPr>
          <w:b/>
          <w:bCs/>
          <w:u w:val="single"/>
        </w:rPr>
        <w:t>Divers</w:t>
      </w:r>
    </w:p>
    <w:p w:rsidR="009C45F1" w:rsidRPr="009C45F1" w:rsidRDefault="009C45F1" w:rsidP="009C45F1">
      <w:pPr>
        <w:rPr>
          <w:b/>
          <w:bCs/>
          <w:u w:val="single"/>
        </w:rPr>
      </w:pPr>
    </w:p>
    <w:p w:rsidR="009C45F1" w:rsidRPr="009C45F1" w:rsidRDefault="009C45F1" w:rsidP="009C45F1">
      <w:pPr>
        <w:pStyle w:val="Point123"/>
        <w:numPr>
          <w:ilvl w:val="0"/>
          <w:numId w:val="0"/>
        </w:numPr>
        <w:rPr>
          <w:b/>
        </w:rPr>
      </w:pPr>
      <w:r w:rsidRPr="009C45F1">
        <w:t>6.</w:t>
      </w:r>
      <w:r w:rsidRPr="009C45F1">
        <w:tab/>
        <w:t>a)</w:t>
      </w:r>
      <w:r w:rsidRPr="009C45F1">
        <w:tab/>
        <w:t>Informations actualisées sur la sécurité énergétique</w:t>
      </w:r>
    </w:p>
    <w:p w:rsidR="009C45F1" w:rsidRPr="009C45F1" w:rsidRDefault="009C45F1" w:rsidP="009C45F1">
      <w:pPr>
        <w:pStyle w:val="Dash2"/>
      </w:pPr>
      <w:r w:rsidRPr="009C45F1">
        <w:t>Informations communiquées par la Commission</w:t>
      </w:r>
    </w:p>
    <w:p w:rsidR="009C45F1" w:rsidRPr="009C45F1" w:rsidRDefault="009C45F1" w:rsidP="009C45F1">
      <w:pPr>
        <w:pStyle w:val="Dash2"/>
        <w:numPr>
          <w:ilvl w:val="0"/>
          <w:numId w:val="0"/>
        </w:numPr>
        <w:ind w:left="1701"/>
      </w:pPr>
      <w:r w:rsidRPr="009C45F1">
        <w:t>6360/15 ENER 36</w:t>
      </w:r>
    </w:p>
    <w:p w:rsidR="009C45F1" w:rsidRPr="009C45F1" w:rsidRDefault="009C45F1" w:rsidP="009C45F1"/>
    <w:p w:rsidR="009C45F1" w:rsidRPr="009C45F1" w:rsidRDefault="009C45F1" w:rsidP="009C45F1"/>
    <w:p w:rsidR="009C45F1" w:rsidRPr="009C45F1" w:rsidRDefault="007F7726" w:rsidP="007F7726">
      <w:pPr>
        <w:pStyle w:val="Pointabc1"/>
        <w:numPr>
          <w:ilvl w:val="0"/>
          <w:numId w:val="0"/>
        </w:numPr>
        <w:ind w:left="567"/>
      </w:pPr>
      <w:r>
        <w:t>b)</w:t>
      </w:r>
      <w:r>
        <w:tab/>
      </w:r>
      <w:bookmarkStart w:id="1" w:name="_GoBack"/>
      <w:bookmarkEnd w:id="1"/>
      <w:r w:rsidR="009C45F1" w:rsidRPr="009C45F1">
        <w:t>10</w:t>
      </w:r>
      <w:r w:rsidR="009C45F1" w:rsidRPr="009C45F1">
        <w:rPr>
          <w:vertAlign w:val="superscript"/>
        </w:rPr>
        <w:t>e</w:t>
      </w:r>
      <w:r w:rsidR="009C45F1" w:rsidRPr="009C45F1">
        <w:t xml:space="preserve"> session plénière du Forum européen de l'énergie nucléaire </w:t>
      </w:r>
    </w:p>
    <w:p w:rsidR="009C45F1" w:rsidRPr="009C45F1" w:rsidRDefault="009C45F1" w:rsidP="009C45F1">
      <w:pPr>
        <w:pStyle w:val="Pointabc1"/>
        <w:numPr>
          <w:ilvl w:val="0"/>
          <w:numId w:val="0"/>
        </w:numPr>
        <w:ind w:left="1134"/>
      </w:pPr>
      <w:r w:rsidRPr="009C45F1">
        <w:t>(Prague, les 26 et 27 mai 2015)</w:t>
      </w:r>
    </w:p>
    <w:p w:rsidR="009C45F1" w:rsidRPr="009C45F1" w:rsidRDefault="009C45F1" w:rsidP="009C45F1">
      <w:pPr>
        <w:pStyle w:val="Dash2"/>
      </w:pPr>
      <w:r w:rsidRPr="009C45F1">
        <w:t>Informations communiquées par la délégation tchèque</w:t>
      </w:r>
    </w:p>
    <w:p w:rsidR="0029142D" w:rsidRPr="009C45F1" w:rsidRDefault="009C45F1" w:rsidP="009C45F1">
      <w:pPr>
        <w:pStyle w:val="Text3"/>
      </w:pPr>
      <w:r w:rsidRPr="009C45F1">
        <w:t>6170/1/15 ATO 14 REV 1</w:t>
      </w:r>
    </w:p>
    <w:p w:rsidR="0029142D" w:rsidRPr="009C45F1" w:rsidRDefault="0029142D" w:rsidP="0029142D"/>
    <w:p w:rsidR="0029142D" w:rsidRPr="009C45F1" w:rsidRDefault="0029142D" w:rsidP="0029142D"/>
    <w:p w:rsidR="0029142D" w:rsidRPr="009C45F1" w:rsidRDefault="0029142D" w:rsidP="00D27895"/>
    <w:p w:rsidR="00FC4670" w:rsidRPr="009C45F1" w:rsidRDefault="00FC4670" w:rsidP="00D27895">
      <w:pPr>
        <w:pStyle w:val="FinalLine"/>
      </w:pPr>
    </w:p>
    <w:sectPr w:rsidR="00FC4670" w:rsidRPr="009C45F1" w:rsidSect="00C07097"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A7" w:rsidRDefault="00393BA7" w:rsidP="00D27895">
      <w:r>
        <w:separator/>
      </w:r>
    </w:p>
  </w:endnote>
  <w:endnote w:type="continuationSeparator" w:id="0">
    <w:p w:rsidR="00393BA7" w:rsidRDefault="00393BA7" w:rsidP="00D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45F1" w:rsidRPr="00D94637" w:rsidTr="009C45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45F1" w:rsidRPr="00D94637" w:rsidRDefault="009C45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C45F1" w:rsidRPr="00B310DC" w:rsidTr="009C45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45F1" w:rsidRPr="00AD7BF2" w:rsidRDefault="009C45F1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45F1" w:rsidRPr="00AD7BF2" w:rsidRDefault="009C45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45F1" w:rsidRPr="002511D8" w:rsidRDefault="009C45F1" w:rsidP="00D94637">
          <w:pPr>
            <w:pStyle w:val="FooterText"/>
            <w:jc w:val="center"/>
          </w:pPr>
          <w:proofErr w:type="spellStart"/>
          <w:r>
            <w:t>aud</w:t>
          </w:r>
          <w:proofErr w:type="spellEnd"/>
          <w:r>
            <w:t>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45F1" w:rsidRPr="00B310DC" w:rsidRDefault="009C45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7097">
            <w:rPr>
              <w:noProof/>
            </w:rPr>
            <w:t>2</w:t>
          </w:r>
          <w:r>
            <w:fldChar w:fldCharType="end"/>
          </w:r>
        </w:p>
      </w:tc>
    </w:tr>
    <w:tr w:rsidR="009C45F1" w:rsidRPr="00D94637" w:rsidTr="009C45F1">
      <w:trPr>
        <w:jc w:val="center"/>
      </w:trPr>
      <w:tc>
        <w:tcPr>
          <w:tcW w:w="1774" w:type="pct"/>
          <w:shd w:val="clear" w:color="auto" w:fill="auto"/>
        </w:tcPr>
        <w:p w:rsidR="009C45F1" w:rsidRPr="00AD7BF2" w:rsidRDefault="009C45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45F1" w:rsidRPr="00AD7BF2" w:rsidRDefault="009C45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C45F1" w:rsidRPr="00D94637" w:rsidRDefault="009C45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45F1" w:rsidRPr="00D94637" w:rsidRDefault="009C45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27895" w:rsidRPr="009C45F1" w:rsidRDefault="00D27895" w:rsidP="009C45F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C45F1" w:rsidRPr="00D94637" w:rsidTr="009C45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C45F1" w:rsidRPr="00D94637" w:rsidRDefault="009C45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C45F1" w:rsidRPr="00B310DC" w:rsidTr="009C45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C45F1" w:rsidRPr="00AD7BF2" w:rsidRDefault="009C45F1" w:rsidP="004F54B2">
          <w:pPr>
            <w:pStyle w:val="FooterText"/>
          </w:pPr>
          <w:r>
            <w:t>6506/15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C45F1" w:rsidRPr="00AD7BF2" w:rsidRDefault="009C45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C45F1" w:rsidRPr="002511D8" w:rsidRDefault="009C45F1" w:rsidP="00D94637">
          <w:pPr>
            <w:pStyle w:val="FooterText"/>
            <w:jc w:val="center"/>
          </w:pPr>
          <w:proofErr w:type="spellStart"/>
          <w:r>
            <w:t>aud</w:t>
          </w:r>
          <w:proofErr w:type="spellEnd"/>
          <w:r>
            <w:t>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C45F1" w:rsidRPr="00B310DC" w:rsidRDefault="009C45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7097">
            <w:rPr>
              <w:noProof/>
            </w:rPr>
            <w:t>1</w:t>
          </w:r>
          <w:r>
            <w:fldChar w:fldCharType="end"/>
          </w:r>
        </w:p>
      </w:tc>
    </w:tr>
    <w:tr w:rsidR="009C45F1" w:rsidRPr="00D94637" w:rsidTr="009C45F1">
      <w:trPr>
        <w:jc w:val="center"/>
      </w:trPr>
      <w:tc>
        <w:tcPr>
          <w:tcW w:w="1774" w:type="pct"/>
          <w:shd w:val="clear" w:color="auto" w:fill="auto"/>
        </w:tcPr>
        <w:p w:rsidR="009C45F1" w:rsidRPr="00AD7BF2" w:rsidRDefault="009C45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C45F1" w:rsidRPr="00AD7BF2" w:rsidRDefault="009C45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C45F1" w:rsidRPr="00D94637" w:rsidRDefault="009C45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C45F1" w:rsidRPr="00D94637" w:rsidRDefault="009C45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27895" w:rsidRPr="009C45F1" w:rsidRDefault="00D27895" w:rsidP="009C45F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A7" w:rsidRDefault="00393BA7" w:rsidP="00D27895">
      <w:r>
        <w:separator/>
      </w:r>
    </w:p>
  </w:footnote>
  <w:footnote w:type="continuationSeparator" w:id="0">
    <w:p w:rsidR="00393BA7" w:rsidRDefault="00393BA7" w:rsidP="00D2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B2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50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8C5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2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A1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C7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A6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3E3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F4D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7371454-340f-4b36-b817-804581aaba8f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02&lt;/text&gt;_x000d__x000a_  &lt;/metadata&gt;_x000d__x000a_  &lt;metadata key=&quot;md_Prefix&quot;&gt;_x000d__x000a_    &lt;text&gt;&lt;/text&gt;_x000d__x000a_  &lt;/metadata&gt;_x000d__x000a_  &lt;metadata key=&quot;md_DocumentNumber&quot;&gt;_x000d__x000a_    &lt;text&gt;650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9&lt;/text&gt;_x000d__x000a_      &lt;text&gt;TRANS 59&lt;/text&gt;_x000d__x000a_      &lt;text&gt;TELECOM 49&lt;/text&gt;_x000d__x000a_      &lt;text&gt;ENER 4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e session du CONSEIL DE L'UNION EUROPÉENNE (Transports, télécommunications et énergie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3372&amp;lt;/Run&amp;gt;&amp;lt;Run BaselineAlignment=&quot;Superscript&quot; FontFamily=&quot;Times New Roman&quot;&amp;gt;e&amp;lt;/Run&amp;gt;&amp;lt;Run FontFamily=&quot;Times New Roman&quot; xml:space=&quot;preserve&quot;&amp;gt; session du CONSEIL DE L'UNION EUROPÉENNE&amp;lt;/Run&amp;gt;&amp;lt;/Paragraph&amp;gt;&amp;lt;Paragraph FontFamily=&quot;Georgia&quot;&amp;gt;&amp;lt;Run FontFamily=&quot;Times New Roman&quot;&amp;gt;(Transports, télécommunications et énergie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ud/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05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27895"/>
    <w:rsid w:val="00010C1D"/>
    <w:rsid w:val="00081133"/>
    <w:rsid w:val="0009656C"/>
    <w:rsid w:val="000A70E5"/>
    <w:rsid w:val="00132718"/>
    <w:rsid w:val="00132AC9"/>
    <w:rsid w:val="00133A02"/>
    <w:rsid w:val="00165755"/>
    <w:rsid w:val="00182F2F"/>
    <w:rsid w:val="001B496D"/>
    <w:rsid w:val="0024153B"/>
    <w:rsid w:val="0029142D"/>
    <w:rsid w:val="002A2AE8"/>
    <w:rsid w:val="003665F7"/>
    <w:rsid w:val="00393BA7"/>
    <w:rsid w:val="003C6E8B"/>
    <w:rsid w:val="00495463"/>
    <w:rsid w:val="005157F5"/>
    <w:rsid w:val="00533D7A"/>
    <w:rsid w:val="00577F46"/>
    <w:rsid w:val="0063379B"/>
    <w:rsid w:val="0067526D"/>
    <w:rsid w:val="006A38C5"/>
    <w:rsid w:val="006C1AD4"/>
    <w:rsid w:val="006E33E2"/>
    <w:rsid w:val="006F4741"/>
    <w:rsid w:val="00736404"/>
    <w:rsid w:val="0075756A"/>
    <w:rsid w:val="007F7726"/>
    <w:rsid w:val="00825503"/>
    <w:rsid w:val="008516DC"/>
    <w:rsid w:val="008649D6"/>
    <w:rsid w:val="008826F8"/>
    <w:rsid w:val="009C45F1"/>
    <w:rsid w:val="00A469D7"/>
    <w:rsid w:val="00A86A14"/>
    <w:rsid w:val="00B228AF"/>
    <w:rsid w:val="00B459CA"/>
    <w:rsid w:val="00BA4A96"/>
    <w:rsid w:val="00BE1373"/>
    <w:rsid w:val="00C07097"/>
    <w:rsid w:val="00C57B11"/>
    <w:rsid w:val="00C77712"/>
    <w:rsid w:val="00CF4068"/>
    <w:rsid w:val="00D27895"/>
    <w:rsid w:val="00D451E4"/>
    <w:rsid w:val="00DE4DD6"/>
    <w:rsid w:val="00E34639"/>
    <w:rsid w:val="00EC24E8"/>
    <w:rsid w:val="00F20846"/>
    <w:rsid w:val="00F54782"/>
    <w:rsid w:val="00FC4670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C45F1"/>
    <w:pPr>
      <w:keepNext/>
      <w:numPr>
        <w:numId w:val="30"/>
      </w:numPr>
      <w:spacing w:before="360" w:after="120"/>
      <w:jc w:val="both"/>
      <w:outlineLvl w:val="0"/>
    </w:pPr>
    <w:rPr>
      <w:b/>
      <w:smallCaps/>
      <w:szCs w:val="20"/>
    </w:rPr>
  </w:style>
  <w:style w:type="paragraph" w:styleId="Heading2">
    <w:name w:val="heading 2"/>
    <w:basedOn w:val="Normal"/>
    <w:next w:val="Normal"/>
    <w:link w:val="Heading2Char"/>
    <w:qFormat/>
    <w:rsid w:val="009C45F1"/>
    <w:pPr>
      <w:keepNext/>
      <w:numPr>
        <w:ilvl w:val="1"/>
        <w:numId w:val="30"/>
      </w:numPr>
      <w:spacing w:before="120" w:after="120"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9C45F1"/>
    <w:pPr>
      <w:keepNext/>
      <w:numPr>
        <w:ilvl w:val="2"/>
        <w:numId w:val="30"/>
      </w:numPr>
      <w:spacing w:before="120" w:after="120"/>
      <w:jc w:val="both"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9C45F1"/>
    <w:pPr>
      <w:keepNext/>
      <w:numPr>
        <w:ilvl w:val="3"/>
        <w:numId w:val="30"/>
      </w:numPr>
      <w:spacing w:before="120" w:after="12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C45F1"/>
    <w:rPr>
      <w:b/>
      <w:smallCaps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C45F1"/>
    <w:rPr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C45F1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C45F1"/>
    <w:rPr>
      <w:sz w:val="24"/>
      <w:lang w:val="fr-FR" w:eastAsia="en-US"/>
    </w:rPr>
  </w:style>
  <w:style w:type="paragraph" w:styleId="EndnoteText">
    <w:name w:val="endnote text"/>
    <w:basedOn w:val="Normal"/>
    <w:link w:val="EndnoteTextChar"/>
    <w:rsid w:val="009C45F1"/>
    <w:pPr>
      <w:widowControl w:val="0"/>
      <w:tabs>
        <w:tab w:val="left" w:pos="567"/>
      </w:tabs>
      <w:ind w:left="567" w:hanging="56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9C45F1"/>
    <w:rPr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C45F1"/>
    <w:pPr>
      <w:keepNext/>
      <w:numPr>
        <w:numId w:val="30"/>
      </w:numPr>
      <w:spacing w:before="360" w:after="120"/>
      <w:jc w:val="both"/>
      <w:outlineLvl w:val="0"/>
    </w:pPr>
    <w:rPr>
      <w:b/>
      <w:smallCaps/>
      <w:szCs w:val="20"/>
    </w:rPr>
  </w:style>
  <w:style w:type="paragraph" w:styleId="Heading2">
    <w:name w:val="heading 2"/>
    <w:basedOn w:val="Normal"/>
    <w:next w:val="Normal"/>
    <w:link w:val="Heading2Char"/>
    <w:qFormat/>
    <w:rsid w:val="009C45F1"/>
    <w:pPr>
      <w:keepNext/>
      <w:numPr>
        <w:ilvl w:val="1"/>
        <w:numId w:val="30"/>
      </w:numPr>
      <w:spacing w:before="120" w:after="120"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9C45F1"/>
    <w:pPr>
      <w:keepNext/>
      <w:numPr>
        <w:ilvl w:val="2"/>
        <w:numId w:val="30"/>
      </w:numPr>
      <w:spacing w:before="120" w:after="120"/>
      <w:jc w:val="both"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9C45F1"/>
    <w:pPr>
      <w:keepNext/>
      <w:numPr>
        <w:ilvl w:val="3"/>
        <w:numId w:val="30"/>
      </w:numPr>
      <w:spacing w:before="120" w:after="12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789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278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78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27895"/>
  </w:style>
  <w:style w:type="paragraph" w:styleId="NormalIndent">
    <w:name w:val="Normal Indent"/>
    <w:basedOn w:val="Normal"/>
    <w:rsid w:val="0029142D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29142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1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12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77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1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C45F1"/>
    <w:rPr>
      <w:b/>
      <w:smallCaps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C45F1"/>
    <w:rPr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C45F1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C45F1"/>
    <w:rPr>
      <w:sz w:val="24"/>
      <w:lang w:val="fr-FR" w:eastAsia="en-US"/>
    </w:rPr>
  </w:style>
  <w:style w:type="paragraph" w:styleId="EndnoteText">
    <w:name w:val="endnote text"/>
    <w:basedOn w:val="Normal"/>
    <w:link w:val="EndnoteTextChar"/>
    <w:rsid w:val="009C45F1"/>
    <w:pPr>
      <w:widowControl w:val="0"/>
      <w:tabs>
        <w:tab w:val="left" w:pos="567"/>
      </w:tabs>
      <w:ind w:left="567" w:hanging="56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9C45F1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E171-D85B-4073-9CEC-7CDBA82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CARNEIRO Suzana Claudia</cp:lastModifiedBy>
  <cp:revision>3</cp:revision>
  <cp:lastPrinted>2015-03-02T14:59:00Z</cp:lastPrinted>
  <dcterms:created xsi:type="dcterms:W3CDTF">2015-03-02T17:50:00Z</dcterms:created>
  <dcterms:modified xsi:type="dcterms:W3CDTF">2015-03-02T17:50:00Z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