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A246487E932415AAC31A7AA2C78B679" style="width:450.25pt;height:293.3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OCHeading"/>
        <w:rPr>
          <w:noProof/>
        </w:rPr>
      </w:pPr>
      <w:bookmarkStart w:id="1" w:name="_GoBack"/>
      <w:bookmarkEnd w:id="1"/>
      <w:r>
        <w:rPr>
          <w:noProof/>
        </w:rPr>
        <w:lastRenderedPageBreak/>
        <w:t>СЪДЪРЖАНИЕ</w:t>
      </w:r>
    </w:p>
    <w:p>
      <w:pPr>
        <w:pStyle w:val="TOC1"/>
        <w:rPr>
          <w:rFonts w:asciiTheme="minorHAnsi" w:eastAsiaTheme="minorEastAsia" w:hAnsiTheme="minorHAnsi" w:cstheme="minorBidi"/>
          <w:noProof/>
          <w:sz w:val="22"/>
          <w:lang w:val="en-GB" w:eastAsia="en-GB" w:bidi="ar-SA"/>
        </w:rPr>
      </w:pPr>
      <w:r>
        <w:rPr>
          <w:noProof/>
        </w:rPr>
        <w:fldChar w:fldCharType="begin"/>
      </w:r>
      <w:r>
        <w:rPr>
          <w:noProof/>
        </w:rPr>
        <w:instrText xml:space="preserve"> TOC \o "1-3" \h \z \u </w:instrText>
      </w:r>
      <w:r>
        <w:rPr>
          <w:noProof/>
        </w:rPr>
        <w:fldChar w:fldCharType="separate"/>
      </w:r>
      <w:hyperlink w:anchor="_Toc412626142" w:history="1">
        <w:r>
          <w:rPr>
            <w:rStyle w:val="Hyperlink"/>
            <w:noProof/>
          </w:rPr>
          <w:t>1.</w:t>
        </w:r>
        <w:r>
          <w:rPr>
            <w:rFonts w:asciiTheme="minorHAnsi" w:eastAsiaTheme="minorEastAsia" w:hAnsiTheme="minorHAnsi" w:cstheme="minorBidi"/>
            <w:noProof/>
            <w:sz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_Toc412626142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412626143" w:history="1">
        <w:r>
          <w:rPr>
            <w:rStyle w:val="Hyperlink"/>
            <w:noProof/>
          </w:rPr>
          <w:t>2.</w:t>
        </w:r>
        <w:r>
          <w:rPr>
            <w:rFonts w:asciiTheme="minorHAnsi" w:eastAsiaTheme="minorEastAsia" w:hAnsiTheme="minorHAnsi" w:cstheme="minorBidi"/>
            <w:noProof/>
            <w:sz w:val="22"/>
            <w:lang w:val="en-GB" w:eastAsia="en-GB" w:bidi="ar-SA"/>
          </w:rPr>
          <w:tab/>
        </w:r>
        <w:r>
          <w:rPr>
            <w:rStyle w:val="Hyperlink"/>
            <w:noProof/>
          </w:rPr>
          <w:t>Висящи заявления от 2012 г.</w:t>
        </w:r>
        <w:r>
          <w:rPr>
            <w:noProof/>
            <w:webHidden/>
          </w:rPr>
          <w:tab/>
        </w:r>
        <w:r>
          <w:rPr>
            <w:noProof/>
            <w:webHidden/>
          </w:rPr>
          <w:fldChar w:fldCharType="begin"/>
        </w:r>
        <w:r>
          <w:rPr>
            <w:noProof/>
            <w:webHidden/>
          </w:rPr>
          <w:instrText xml:space="preserve"> PAGEREF _Toc412626143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412626144" w:history="1">
        <w:r>
          <w:rPr>
            <w:rStyle w:val="Hyperlink"/>
            <w:noProof/>
          </w:rPr>
          <w:t>3.</w:t>
        </w:r>
        <w:r>
          <w:rPr>
            <w:rFonts w:asciiTheme="minorHAnsi" w:eastAsiaTheme="minorEastAsia" w:hAnsiTheme="minorHAnsi" w:cstheme="minorBidi"/>
            <w:noProof/>
            <w:sz w:val="22"/>
            <w:lang w:val="en-GB" w:eastAsia="en-GB" w:bidi="ar-SA"/>
          </w:rPr>
          <w:tab/>
        </w:r>
        <w:r>
          <w:rPr>
            <w:rStyle w:val="Hyperlink"/>
            <w:noProof/>
          </w:rPr>
          <w:t>Нови заявления, получени през 2013 г.</w:t>
        </w:r>
        <w:r>
          <w:rPr>
            <w:noProof/>
            <w:webHidden/>
          </w:rPr>
          <w:tab/>
        </w:r>
        <w:r>
          <w:rPr>
            <w:noProof/>
            <w:webHidden/>
          </w:rPr>
          <w:fldChar w:fldCharType="begin"/>
        </w:r>
        <w:r>
          <w:rPr>
            <w:noProof/>
            <w:webHidden/>
          </w:rPr>
          <w:instrText xml:space="preserve"> PAGEREF _Toc412626144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412626145" w:history="1">
        <w:r>
          <w:rPr>
            <w:rStyle w:val="Hyperlink"/>
            <w:noProof/>
          </w:rPr>
          <w:t>4.</w:t>
        </w:r>
        <w:r>
          <w:rPr>
            <w:rFonts w:asciiTheme="minorHAnsi" w:eastAsiaTheme="minorEastAsia" w:hAnsiTheme="minorHAnsi" w:cstheme="minorBidi"/>
            <w:noProof/>
            <w:sz w:val="22"/>
            <w:lang w:val="en-GB" w:eastAsia="en-GB" w:bidi="ar-SA"/>
          </w:rPr>
          <w:tab/>
        </w:r>
        <w:r>
          <w:rPr>
            <w:rStyle w:val="Hyperlink"/>
            <w:noProof/>
          </w:rPr>
          <w:t>Финансиране</w:t>
        </w:r>
        <w:r>
          <w:rPr>
            <w:noProof/>
            <w:webHidden/>
          </w:rPr>
          <w:tab/>
        </w:r>
        <w:r>
          <w:rPr>
            <w:noProof/>
            <w:webHidden/>
          </w:rPr>
          <w:fldChar w:fldCharType="begin"/>
        </w:r>
        <w:r>
          <w:rPr>
            <w:noProof/>
            <w:webHidden/>
          </w:rPr>
          <w:instrText xml:space="preserve"> PAGEREF _Toc412626145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412626146" w:history="1">
        <w:r>
          <w:rPr>
            <w:rStyle w:val="Hyperlink"/>
            <w:noProof/>
          </w:rPr>
          <w:t>5.</w:t>
        </w:r>
        <w:r>
          <w:rPr>
            <w:rFonts w:asciiTheme="minorHAnsi" w:eastAsiaTheme="minorEastAsia" w:hAnsiTheme="minorHAnsi" w:cstheme="minorBidi"/>
            <w:noProof/>
            <w:sz w:val="22"/>
            <w:lang w:val="en-GB" w:eastAsia="en-GB" w:bidi="ar-SA"/>
          </w:rPr>
          <w:tab/>
        </w:r>
        <w:r>
          <w:rPr>
            <w:rStyle w:val="Hyperlink"/>
            <w:noProof/>
          </w:rPr>
          <w:t>Мониторинг</w:t>
        </w:r>
        <w:r>
          <w:rPr>
            <w:noProof/>
            <w:webHidden/>
          </w:rPr>
          <w:tab/>
        </w:r>
        <w:r>
          <w:rPr>
            <w:noProof/>
            <w:webHidden/>
          </w:rPr>
          <w:fldChar w:fldCharType="begin"/>
        </w:r>
        <w:r>
          <w:rPr>
            <w:noProof/>
            <w:webHidden/>
          </w:rPr>
          <w:instrText xml:space="preserve"> PAGEREF _Toc412626146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412626147" w:history="1">
        <w:r>
          <w:rPr>
            <w:rStyle w:val="Hyperlink"/>
            <w:noProof/>
          </w:rPr>
          <w:t>6.</w:t>
        </w:r>
        <w:r>
          <w:rPr>
            <w:rFonts w:asciiTheme="minorHAnsi" w:eastAsiaTheme="minorEastAsia" w:hAnsiTheme="minorHAnsi" w:cstheme="minorBidi"/>
            <w:noProof/>
            <w:sz w:val="22"/>
            <w:lang w:val="en-GB" w:eastAsia="en-GB" w:bidi="ar-SA"/>
          </w:rPr>
          <w:tab/>
        </w:r>
        <w:r>
          <w:rPr>
            <w:rStyle w:val="Hyperlink"/>
            <w:noProof/>
          </w:rPr>
          <w:t>Приключени досиета</w:t>
        </w:r>
        <w:r>
          <w:rPr>
            <w:noProof/>
            <w:webHidden/>
          </w:rPr>
          <w:tab/>
        </w:r>
        <w:r>
          <w:rPr>
            <w:noProof/>
            <w:webHidden/>
          </w:rPr>
          <w:fldChar w:fldCharType="begin"/>
        </w:r>
        <w:r>
          <w:rPr>
            <w:noProof/>
            <w:webHidden/>
          </w:rPr>
          <w:instrText xml:space="preserve"> PAGEREF _Toc412626147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412626148" w:history="1">
        <w:r>
          <w:rPr>
            <w:rStyle w:val="Hyperlink"/>
            <w:noProof/>
          </w:rPr>
          <w:t>7.</w:t>
        </w:r>
        <w:r>
          <w:rPr>
            <w:rFonts w:asciiTheme="minorHAnsi" w:eastAsiaTheme="minorEastAsia" w:hAnsiTheme="minorHAnsi" w:cstheme="minorBidi"/>
            <w:noProof/>
            <w:sz w:val="22"/>
            <w:lang w:val="en-GB" w:eastAsia="en-GB" w:bidi="ar-SA"/>
          </w:rPr>
          <w:tab/>
        </w:r>
        <w:r>
          <w:rPr>
            <w:rStyle w:val="Hyperlink"/>
            <w:noProof/>
          </w:rPr>
          <w:t>Предложение за изменение на Регламент (ЕО) № 2012/2002 на Съвета за създаване на фонд „Солидарност“ на Европейския съюз и заключения</w:t>
        </w:r>
        <w:r>
          <w:rPr>
            <w:noProof/>
            <w:webHidden/>
          </w:rPr>
          <w:tab/>
        </w:r>
        <w:r>
          <w:rPr>
            <w:noProof/>
            <w:webHidden/>
          </w:rPr>
          <w:fldChar w:fldCharType="begin"/>
        </w:r>
        <w:r>
          <w:rPr>
            <w:noProof/>
            <w:webHidden/>
          </w:rPr>
          <w:instrText xml:space="preserve"> PAGEREF _Toc412626148 \h </w:instrText>
        </w:r>
        <w:r>
          <w:rPr>
            <w:noProof/>
            <w:webHidden/>
          </w:rPr>
        </w:r>
        <w:r>
          <w:rPr>
            <w:noProof/>
            <w:webHidden/>
          </w:rPr>
          <w:fldChar w:fldCharType="separate"/>
        </w:r>
        <w:r>
          <w:rPr>
            <w:noProof/>
            <w:webHidden/>
          </w:rPr>
          <w:t>12</w:t>
        </w:r>
        <w:r>
          <w:rPr>
            <w:noProof/>
            <w:webHidden/>
          </w:rPr>
          <w:fldChar w:fldCharType="end"/>
        </w:r>
      </w:hyperlink>
    </w:p>
    <w:p>
      <w:pPr>
        <w:pStyle w:val="TOC1"/>
        <w:jc w:val="center"/>
        <w:rPr>
          <w:rFonts w:ascii="Calibri" w:hAnsi="Calibri"/>
          <w:b/>
          <w:bCs/>
          <w:noProof/>
          <w:sz w:val="22"/>
        </w:rPr>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20"/>
          <w:docGrid w:linePitch="360"/>
        </w:sectPr>
      </w:pPr>
      <w:r>
        <w:rPr>
          <w:noProof/>
        </w:rPr>
        <w:fldChar w:fldCharType="end"/>
      </w:r>
    </w:p>
    <w:p>
      <w:pPr>
        <w:pStyle w:val="Heading1"/>
        <w:rPr>
          <w:noProof/>
        </w:rPr>
      </w:pPr>
      <w:bookmarkStart w:id="2" w:name="_Toc368320069"/>
      <w:bookmarkStart w:id="3" w:name="_Toc409529444"/>
      <w:bookmarkStart w:id="4" w:name="_Toc412626142"/>
      <w:r>
        <w:rPr>
          <w:noProof/>
        </w:rPr>
        <w:lastRenderedPageBreak/>
        <w:t>Въведение</w:t>
      </w:r>
      <w:bookmarkEnd w:id="2"/>
      <w:bookmarkEnd w:id="3"/>
      <w:bookmarkEnd w:id="4"/>
    </w:p>
    <w:p>
      <w:pPr>
        <w:pStyle w:val="Text1"/>
        <w:ind w:left="851"/>
        <w:rPr>
          <w:noProof/>
        </w:rPr>
      </w:pPr>
      <w:r>
        <w:rPr>
          <w:noProof/>
        </w:rPr>
        <w:t>Съгласно Регламент (ЕО) № 2012/2002 на Съвета от 11 ноември 2002 г. за създаване на фонд „Солидарност“ на Европейския съюз (наричан по-долу „регламента“) Европейският парламент и Съветът трябва ежегодно да получават доклад за дейността на фонда за предходната година. Настоящият доклад представя дейността на фонд „Солидарност“ на ЕС („ФСЕС“) през 2013 г., включваща  обработката на висящи и нови заявления и оценката на докладите за усвояването на помощта с оглед подготовката за финансовото им приключване. Освен това в него се разглежда предложението за изменение на регламента, представено през същата година</w:t>
      </w:r>
      <w:r>
        <w:rPr>
          <w:rStyle w:val="FootnoteReference"/>
          <w:noProof/>
        </w:rPr>
        <w:footnoteReference w:id="1"/>
      </w:r>
      <w:r>
        <w:rPr>
          <w:noProof/>
        </w:rPr>
        <w:t>.</w:t>
      </w:r>
    </w:p>
    <w:p>
      <w:pPr>
        <w:pStyle w:val="Text1"/>
        <w:ind w:left="851"/>
        <w:rPr>
          <w:noProof/>
          <w:color w:val="000000"/>
        </w:rPr>
      </w:pPr>
      <w:r>
        <w:rPr>
          <w:noProof/>
        </w:rPr>
        <w:t xml:space="preserve">През 2013 г. Комисията получи </w:t>
      </w:r>
      <w:r>
        <w:rPr>
          <w:b/>
          <w:noProof/>
        </w:rPr>
        <w:t>осем нови заявления</w:t>
      </w:r>
      <w:r>
        <w:rPr>
          <w:noProof/>
        </w:rPr>
        <w:t xml:space="preserve"> за помощ от ФСЕС, което представлява година със средна натовареност по отношение на броя на постъпилите заявления. Четири заявления бяха подадени през януари и още четири пристигнаха през юли и август. Три от тези заявления бяха свързани с наводненията в Словения, Австрия  и Хърватия през октомври/ноември 2012 г. Заявленията, получени от Германия, Австрия, Чешката република и Унгария, бяха свързани с тежките наводнения през май и юни 2013 г. Заявлението, постъпило от Португалия, беше свързано с калните свлачища и свличанията на земна маса на остров Мадейра през януари 2013 г. С изключение на заявленията от Португалия и Унгария Комисията прие всички заявления и предложи мобилизиране на средства от ФСЕС.</w:t>
      </w:r>
    </w:p>
    <w:p>
      <w:pPr>
        <w:pStyle w:val="Text1"/>
        <w:ind w:left="851"/>
        <w:rPr>
          <w:noProof/>
          <w:color w:val="000000"/>
        </w:rPr>
      </w:pPr>
      <w:r>
        <w:rPr>
          <w:noProof/>
          <w:color w:val="000000"/>
        </w:rPr>
        <w:t>Комисията също така приключи оценката си на заявлението от Румъния, подадено през 2012 г., свързано със сушата и пожарите, във връзка с което също предложи мобилизиране на средства от фонда.</w:t>
      </w:r>
    </w:p>
    <w:p>
      <w:pPr>
        <w:pStyle w:val="Text1"/>
        <w:rPr>
          <w:noProof/>
          <w:color w:val="000000"/>
        </w:rPr>
      </w:pPr>
      <w:r>
        <w:rPr>
          <w:noProof/>
          <w:color w:val="000000"/>
        </w:rPr>
        <w:t>Във финансово изражение през 2013 г. Комисията одобри отпускането на помощ от ФСЕС в размер на общо 415,127 млн. евро; подробностите са описани в глава 4 „Финансиране“. Помощ на обща стойност 14,321 млн. евро беше изплатена по-конкретно за наводненията в Словения и Австрия през 2012 г.</w:t>
      </w:r>
    </w:p>
    <w:p>
      <w:pPr>
        <w:pStyle w:val="Text1"/>
        <w:rPr>
          <w:noProof/>
          <w:color w:val="000000"/>
        </w:rPr>
      </w:pPr>
      <w:r>
        <w:rPr>
          <w:noProof/>
          <w:color w:val="000000"/>
        </w:rPr>
        <w:t>В приложения от 1 до 3 са представени приложимите за 2013 г. прагове за задействане на фонда, както и обобщение на получените заявления и пълен списък на заявленията, разгледани от 2002 г. насам.</w:t>
      </w:r>
    </w:p>
    <w:p>
      <w:pPr>
        <w:pStyle w:val="Heading1"/>
        <w:numPr>
          <w:ilvl w:val="0"/>
          <w:numId w:val="7"/>
        </w:numPr>
        <w:rPr>
          <w:noProof/>
          <w:color w:val="000000"/>
        </w:rPr>
      </w:pPr>
      <w:r>
        <w:rPr>
          <w:noProof/>
        </w:rPr>
        <w:br w:type="page"/>
      </w:r>
      <w:bookmarkStart w:id="5" w:name="_Toc368320070"/>
      <w:bookmarkStart w:id="6" w:name="_Toc409529445"/>
      <w:bookmarkStart w:id="7" w:name="_Toc412626143"/>
      <w:r>
        <w:rPr>
          <w:noProof/>
          <w:color w:val="000000"/>
        </w:rPr>
        <w:lastRenderedPageBreak/>
        <w:t xml:space="preserve">Висящи заявления от </w:t>
      </w:r>
      <w:bookmarkEnd w:id="5"/>
      <w:r>
        <w:rPr>
          <w:noProof/>
          <w:color w:val="000000"/>
        </w:rPr>
        <w:t>2012 г.</w:t>
      </w:r>
      <w:bookmarkEnd w:id="6"/>
      <w:bookmarkEnd w:id="7"/>
    </w:p>
    <w:p>
      <w:pPr>
        <w:pStyle w:val="Text1"/>
        <w:spacing w:before="240"/>
        <w:ind w:left="851"/>
        <w:rPr>
          <w:b/>
          <w:noProof/>
          <w:color w:val="000000"/>
        </w:rPr>
      </w:pPr>
      <w:r>
        <w:rPr>
          <w:b/>
          <w:noProof/>
          <w:color w:val="000000"/>
        </w:rPr>
        <w:t>Румъния (суша и пожари)</w:t>
      </w:r>
    </w:p>
    <w:p>
      <w:pPr>
        <w:pStyle w:val="Text1"/>
        <w:rPr>
          <w:noProof/>
          <w:color w:val="000000"/>
        </w:rPr>
      </w:pPr>
      <w:bookmarkStart w:id="8" w:name="_Toc368320071"/>
      <w:r>
        <w:rPr>
          <w:noProof/>
          <w:color w:val="000000"/>
        </w:rPr>
        <w:t xml:space="preserve">През лятото на 2012 г. големи райони от Румъния пострадаха от много слаби валежи и повтарящи се вълни от изключително високи температури, което доведе до суша със значителна загуба на реколта, множество горски и полски пожари, недостиг на вода за населението, както и произтичащите от това проблеми с водоснабдяването и със системите за производство на хидроенергия. Впоследствие на 2 ноември 2012 г. Румъния подаде заявление за подпомагане от ФСЕС. </w:t>
      </w:r>
    </w:p>
    <w:p>
      <w:pPr>
        <w:pStyle w:val="Text1"/>
        <w:rPr>
          <w:noProof/>
          <w:color w:val="000000"/>
        </w:rPr>
      </w:pPr>
      <w:r>
        <w:rPr>
          <w:noProof/>
          <w:color w:val="000000"/>
        </w:rPr>
        <w:t>В случая със сушата не могат да бъдат основателно приложени разпоредбите на регламента, според които заявленията трябва да се подават в рамките на 10 седмици от датата на първата щета. Поради това Комисията приложи същите принципи, които установи при оценката на първото подобно заявление до ФСЕС, а именно за сушата в Кипър през 2008 г. Съответно датата, на която се счита, че засушаванията са достигнали връхната си точка, се приема за началната дата на 10-седмичния период за подаване на заявлението.  Продължителният период на слаби валежи, високи температури и множеството пожари в Румъния в продължение на няколко месеца доведоха до тежка суша, която засегна около 2,764 милиона хектара земя в 35 от 41 румънски окръга и достигна връхната си точка на 25 август 2012 г. с избухването на големи полски и горски пожари. Поради това Комисията счете, че 25 август 2012 г. може да се приеме за начална дата на голямото бедствие. Представеното на Комисията заявление на 2 ноември 2012 г. е съобразено с крайния срок.</w:t>
      </w:r>
    </w:p>
    <w:p>
      <w:pPr>
        <w:pStyle w:val="Text1"/>
        <w:rPr>
          <w:noProof/>
          <w:color w:val="000000"/>
        </w:rPr>
      </w:pPr>
      <w:r>
        <w:rPr>
          <w:noProof/>
          <w:color w:val="000000"/>
        </w:rPr>
        <w:t>В първоначалното си заявление румънските власти оцениха общите преки щети на над 1,9 млрд. евро. Тази сума представляваше 263 % от прага за голямо бедствие за мобилизиране на средства от ФСЕС, приложим за Румъния през 2012 г., който е 735,487 млн. евро (т.е. 0,6 % от БНД въз основа на данни за 2010 г.). В тази стойност обаче са отчетени и щетите за селското стопанство, настъпили преди определената начална дата, които не могат да бъдат включени в общия размер на щетите. Комисията поиска от Румъния да преразгледа своята оценка на щетите. След преразглеждане на данните общият размер на щетите, представен от Румъния, минус други недопустими непреки разходи, възлезе на 806,7 милиона евро. Над 99 % от оценените щети се отнасяха до частни селски и горски стопанства, които не отговарят на изискванията за помощ от ФСЕС, тъй като не са обхванати от видовете допустими спешни действия по силата на член 3, параграф 2 от регламента. Така разходите по действията, допустими за финансиране по член 3, параграф 2, възлязоха на 2,476 млн. евро (т.е разходите за спешни действия на спасителните служби, и по-специално на службата за борба с пожарите и за воден транспорт, както и за действия по възстановяване на водопреносната инфраструктура. Тъй като помощта от ФСЕС не може да надвишава общата стойност на допустимите дейности, на 3 октомври 2013 г. Комисията реши да предложи мобилизиране на средства от фонда в размер на 2,476 млн. EUR, покриващи разходите за допустимите операции. След приключването на бюджетната процедура в Съвета и в Европейския парламент и сключването на споразумение за усвояване на средствата между Комисията и Румъния, помощта от ФСЕС беше изплатена на 10 март 2014 г.</w:t>
      </w:r>
    </w:p>
    <w:p>
      <w:pPr>
        <w:pStyle w:val="Heading1"/>
        <w:numPr>
          <w:ilvl w:val="0"/>
          <w:numId w:val="7"/>
        </w:numPr>
        <w:rPr>
          <w:noProof/>
          <w:color w:val="000000"/>
        </w:rPr>
      </w:pPr>
      <w:r>
        <w:rPr>
          <w:noProof/>
        </w:rPr>
        <w:br w:type="page"/>
      </w:r>
      <w:bookmarkStart w:id="9" w:name="_Toc409529446"/>
      <w:bookmarkStart w:id="10" w:name="_Toc412626144"/>
      <w:r>
        <w:rPr>
          <w:noProof/>
          <w:color w:val="000000"/>
        </w:rPr>
        <w:lastRenderedPageBreak/>
        <w:t xml:space="preserve">Нови заявления, получени през </w:t>
      </w:r>
      <w:bookmarkEnd w:id="8"/>
      <w:r>
        <w:rPr>
          <w:noProof/>
          <w:color w:val="000000"/>
        </w:rPr>
        <w:t>2013 г.</w:t>
      </w:r>
      <w:bookmarkEnd w:id="9"/>
      <w:bookmarkEnd w:id="10"/>
    </w:p>
    <w:p>
      <w:pPr>
        <w:pStyle w:val="Text1"/>
        <w:spacing w:before="240"/>
        <w:ind w:left="851"/>
        <w:rPr>
          <w:b/>
          <w:noProof/>
        </w:rPr>
      </w:pPr>
      <w:r>
        <w:rPr>
          <w:b/>
          <w:noProof/>
        </w:rPr>
        <w:t xml:space="preserve">Наводнения в Словения, Австрия  и Хърватия (три случая) </w:t>
      </w:r>
    </w:p>
    <w:p>
      <w:pPr>
        <w:pStyle w:val="Text1"/>
        <w:rPr>
          <w:noProof/>
        </w:rPr>
      </w:pPr>
      <w:r>
        <w:rPr>
          <w:noProof/>
        </w:rPr>
        <w:t>В края на октомври и началото на ноември 2012 г. интензивните валежи в Югоизточна Европа причиниха речни разливи и последващи наводнения в широк диаметър около реките Сава, Купа, Мура и Драва в Словения и басейните на реките Мура, Драва и Лавант в Австрия, а също и на територията на Хърватия.</w:t>
      </w:r>
    </w:p>
    <w:p>
      <w:pPr>
        <w:pStyle w:val="Text1"/>
        <w:rPr>
          <w:noProof/>
        </w:rPr>
      </w:pPr>
      <w:r>
        <w:rPr>
          <w:noProof/>
        </w:rPr>
        <w:t xml:space="preserve">Впоследствие и трите страни подадоха заявления за финансова помощ от ФСЕС: Словения подаде заявление за голямо бедствие, докато заявленията на Хърватия и Австрия бяха подадени по т.нар. разпоредба „съседна страна“, според която държава, засегната от същото бедствие като съседна държава, в която е настъпило голямо бедствие, може по изключение да се възползва от финансова помощ от ФСЕС. </w:t>
      </w:r>
    </w:p>
    <w:p>
      <w:pPr>
        <w:pStyle w:val="Point1number"/>
        <w:numPr>
          <w:ilvl w:val="2"/>
          <w:numId w:val="5"/>
        </w:numPr>
        <w:rPr>
          <w:noProof/>
        </w:rPr>
      </w:pPr>
      <w:r>
        <w:rPr>
          <w:b/>
          <w:noProof/>
        </w:rPr>
        <w:t>Словения</w:t>
      </w:r>
      <w:r>
        <w:rPr>
          <w:noProof/>
        </w:rPr>
        <w:t>: Заявлението беше получено на 2 януари 2013 г. в рамките на 10-седмичния срок от регистрирането на  първите щети  на 28 октомври 2012 г. Преките щети бяха оценени общо на 359,535 млн. евро, произтичащи по-специално от значителни щети в селското и горското стопанство, местната пътна инфраструктура и водните пътища. Пострадаха над 2 500 жилищни, административни и икономически обекти, както и 10 училища. Тази сума представлява 1,008 % от БНД на Словения и надвишава многократно прага за големи бедствия за мобилизиране на средства от ФСЕС в размер на 214,021 млн. евро, приложим за Словения през 2013 г. (т.е. 0,6 % от БНД въз основа на данни от 2011 г.). На 30 април 2013 г. Комисията предложи да бъде отпусната финансова помощ в размер на 14,081 млн. евро. След приключването на бюджетната процедура в Съвета и в Европейския парламент и сключването на споразумение за усвояването между Комисията и Словения, финансовата помощ беше изплатена на 19 ноември 2013 г.</w:t>
      </w:r>
    </w:p>
    <w:p>
      <w:pPr>
        <w:pStyle w:val="Point1number"/>
        <w:numPr>
          <w:ilvl w:val="2"/>
          <w:numId w:val="8"/>
        </w:numPr>
        <w:rPr>
          <w:noProof/>
        </w:rPr>
      </w:pPr>
      <w:r>
        <w:rPr>
          <w:b/>
          <w:noProof/>
        </w:rPr>
        <w:t>Австрия</w:t>
      </w:r>
      <w:r>
        <w:rPr>
          <w:noProof/>
        </w:rPr>
        <w:t>: Бедствието в Словения засегна също Австрия, макар и в много ограничена степен. Град Lavamünd, разположен непосредствено където се сливат реките Драва (Drau) и Лавант на границата на Австрия със Словения, беше залят от водна маса с височина до два метра, нанасяйки щети на обществени сгради, частни домове, предприятия и на местната инфраструктура.</w:t>
      </w:r>
    </w:p>
    <w:p>
      <w:pPr>
        <w:pStyle w:val="Text2"/>
        <w:rPr>
          <w:noProof/>
        </w:rPr>
      </w:pPr>
      <w:r>
        <w:rPr>
          <w:noProof/>
        </w:rPr>
        <w:t xml:space="preserve">Заявлението беше подадено на 11 януари 2013 г. в рамките на 10 седмичния срок от регистрирането на първите щети на 5 ноември 2012 г. Актуализирана информация беше получена на 28 февруари 2013 г. Общият размер на преките щети, причинени от наводненията, възлизаше на 9,6 млн. евро. Тази сума представлява съвсем малка част от прага за големи бедствия за мобилизиране на средства от ФСЕС в размер на 1,798 милиарда евро, приложим за Австрия  (т.е. 0,6 % от БНД на Австрия от 2011 г.). Въпреки това, като се има предвид, че наводнението в Lavamünd е със същия произход като голямото бедствие в Словения, австрийските власти представиха своето заявление по т.нар. разпоредба „съседна страна“. Въпреки ограничените по размер щети, които представляват </w:t>
      </w:r>
      <w:r>
        <w:rPr>
          <w:noProof/>
        </w:rPr>
        <w:lastRenderedPageBreak/>
        <w:t>само 0,53 % от прага, средства от ФСЕС бяха мобилизирани. Финансовата помощ от фонда в размер на 240 000 евро беше изплатена на 19 ноември 2013 г.</w:t>
      </w:r>
    </w:p>
    <w:p>
      <w:pPr>
        <w:pStyle w:val="Point1number"/>
        <w:numPr>
          <w:ilvl w:val="2"/>
          <w:numId w:val="8"/>
        </w:numPr>
        <w:rPr>
          <w:noProof/>
        </w:rPr>
      </w:pPr>
      <w:r>
        <w:rPr>
          <w:b/>
          <w:noProof/>
        </w:rPr>
        <w:t>Хърватия</w:t>
      </w:r>
      <w:r>
        <w:rPr>
          <w:noProof/>
        </w:rPr>
        <w:t>: Хърватия, която към момента на бедствието беше включена в приложното поле на ФСЕС като държава в процес на преговори за присъединяване към ЕС, подаде заявлението на 3 януари 2013 г. в рамките на 10 седмичния срок от регистрирането на първите щети  на 26 октомври 2012 г. Хърватия докладва, че са нанесени щети на важни инфраструктурни обекти, както и на частна и публична собственост,  в 9 окръга, в 4 от които бедствието се отразило тежко на местната икономика и условията на живот на около 795 000 жители. По-конкретно, пострадаха селското и горското стопанство, промишлени и търговски съоръжения, частни домове, диги, мостове и кейове по хърватското крайбрежие. Няколкостотин частни домове са били наводнени и хората е трябвало да бъдат евакуирани. В останалите 5 окръга благодарение на мерките за защита от наводнения, предприети от Hrvatske vode (Хърватски води), бяха предотвратени щети върху частната собственост.</w:t>
      </w:r>
    </w:p>
    <w:p>
      <w:pPr>
        <w:pStyle w:val="Text2"/>
        <w:rPr>
          <w:noProof/>
        </w:rPr>
      </w:pPr>
      <w:r>
        <w:rPr>
          <w:noProof/>
        </w:rPr>
        <w:t>Хърватските власти оцениха преките щети общо на над 11,463 млн. евро. Тъй като тази сума беше значително под прага от 259,805 млн. евро (т.е. 0,6 % от БНД на Хърватия по данни за 2011 г.) за мобилизирането на средства от ФСЕС, бедствието не отговаряше на определението за „голямо природно бедствие“. Въпреки това, подобно на Австрия, Хърватия се позова на разпоредбата „съседна страна“, което беше прието от Комисията. Финансовата помощ от фонда в размер на 286 587 евро беше изплатена на 15 януари 2014 г.</w:t>
      </w:r>
    </w:p>
    <w:p>
      <w:pPr>
        <w:pStyle w:val="Text1"/>
        <w:spacing w:before="240"/>
        <w:ind w:left="851"/>
        <w:rPr>
          <w:b/>
          <w:noProof/>
        </w:rPr>
      </w:pPr>
      <w:r>
        <w:rPr>
          <w:b/>
          <w:noProof/>
        </w:rPr>
        <w:t>Наводнения в Централна Европа (четири случая)</w:t>
      </w:r>
    </w:p>
    <w:p>
      <w:pPr>
        <w:pStyle w:val="Text1"/>
        <w:rPr>
          <w:noProof/>
        </w:rPr>
      </w:pPr>
      <w:r>
        <w:rPr>
          <w:noProof/>
        </w:rPr>
        <w:t xml:space="preserve">През май и юни 2013 г. Централна Европа бе засегната от метеорологична ситуация, много наподобяваща тази, довела до „наводнението на века“ през 2002 г. и впоследствие до създаването на фонд ФСЕС. Германия, Австрия и Чешката република отново бяха засегнати от изключително обилни наводнения. Унгария също беше засегната, макар и в значително по-малка степен. Въпреки че на места наводненията бяха по-сериозни, цялостните щети, макар и значителни, бяха по-малки от щетите през 2002 г., особено в Австрия и Чешката република, което се дължеше не на последно място на ефективността на защитата от наводнения и на мерките за контрол на риска, въведени от 2002 г. насам. </w:t>
      </w:r>
    </w:p>
    <w:p>
      <w:pPr>
        <w:pStyle w:val="Text1"/>
        <w:rPr>
          <w:b/>
          <w:noProof/>
          <w:color w:val="FF0000"/>
        </w:rPr>
      </w:pPr>
      <w:r>
        <w:rPr>
          <w:noProof/>
        </w:rPr>
        <w:t>Впоследствие Германия подаде заявление за финансова помощ от ФСЕС по критерия за голямо бедствие, докато заявленията на Австрия и Чешката република бяха подадени по т.нар. разпоредба „съседна държава“. Унгария подаде заявление в съответствие с критерия „изключителни регионални бедствия“.</w:t>
      </w:r>
    </w:p>
    <w:p>
      <w:pPr>
        <w:pStyle w:val="Point1number"/>
        <w:numPr>
          <w:ilvl w:val="2"/>
          <w:numId w:val="4"/>
        </w:numPr>
        <w:rPr>
          <w:noProof/>
        </w:rPr>
      </w:pPr>
      <w:r>
        <w:rPr>
          <w:b/>
          <w:noProof/>
        </w:rPr>
        <w:t>Германия</w:t>
      </w:r>
      <w:r>
        <w:rPr>
          <w:noProof/>
        </w:rPr>
        <w:t xml:space="preserve">: Заявлението беше получено на 24 юли 2013 г. в рамките на 10 седмичния срок, след като първите щети бяха регистрирани на 18 май 2013 г. Големи райони на Германия бяха засегнати от изключително силни валежи и нивото на водите на много реки достигна нови рекордни стойности. Наводненията бяха по-интензивни и по-тежки от наводненията от август 2002 г. и от предишните рекордни летни наводнения през юли 1954 г. Общо дванадесет германски провинции бяха пряко засегнати, осем души загинаха, а най-малко 128 души бяха ранени. Повече от 100 000 души бяха евакуирани от наводнените райони, като общо почти 600 000 души бяха засегнати от бедствието. 32 000 къщи бяха повредени или напълно разрушени и бяха отчетени сериозни щети на публичната инфраструктура. </w:t>
      </w:r>
    </w:p>
    <w:p>
      <w:pPr>
        <w:pStyle w:val="Text2"/>
        <w:rPr>
          <w:b/>
          <w:noProof/>
        </w:rPr>
      </w:pPr>
      <w:r>
        <w:rPr>
          <w:noProof/>
        </w:rPr>
        <w:t>Германските власти оцениха преките щети общо на над 8,153 млрд. евро. Тъй като тази сума надвишава многократно прага за мобилизиране на средства от ФСЕС в размер на 3,679 млрд. евро, приложим за Германия през 2013 г. (3 млрд. евро по цени от 2002 г.), бедствието беше квалифицирано като „голямо природно бедствие“. На 3 октомври 2013 г. Комисията предложи да бъде отпусната финансова помощ в размер на 360,454 милиона евро. Съответният коригиращ бюджет (обхващащ също и случаите с Австрия и Чешката република, описани по-долу) беше приет от Съвета и Европейския парламент на 20 ноември 2013 г., но с уточнението, че голяма част от необходимите бюджетни кредити ще бъдат на разположение през 2014 г. Съответно, помощта от ФСЕС беше изплатена на 19 март 2014 г. след подписването на споразумението за усвояване на средствата между Комисията и Германия.</w:t>
      </w:r>
    </w:p>
    <w:p>
      <w:pPr>
        <w:pStyle w:val="Point1number"/>
        <w:numPr>
          <w:ilvl w:val="2"/>
          <w:numId w:val="8"/>
        </w:numPr>
        <w:rPr>
          <w:noProof/>
        </w:rPr>
      </w:pPr>
      <w:r>
        <w:rPr>
          <w:b/>
          <w:noProof/>
        </w:rPr>
        <w:t>Австрия</w:t>
      </w:r>
      <w:r>
        <w:rPr>
          <w:noProof/>
        </w:rPr>
        <w:t>: Заявлението от Австрия беше получено в Комисията на 6 август 2013 г. в рамките на десетседмичния срок след регистрирането на първата щета на 30 май 2013 г. Наводнението засегна 7 от 9-те австрийски провинции, и особено Vorarlberg, Tyrol, Salzburg, Lower и Upper Austria с население от около 4,6 милиона жители. В някои речни басейни (Saalach, Salzach, Inn и Горен Дунав) наводненията достигнаха рекордни нива за последните 500 години. Това доведе до големи щети на инфраструктурата, и особено на защитната инфраструктура по поречието на реките, в секторите на транспорта и на водоснабдяването и отпадните води. Бяха повредени или разрушени частни домове и имущество, а наводняването на над 22 000 хектара земеделска земя доведе до загуба на реколта. Над 300 предприятия понесоха преки щети, включително в много важния туристически сектор.</w:t>
      </w:r>
    </w:p>
    <w:p>
      <w:pPr>
        <w:pStyle w:val="Text2"/>
        <w:rPr>
          <w:b/>
          <w:noProof/>
        </w:rPr>
      </w:pPr>
      <w:r>
        <w:rPr>
          <w:noProof/>
        </w:rPr>
        <w:t>Преките щети бяха оценени общо на 866,462 милиона евро. Тъй като тази сума представлява 48 % от прага от 1,798 млрд. евро (т.е. 0,6 % от БНД на Австрия) за голямо бедствие, бедствието не беше квалифицирано като такова. Тъй като голямото бедствие в Германия беше причинено от същото метеорологично явление, австрийското заявление беше одобрено съгласно предвидената в регламента разпоредба „съседна страна“. На 3 октомври 2013 г. Комисията реши да отпусне на Австрия финансова помощ в размер на 21,662 млн. евро. Финансовата помощ от фонда беше изплатена на 14 февруари 2014 г.</w:t>
      </w:r>
    </w:p>
    <w:p>
      <w:pPr>
        <w:pStyle w:val="Point1number"/>
        <w:numPr>
          <w:ilvl w:val="2"/>
          <w:numId w:val="8"/>
        </w:numPr>
        <w:rPr>
          <w:noProof/>
        </w:rPr>
      </w:pPr>
      <w:r>
        <w:rPr>
          <w:b/>
          <w:noProof/>
        </w:rPr>
        <w:t>Чешката република</w:t>
      </w:r>
      <w:r>
        <w:rPr>
          <w:noProof/>
        </w:rPr>
        <w:t xml:space="preserve">: Заявлението беше получено в Комисията на 8 август 2013 г. в рамките на 10-седмичния срок след регистрирането на първата щета на 2 юни 2013 г. Проливни дъждове причиниха наводнения с до 50-годишни рекордни стойности, особено във водосборните райони на реките Berounka, Vltava и Labe, и засегнаха най-вече регионите на South Bohemia, Plzeň, Central Bohemia, Hradec Králové, Liberec, Ústí и Прага, представляващи приблизително 54 % от територията на страната, и засегнаха пряко над една трета от населението й, като 15 души загинаха, а 23 000 души трябваше да бъдат евакуирани. Наводненията повредиха или унищожиха най-вече транспортната инфраструктура (железопътни линии, пътища. мостове и т.н.), телекомуникационните мрежи, системите за водоснабдяване и отпадни води, както и мрежите за електроенергия и газ. Пострадаха над 7 000 частни домове. Значителни щети понесоха и здравните и социалните услуги, предприятията, както и земеделският и горският сектори. </w:t>
      </w:r>
    </w:p>
    <w:p>
      <w:pPr>
        <w:pStyle w:val="Text2"/>
        <w:rPr>
          <w:noProof/>
        </w:rPr>
      </w:pPr>
      <w:r>
        <w:rPr>
          <w:noProof/>
        </w:rPr>
        <w:t>Преките щети бяха оценени на общо 637,131 млн. EUR. Тази сума представлява 73 % от прага от 871,618 млн. евро (т.е. 0,6 % от БНД на Чешката република), поради което наводнението не беше квалифицирано като „голямо бедствие“. Въпреки това, както и в случая с Австрия, наводненията в Чешката република бяха причинени от същото метеорологично явление както голямото бедствие в Германия.  Затова заявлението беше разгледано въз основа на т.нар. разпоредба „съседна страна“ . На 3 октомври 2013 г. Комисията реши да предложи финансова помощ на Чешката република в размер на 15,928 млн. евро. След приемането на съответния коригиращ бюджет от Съвета и Европейския парламент и сключването на споразумението за усвояването между Комисията и Чешката република, помощта от ФСЕС беше изплатена на 19 март 2014 г.</w:t>
      </w:r>
    </w:p>
    <w:p>
      <w:pPr>
        <w:pStyle w:val="Point1number"/>
        <w:numPr>
          <w:ilvl w:val="2"/>
          <w:numId w:val="8"/>
        </w:numPr>
        <w:rPr>
          <w:noProof/>
        </w:rPr>
      </w:pPr>
      <w:r>
        <w:rPr>
          <w:b/>
          <w:noProof/>
        </w:rPr>
        <w:t>Унгария</w:t>
      </w:r>
      <w:r>
        <w:rPr>
          <w:noProof/>
        </w:rPr>
        <w:t>: Причинената от силните наводнения вълна по река Дунав и нейните притоци по течението в Германия и Австрия достигна до Унгария на 4 юни и напусна пределите на държавата на 14 юни 2013 г. Най-тежко беше засегнат районът в Централна Унгария и около Будапеща, където пострадаха инфраструктурата, по-специално в сектора на транспорта, водоснабдяването и канализацията, здравеопазването, образованието, телекомуникациите, частни домове и предприятия. Около 2 500 хектара земеделска земя бе наводнена и реколтата унищожена. Изключително активните спасителни операции доведоха до предотвратяването на по-широко мащабни щети. Заявлението от Унгария беше получено в Комисията на 13 август 2013 г. в рамките на 10-седмичния срок след регистрирането на първата щета на 4 юни 2013 г.</w:t>
      </w:r>
    </w:p>
    <w:p>
      <w:pPr>
        <w:pStyle w:val="Text2"/>
        <w:rPr>
          <w:noProof/>
        </w:rPr>
      </w:pPr>
      <w:r>
        <w:rPr>
          <w:noProof/>
        </w:rPr>
        <w:t>Унгарските власти оцениха преките щети общо на 27,951 млн. евро. Тази сума представлява по-малко от 5 % от прага за големи бедствия в размер на 569,258 млн. евро (т.е. 0,6 % от БНД на Унгария) за мобилизиране на средства от ФСЕС, поради което бедствието не беше определено като „голямо бедствие“. Критерият „съседна държава“ не можеше да бъде приложен, тъй като никоя от съседните на Унгария страни не претърпя сериозни бедствия от наводненията. Поради това заявлението беше разгледано в съответствие с критериите, предвидени за т.нар „изключителни регионални бедствия“. Според оценката на Комисията обаче заявлението на Унгария не отговаряше на заложените в регламента критерии за изключителни регионални бедствия, тъй като страната не представи доказателства за сериозни и трайни последици за условията на живот на населението и за икономическата стабилност на засегнатия регион. На 3 октомври 2013 г. Комисията реши да отхвърли заявлението, тъй като не можеше да се приеме, че се отнася до изключително бедствие по смисъла на регламента. Унгарските власти бяха съответно информирани.</w:t>
      </w:r>
    </w:p>
    <w:p>
      <w:pPr>
        <w:pStyle w:val="Text1"/>
        <w:spacing w:before="240"/>
        <w:ind w:left="851"/>
        <w:rPr>
          <w:b/>
          <w:noProof/>
        </w:rPr>
      </w:pPr>
      <w:r>
        <w:rPr>
          <w:b/>
          <w:noProof/>
        </w:rPr>
        <w:t>Наводнения и свлачища в Мадейра (Португалия)</w:t>
      </w:r>
    </w:p>
    <w:p>
      <w:pPr>
        <w:pStyle w:val="Text1"/>
        <w:rPr>
          <w:noProof/>
        </w:rPr>
      </w:pPr>
      <w:r>
        <w:rPr>
          <w:noProof/>
        </w:rPr>
        <w:t>На 4 и 5 ноември 2012 г. необичайно големи количества валежи в части от португалския автономен регион на Мадейра доведоха до свлачища и наводнения, които причиниха щети на публичната инфраструктура, частни имоти и селското стопанство. Вследствие на това Португалия подаде заявление за финансова помощ от ФСЕС, което беше получено в Комисията на 14 януари 2013 г. в рамките на 10-седмичния срок.</w:t>
      </w:r>
    </w:p>
    <w:p>
      <w:pPr>
        <w:pStyle w:val="Text1"/>
        <w:spacing w:after="240"/>
        <w:rPr>
          <w:noProof/>
        </w:rPr>
      </w:pPr>
      <w:r>
        <w:rPr>
          <w:noProof/>
        </w:rPr>
        <w:t>Португалия докладва преки щети в общ размер на 25,7 млн. евро, което представлява само 2,5 % от прага за големи бедствия в размер на 987,376 млн. EUR (т.е. 0,6 % от БНД). Поради това заявлението беше разгледано в съответствие с критериите, предвидени за т.нар „изключителни регионални бедствия“. Като се има предвид ограниченото въздействие на бедствието върху населението и икономическата стабилност на Мадейра и въпреки статута на територията като най-отдалечен регион, Комисията стигна до заключението, че заявлението не отговаря на критерия за изключителни регионални бедствия, определен в регламента. На 22 април 2013 г. Комисията реши да отхвърли заявлението, тъй като не можеше да се приеме, че се отнася до изключително бедствие по смисъла на регламента. Португалските власти бяха съответно информирани.</w:t>
      </w:r>
    </w:p>
    <w:p>
      <w:pPr>
        <w:pBdr>
          <w:top w:val="single" w:sz="4" w:space="1" w:color="auto"/>
          <w:left w:val="single" w:sz="4" w:space="0" w:color="auto"/>
          <w:bottom w:val="single" w:sz="4" w:space="1" w:color="auto"/>
          <w:right w:val="single" w:sz="4" w:space="4" w:color="auto"/>
        </w:pBdr>
        <w:ind w:left="840"/>
        <w:jc w:val="both"/>
        <w:rPr>
          <w:rFonts w:ascii="Times New Roman" w:hAnsi="Times New Roman"/>
          <w:noProof/>
          <w:sz w:val="20"/>
          <w:szCs w:val="20"/>
        </w:rPr>
      </w:pPr>
      <w:r>
        <w:rPr>
          <w:rFonts w:ascii="Times New Roman" w:hAnsi="Times New Roman"/>
          <w:noProof/>
          <w:sz w:val="20"/>
        </w:rPr>
        <w:t>Когато се отпуска помощ от фонда, цялата сума трябва да се използва в рамките на 12 месеца, считано от датата, на която Комисията я е превела. Финансовата помощ може да се използва само за покриване на общи преки щети и за основните спешни действия и действията по възстановяване, определени в член 3 от регламента.</w:t>
      </w:r>
    </w:p>
    <w:p>
      <w:pPr>
        <w:pStyle w:val="Heading1"/>
        <w:numPr>
          <w:ilvl w:val="0"/>
          <w:numId w:val="7"/>
        </w:numPr>
        <w:rPr>
          <w:noProof/>
          <w:color w:val="000000"/>
        </w:rPr>
      </w:pPr>
      <w:bookmarkStart w:id="11" w:name="_Toc368320072"/>
      <w:bookmarkStart w:id="12" w:name="_Toc409529447"/>
      <w:bookmarkStart w:id="13" w:name="_Toc412626145"/>
      <w:r>
        <w:rPr>
          <w:noProof/>
          <w:color w:val="000000"/>
        </w:rPr>
        <w:t>Финансиране</w:t>
      </w:r>
      <w:bookmarkEnd w:id="11"/>
      <w:bookmarkEnd w:id="12"/>
      <w:bookmarkEnd w:id="13"/>
    </w:p>
    <w:p>
      <w:pPr>
        <w:pStyle w:val="Text1"/>
        <w:rPr>
          <w:noProof/>
        </w:rPr>
      </w:pPr>
      <w:r>
        <w:rPr>
          <w:noProof/>
        </w:rPr>
        <w:t xml:space="preserve">През 2013 г. бюджетният орган одобри помощ от фонд за </w:t>
      </w:r>
      <w:r>
        <w:rPr>
          <w:b/>
          <w:noProof/>
        </w:rPr>
        <w:t>седем случая</w:t>
      </w:r>
      <w:r>
        <w:rPr>
          <w:noProof/>
        </w:rPr>
        <w:t xml:space="preserve"> във връзка със заявления, получени съответно през 2012 и 2013 г.</w:t>
      </w:r>
    </w:p>
    <w:p>
      <w:pPr>
        <w:pStyle w:val="Text1"/>
        <w:rPr>
          <w:noProof/>
        </w:rPr>
      </w:pPr>
      <w:r>
        <w:rPr>
          <w:noProof/>
        </w:rPr>
        <w:t>На 11 септември 2013 г</w:t>
      </w:r>
      <w:r>
        <w:rPr>
          <w:rStyle w:val="FootnoteReference"/>
          <w:noProof/>
        </w:rPr>
        <w:footnoteReference w:id="2"/>
      </w:r>
      <w:r>
        <w:rPr>
          <w:noProof/>
        </w:rPr>
        <w:t xml:space="preserve"> беше изготвен съответния предварителен проект на коригиращ бюджет № 5 за 2013 г. във връзка със заявленията, получени от Словения, Австрия и Хърватия през 2013 г. (за наводненията през октомври/ноември 2012 г.). След приемането на решенията за отпускането на помощ и сключването на споразуменията за усвояването на помощта, плащанията за Словения и Австрия бяха извършени на 19 ноември 2013 г.,  а на 15 януари 2014 г. — за Хърватия.</w:t>
      </w:r>
    </w:p>
    <w:p>
      <w:pPr>
        <w:pStyle w:val="Text1"/>
        <w:spacing w:after="240"/>
        <w:ind w:left="851"/>
        <w:rPr>
          <w:noProof/>
        </w:rPr>
      </w:pPr>
      <w:r>
        <w:rPr>
          <w:noProof/>
        </w:rPr>
        <w:t>Предварителният проект за коригиращ бюджет № 9 за 2013 г. обхвана наводненията в Германия, Австрия и Чешката република през май/юни 2013 г. и заявлението от Румъния, във връзка със сушата и горските пожари през 2012 г</w:t>
      </w:r>
      <w:r>
        <w:rPr>
          <w:rStyle w:val="FootnoteReference"/>
          <w:noProof/>
        </w:rPr>
        <w:footnoteReference w:id="3"/>
      </w:r>
      <w:r>
        <w:rPr>
          <w:noProof/>
        </w:rPr>
        <w:t xml:space="preserve">. Бюджетни кредити за плащания в размер на 150 млн. евро (от общо 400,5 млн. евро) бяха предоставени едва през 2014 г. Плащанията по четирите досиета бяха направени след пренасянето на бюджетните кредити за 2014 г. </w:t>
      </w:r>
    </w:p>
    <w:tbl>
      <w:tblPr>
        <w:tblW w:w="8280" w:type="dxa"/>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2400"/>
        <w:gridCol w:w="2280"/>
        <w:gridCol w:w="1800"/>
      </w:tblGrid>
      <w:tr>
        <w:trPr>
          <w:trHeight w:val="340"/>
        </w:trPr>
        <w:tc>
          <w:tcPr>
            <w:tcW w:w="8280" w:type="dxa"/>
            <w:gridSpan w:val="4"/>
            <w:tcBorders>
              <w:top w:val="single" w:sz="4" w:space="0" w:color="auto"/>
              <w:left w:val="single" w:sz="4" w:space="0" w:color="000000"/>
              <w:bottom w:val="single" w:sz="4" w:space="0" w:color="auto"/>
              <w:right w:val="single" w:sz="4" w:space="0" w:color="000000"/>
            </w:tcBorders>
            <w:shd w:val="clear" w:color="auto" w:fill="D9D9D9"/>
            <w:vAlign w:val="center"/>
          </w:tcPr>
          <w:p>
            <w:pPr>
              <w:pStyle w:val="Text1"/>
              <w:spacing w:before="60" w:after="60"/>
              <w:ind w:left="0"/>
              <w:jc w:val="left"/>
              <w:rPr>
                <w:b/>
                <w:noProof/>
                <w:color w:val="000000"/>
                <w:sz w:val="20"/>
                <w:szCs w:val="20"/>
              </w:rPr>
            </w:pPr>
            <w:r>
              <w:rPr>
                <w:b/>
                <w:noProof/>
                <w:color w:val="000000"/>
                <w:sz w:val="20"/>
              </w:rPr>
              <w:t>Финансова помощ по линия на фонд „Солидарност“ — одобрен бюджет за 2013 г.</w:t>
            </w:r>
          </w:p>
        </w:tc>
      </w:tr>
      <w:tr>
        <w:trPr>
          <w:trHeight w:val="340"/>
        </w:trPr>
        <w:tc>
          <w:tcPr>
            <w:tcW w:w="1800" w:type="dxa"/>
            <w:tcBorders>
              <w:top w:val="single" w:sz="4" w:space="0" w:color="auto"/>
              <w:left w:val="single" w:sz="4" w:space="0" w:color="000000"/>
              <w:bottom w:val="single" w:sz="4" w:space="0" w:color="000000"/>
              <w:right w:val="single" w:sz="4" w:space="0" w:color="000000"/>
            </w:tcBorders>
            <w:shd w:val="clear" w:color="auto" w:fill="D9D9D9"/>
            <w:vAlign w:val="center"/>
          </w:tcPr>
          <w:p>
            <w:pPr>
              <w:pStyle w:val="Text1"/>
              <w:spacing w:before="60" w:after="60"/>
              <w:ind w:left="0"/>
              <w:jc w:val="left"/>
              <w:rPr>
                <w:b/>
                <w:noProof/>
                <w:color w:val="000000"/>
                <w:sz w:val="20"/>
                <w:szCs w:val="20"/>
              </w:rPr>
            </w:pPr>
            <w:r>
              <w:rPr>
                <w:b/>
                <w:noProof/>
                <w:color w:val="000000"/>
                <w:sz w:val="20"/>
              </w:rPr>
              <w:t>Държава бенефициер</w:t>
            </w:r>
          </w:p>
        </w:tc>
        <w:tc>
          <w:tcPr>
            <w:tcW w:w="2400" w:type="dxa"/>
            <w:tcBorders>
              <w:top w:val="single" w:sz="4" w:space="0" w:color="auto"/>
              <w:left w:val="single" w:sz="4" w:space="0" w:color="000000"/>
              <w:bottom w:val="single" w:sz="4" w:space="0" w:color="000000"/>
              <w:right w:val="single" w:sz="4" w:space="0" w:color="000000"/>
            </w:tcBorders>
            <w:shd w:val="clear" w:color="auto" w:fill="D9D9D9"/>
            <w:vAlign w:val="center"/>
          </w:tcPr>
          <w:p>
            <w:pPr>
              <w:pStyle w:val="Text1"/>
              <w:spacing w:before="60" w:after="60"/>
              <w:ind w:left="0"/>
              <w:jc w:val="left"/>
              <w:rPr>
                <w:b/>
                <w:noProof/>
                <w:color w:val="000000"/>
                <w:sz w:val="20"/>
                <w:szCs w:val="20"/>
              </w:rPr>
            </w:pPr>
            <w:r>
              <w:rPr>
                <w:b/>
                <w:noProof/>
                <w:color w:val="000000"/>
                <w:sz w:val="20"/>
              </w:rPr>
              <w:t>Бедствие</w:t>
            </w:r>
          </w:p>
        </w:tc>
        <w:tc>
          <w:tcPr>
            <w:tcW w:w="2280" w:type="dxa"/>
            <w:tcBorders>
              <w:top w:val="single" w:sz="4" w:space="0" w:color="auto"/>
              <w:left w:val="single" w:sz="4" w:space="0" w:color="000000"/>
              <w:bottom w:val="single" w:sz="4" w:space="0" w:color="000000"/>
              <w:right w:val="single" w:sz="4" w:space="0" w:color="000000"/>
            </w:tcBorders>
            <w:shd w:val="clear" w:color="auto" w:fill="D9D9D9"/>
            <w:vAlign w:val="center"/>
          </w:tcPr>
          <w:p>
            <w:pPr>
              <w:pStyle w:val="Text1"/>
              <w:spacing w:before="60" w:after="60"/>
              <w:ind w:left="0"/>
              <w:jc w:val="center"/>
              <w:rPr>
                <w:b/>
                <w:noProof/>
                <w:color w:val="000000"/>
                <w:sz w:val="20"/>
                <w:szCs w:val="20"/>
              </w:rPr>
            </w:pPr>
            <w:r>
              <w:rPr>
                <w:b/>
                <w:noProof/>
                <w:color w:val="000000"/>
                <w:sz w:val="20"/>
              </w:rPr>
              <w:t>Категория</w:t>
            </w:r>
          </w:p>
        </w:tc>
        <w:tc>
          <w:tcPr>
            <w:tcW w:w="1800" w:type="dxa"/>
            <w:tcBorders>
              <w:top w:val="single" w:sz="4" w:space="0" w:color="auto"/>
              <w:left w:val="single" w:sz="4" w:space="0" w:color="000000"/>
              <w:bottom w:val="single" w:sz="4" w:space="0" w:color="000000"/>
              <w:right w:val="single" w:sz="4" w:space="0" w:color="000000"/>
            </w:tcBorders>
            <w:shd w:val="clear" w:color="auto" w:fill="D9D9D9"/>
            <w:vAlign w:val="center"/>
          </w:tcPr>
          <w:p>
            <w:pPr>
              <w:pStyle w:val="Text1"/>
              <w:spacing w:before="60" w:after="60"/>
              <w:ind w:left="0" w:right="132"/>
              <w:jc w:val="right"/>
              <w:rPr>
                <w:b/>
                <w:noProof/>
                <w:color w:val="000000"/>
                <w:sz w:val="20"/>
                <w:szCs w:val="20"/>
              </w:rPr>
            </w:pPr>
            <w:r>
              <w:rPr>
                <w:noProof/>
              </w:rPr>
              <w:t>Сума (в евро)</w:t>
            </w:r>
          </w:p>
        </w:tc>
      </w:tr>
      <w:tr>
        <w:trPr>
          <w:trHeight w:val="340"/>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Text1"/>
              <w:spacing w:before="60" w:after="60"/>
              <w:ind w:left="0"/>
              <w:jc w:val="left"/>
              <w:rPr>
                <w:noProof/>
                <w:color w:val="000000"/>
                <w:sz w:val="20"/>
                <w:szCs w:val="20"/>
              </w:rPr>
            </w:pPr>
            <w:r>
              <w:rPr>
                <w:noProof/>
                <w:color w:val="000000"/>
                <w:sz w:val="20"/>
              </w:rPr>
              <w:t>Словения</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rFonts w:ascii="Times New Roman" w:hAnsi="Times New Roman"/>
                <w:noProof/>
                <w:color w:val="000000"/>
                <w:sz w:val="20"/>
                <w:szCs w:val="20"/>
              </w:rPr>
            </w:pPr>
            <w:r>
              <w:rPr>
                <w:rFonts w:ascii="Times New Roman" w:hAnsi="Times New Roman"/>
                <w:noProof/>
                <w:color w:val="000000"/>
                <w:sz w:val="20"/>
              </w:rPr>
              <w:t>Наводнения 2012 г.</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rFonts w:ascii="Times New Roman" w:hAnsi="Times New Roman"/>
                <w:noProof/>
                <w:color w:val="000000"/>
                <w:sz w:val="20"/>
                <w:szCs w:val="20"/>
              </w:rPr>
            </w:pPr>
            <w:r>
              <w:rPr>
                <w:rFonts w:ascii="Times New Roman" w:hAnsi="Times New Roman"/>
                <w:noProof/>
                <w:color w:val="000000"/>
                <w:sz w:val="20"/>
              </w:rPr>
              <w:t>Голямо бедствие</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ind w:right="132"/>
              <w:jc w:val="right"/>
              <w:rPr>
                <w:rFonts w:ascii="Times New Roman" w:hAnsi="Times New Roman"/>
                <w:bCs/>
                <w:noProof/>
                <w:sz w:val="20"/>
                <w:szCs w:val="20"/>
              </w:rPr>
            </w:pPr>
            <w:r>
              <w:rPr>
                <w:rFonts w:ascii="Times New Roman" w:hAnsi="Times New Roman"/>
                <w:noProof/>
                <w:sz w:val="20"/>
              </w:rPr>
              <w:t xml:space="preserve">14 081 355  </w:t>
            </w:r>
          </w:p>
        </w:tc>
      </w:tr>
      <w:tr>
        <w:trPr>
          <w:trHeight w:val="340"/>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Text1"/>
              <w:spacing w:before="60" w:after="60"/>
              <w:ind w:left="0"/>
              <w:jc w:val="left"/>
              <w:rPr>
                <w:noProof/>
                <w:color w:val="000000"/>
                <w:sz w:val="20"/>
                <w:szCs w:val="20"/>
              </w:rPr>
            </w:pPr>
            <w:r>
              <w:rPr>
                <w:noProof/>
                <w:color w:val="000000"/>
                <w:sz w:val="20"/>
              </w:rPr>
              <w:t>Австрия</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rFonts w:ascii="Times New Roman" w:hAnsi="Times New Roman"/>
                <w:noProof/>
                <w:color w:val="000000"/>
                <w:sz w:val="20"/>
                <w:szCs w:val="20"/>
              </w:rPr>
            </w:pPr>
            <w:r>
              <w:rPr>
                <w:rFonts w:ascii="Times New Roman" w:hAnsi="Times New Roman"/>
                <w:noProof/>
                <w:color w:val="000000"/>
                <w:sz w:val="20"/>
              </w:rPr>
              <w:t>Наводнения 2012 г.</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rFonts w:ascii="Times New Roman" w:hAnsi="Times New Roman"/>
                <w:noProof/>
                <w:color w:val="000000"/>
                <w:sz w:val="20"/>
                <w:szCs w:val="20"/>
              </w:rPr>
            </w:pPr>
            <w:r>
              <w:rPr>
                <w:rFonts w:ascii="Times New Roman" w:hAnsi="Times New Roman"/>
                <w:noProof/>
                <w:color w:val="000000"/>
                <w:sz w:val="20"/>
              </w:rPr>
              <w:t xml:space="preserve">Съседна страна </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ind w:right="132"/>
              <w:jc w:val="right"/>
              <w:rPr>
                <w:rFonts w:ascii="Times New Roman" w:hAnsi="Times New Roman"/>
                <w:bCs/>
                <w:noProof/>
                <w:sz w:val="20"/>
                <w:szCs w:val="20"/>
              </w:rPr>
            </w:pPr>
            <w:r>
              <w:rPr>
                <w:rFonts w:ascii="Times New Roman" w:hAnsi="Times New Roman"/>
                <w:noProof/>
                <w:sz w:val="20"/>
              </w:rPr>
              <w:t xml:space="preserve">240000  </w:t>
            </w:r>
          </w:p>
        </w:tc>
      </w:tr>
      <w:tr>
        <w:trPr>
          <w:trHeight w:val="340"/>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Text1"/>
              <w:spacing w:before="60" w:after="60"/>
              <w:ind w:left="0"/>
              <w:jc w:val="left"/>
              <w:rPr>
                <w:noProof/>
                <w:color w:val="000000"/>
                <w:sz w:val="20"/>
                <w:szCs w:val="20"/>
              </w:rPr>
            </w:pPr>
            <w:r>
              <w:rPr>
                <w:noProof/>
                <w:color w:val="000000"/>
                <w:sz w:val="20"/>
              </w:rPr>
              <w:t>Хърватия</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rFonts w:ascii="Times New Roman" w:hAnsi="Times New Roman"/>
                <w:noProof/>
                <w:color w:val="000000"/>
                <w:sz w:val="20"/>
                <w:szCs w:val="20"/>
              </w:rPr>
            </w:pPr>
            <w:r>
              <w:rPr>
                <w:rFonts w:ascii="Times New Roman" w:hAnsi="Times New Roman"/>
                <w:noProof/>
                <w:color w:val="000000"/>
                <w:sz w:val="20"/>
              </w:rPr>
              <w:t>Наводнения 2012 г.</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rFonts w:ascii="Times New Roman" w:hAnsi="Times New Roman"/>
                <w:noProof/>
                <w:color w:val="000000"/>
                <w:sz w:val="20"/>
                <w:szCs w:val="20"/>
              </w:rPr>
            </w:pPr>
            <w:r>
              <w:rPr>
                <w:rFonts w:ascii="Times New Roman" w:hAnsi="Times New Roman"/>
                <w:noProof/>
                <w:color w:val="000000"/>
                <w:sz w:val="20"/>
              </w:rPr>
              <w:t xml:space="preserve">Съседна държава </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ind w:right="132"/>
              <w:jc w:val="right"/>
              <w:rPr>
                <w:rFonts w:ascii="Times New Roman" w:hAnsi="Times New Roman"/>
                <w:bCs/>
                <w:noProof/>
                <w:sz w:val="20"/>
                <w:szCs w:val="20"/>
              </w:rPr>
            </w:pPr>
            <w:r>
              <w:rPr>
                <w:rFonts w:ascii="Times New Roman" w:hAnsi="Times New Roman"/>
                <w:noProof/>
                <w:sz w:val="20"/>
              </w:rPr>
              <w:t xml:space="preserve">286 587  </w:t>
            </w:r>
          </w:p>
        </w:tc>
      </w:tr>
      <w:tr>
        <w:trPr>
          <w:trHeight w:val="340"/>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Text1"/>
              <w:spacing w:before="60" w:after="60"/>
              <w:ind w:left="0"/>
              <w:jc w:val="left"/>
              <w:rPr>
                <w:noProof/>
                <w:color w:val="000000"/>
                <w:sz w:val="20"/>
                <w:szCs w:val="20"/>
              </w:rPr>
            </w:pPr>
            <w:r>
              <w:rPr>
                <w:noProof/>
                <w:color w:val="000000"/>
                <w:sz w:val="20"/>
              </w:rPr>
              <w:t>Германия</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rFonts w:ascii="Times New Roman" w:hAnsi="Times New Roman"/>
                <w:noProof/>
                <w:color w:val="000000"/>
                <w:sz w:val="20"/>
                <w:szCs w:val="20"/>
              </w:rPr>
            </w:pPr>
            <w:r>
              <w:rPr>
                <w:rFonts w:ascii="Times New Roman" w:hAnsi="Times New Roman"/>
                <w:noProof/>
                <w:color w:val="000000"/>
                <w:sz w:val="20"/>
              </w:rPr>
              <w:t>Наводнения 2013 г.</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rFonts w:ascii="Times New Roman" w:hAnsi="Times New Roman"/>
                <w:noProof/>
                <w:color w:val="000000"/>
                <w:sz w:val="20"/>
                <w:szCs w:val="20"/>
              </w:rPr>
            </w:pPr>
            <w:r>
              <w:rPr>
                <w:rFonts w:ascii="Times New Roman" w:hAnsi="Times New Roman"/>
                <w:noProof/>
                <w:color w:val="000000"/>
                <w:sz w:val="20"/>
              </w:rPr>
              <w:t>Голямо бедствие</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ind w:right="132"/>
              <w:jc w:val="right"/>
              <w:rPr>
                <w:rFonts w:ascii="Times New Roman" w:hAnsi="Times New Roman"/>
                <w:bCs/>
                <w:noProof/>
                <w:sz w:val="20"/>
                <w:szCs w:val="20"/>
              </w:rPr>
            </w:pPr>
            <w:r>
              <w:rPr>
                <w:rFonts w:ascii="Times New Roman" w:hAnsi="Times New Roman"/>
                <w:noProof/>
                <w:sz w:val="20"/>
              </w:rPr>
              <w:t xml:space="preserve">360 453 575  </w:t>
            </w:r>
          </w:p>
        </w:tc>
      </w:tr>
      <w:tr>
        <w:trPr>
          <w:trHeight w:val="340"/>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Text1"/>
              <w:spacing w:before="60" w:after="60"/>
              <w:ind w:left="0"/>
              <w:jc w:val="left"/>
              <w:rPr>
                <w:noProof/>
                <w:color w:val="000000"/>
                <w:sz w:val="20"/>
                <w:szCs w:val="20"/>
              </w:rPr>
            </w:pPr>
            <w:r>
              <w:rPr>
                <w:noProof/>
                <w:color w:val="000000"/>
                <w:sz w:val="20"/>
              </w:rPr>
              <w:t>Австрия</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rFonts w:ascii="Times New Roman" w:hAnsi="Times New Roman"/>
                <w:noProof/>
                <w:color w:val="000000"/>
                <w:sz w:val="20"/>
                <w:szCs w:val="20"/>
              </w:rPr>
            </w:pPr>
            <w:r>
              <w:rPr>
                <w:rFonts w:ascii="Times New Roman" w:hAnsi="Times New Roman"/>
                <w:noProof/>
                <w:color w:val="000000"/>
                <w:sz w:val="20"/>
              </w:rPr>
              <w:t>Наводнения 2013 г.</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rFonts w:ascii="Times New Roman" w:hAnsi="Times New Roman"/>
                <w:noProof/>
                <w:color w:val="000000"/>
                <w:sz w:val="20"/>
                <w:szCs w:val="20"/>
              </w:rPr>
            </w:pPr>
            <w:r>
              <w:rPr>
                <w:rFonts w:ascii="Times New Roman" w:hAnsi="Times New Roman"/>
                <w:noProof/>
                <w:color w:val="000000"/>
                <w:sz w:val="20"/>
              </w:rPr>
              <w:t xml:space="preserve">Съседна държава </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ind w:right="132"/>
              <w:jc w:val="right"/>
              <w:rPr>
                <w:rFonts w:ascii="Times New Roman" w:hAnsi="Times New Roman"/>
                <w:bCs/>
                <w:noProof/>
                <w:sz w:val="20"/>
                <w:szCs w:val="20"/>
              </w:rPr>
            </w:pPr>
            <w:r>
              <w:rPr>
                <w:rFonts w:ascii="Times New Roman" w:hAnsi="Times New Roman"/>
                <w:noProof/>
                <w:sz w:val="20"/>
              </w:rPr>
              <w:t xml:space="preserve">21 661 550  </w:t>
            </w:r>
          </w:p>
        </w:tc>
      </w:tr>
      <w:tr>
        <w:trPr>
          <w:trHeight w:val="340"/>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Text1"/>
              <w:spacing w:before="60" w:after="60"/>
              <w:ind w:left="0"/>
              <w:jc w:val="left"/>
              <w:rPr>
                <w:noProof/>
                <w:color w:val="000000"/>
                <w:sz w:val="20"/>
                <w:szCs w:val="20"/>
              </w:rPr>
            </w:pPr>
            <w:r>
              <w:rPr>
                <w:noProof/>
                <w:color w:val="000000"/>
                <w:sz w:val="20"/>
              </w:rPr>
              <w:t>Чешката република</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rFonts w:ascii="Times New Roman" w:hAnsi="Times New Roman"/>
                <w:noProof/>
                <w:color w:val="000000"/>
                <w:sz w:val="20"/>
                <w:szCs w:val="20"/>
              </w:rPr>
            </w:pPr>
            <w:r>
              <w:rPr>
                <w:rFonts w:ascii="Times New Roman" w:hAnsi="Times New Roman"/>
                <w:noProof/>
                <w:color w:val="000000"/>
                <w:sz w:val="20"/>
              </w:rPr>
              <w:t>Наводнения 2013 г.</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rFonts w:ascii="Times New Roman" w:hAnsi="Times New Roman"/>
                <w:noProof/>
                <w:color w:val="000000"/>
                <w:sz w:val="20"/>
                <w:szCs w:val="20"/>
              </w:rPr>
            </w:pPr>
            <w:r>
              <w:rPr>
                <w:rFonts w:ascii="Times New Roman" w:hAnsi="Times New Roman"/>
                <w:noProof/>
                <w:color w:val="000000"/>
                <w:sz w:val="20"/>
              </w:rPr>
              <w:t xml:space="preserve">Съседна държава </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ind w:right="132"/>
              <w:jc w:val="right"/>
              <w:rPr>
                <w:rFonts w:ascii="Times New Roman" w:hAnsi="Times New Roman"/>
                <w:bCs/>
                <w:noProof/>
                <w:sz w:val="20"/>
                <w:szCs w:val="20"/>
              </w:rPr>
            </w:pPr>
            <w:r>
              <w:rPr>
                <w:rFonts w:ascii="Times New Roman" w:hAnsi="Times New Roman"/>
                <w:noProof/>
                <w:sz w:val="20"/>
              </w:rPr>
              <w:t xml:space="preserve">15 928 275  </w:t>
            </w:r>
          </w:p>
        </w:tc>
      </w:tr>
      <w:tr>
        <w:trPr>
          <w:trHeight w:val="340"/>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Text1"/>
              <w:spacing w:before="60" w:after="60"/>
              <w:ind w:left="0"/>
              <w:jc w:val="left"/>
              <w:rPr>
                <w:noProof/>
                <w:color w:val="000000"/>
                <w:sz w:val="20"/>
                <w:szCs w:val="20"/>
              </w:rPr>
            </w:pPr>
            <w:r>
              <w:rPr>
                <w:noProof/>
                <w:color w:val="000000"/>
                <w:sz w:val="20"/>
              </w:rPr>
              <w:t>Румъния</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rFonts w:ascii="Times New Roman" w:hAnsi="Times New Roman"/>
                <w:noProof/>
                <w:color w:val="000000"/>
                <w:sz w:val="20"/>
                <w:szCs w:val="20"/>
              </w:rPr>
            </w:pPr>
            <w:r>
              <w:rPr>
                <w:rFonts w:ascii="Times New Roman" w:hAnsi="Times New Roman"/>
                <w:noProof/>
                <w:color w:val="000000"/>
                <w:sz w:val="20"/>
              </w:rPr>
              <w:t>Суша и горски пожари 2012 г.</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rFonts w:ascii="Times New Roman" w:hAnsi="Times New Roman"/>
                <w:noProof/>
                <w:color w:val="000000"/>
                <w:sz w:val="20"/>
                <w:szCs w:val="20"/>
              </w:rPr>
            </w:pPr>
            <w:r>
              <w:rPr>
                <w:rFonts w:ascii="Times New Roman" w:hAnsi="Times New Roman"/>
                <w:noProof/>
                <w:color w:val="000000"/>
                <w:sz w:val="20"/>
              </w:rPr>
              <w:t>Голямо бедствие</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ind w:right="132"/>
              <w:jc w:val="right"/>
              <w:rPr>
                <w:rFonts w:ascii="Times New Roman" w:hAnsi="Times New Roman"/>
                <w:bCs/>
                <w:noProof/>
                <w:sz w:val="20"/>
                <w:szCs w:val="20"/>
              </w:rPr>
            </w:pPr>
            <w:r>
              <w:rPr>
                <w:rFonts w:ascii="Times New Roman" w:hAnsi="Times New Roman"/>
                <w:noProof/>
                <w:sz w:val="20"/>
              </w:rPr>
              <w:t xml:space="preserve">2 475 689  </w:t>
            </w:r>
          </w:p>
        </w:tc>
      </w:tr>
      <w:tr>
        <w:trPr>
          <w:trHeight w:val="340"/>
        </w:trPr>
        <w:tc>
          <w:tcPr>
            <w:tcW w:w="64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Text1"/>
              <w:spacing w:before="60" w:after="60"/>
              <w:ind w:left="0"/>
              <w:jc w:val="left"/>
              <w:rPr>
                <w:b/>
                <w:noProof/>
                <w:color w:val="000000"/>
                <w:sz w:val="20"/>
                <w:szCs w:val="20"/>
              </w:rPr>
            </w:pPr>
            <w:r>
              <w:rPr>
                <w:b/>
                <w:noProof/>
                <w:color w:val="000000"/>
                <w:sz w:val="20"/>
              </w:rPr>
              <w:t>ОБЩО</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ind w:right="132"/>
              <w:jc w:val="right"/>
              <w:rPr>
                <w:rFonts w:ascii="Times New Roman" w:hAnsi="Times New Roman"/>
                <w:b/>
                <w:noProof/>
                <w:color w:val="000000"/>
                <w:sz w:val="20"/>
                <w:szCs w:val="20"/>
              </w:rPr>
            </w:pPr>
            <w:r>
              <w:rPr>
                <w:rFonts w:ascii="Times New Roman" w:hAnsi="Times New Roman"/>
                <w:b/>
                <w:noProof/>
                <w:color w:val="000000"/>
                <w:sz w:val="20"/>
              </w:rPr>
              <w:t xml:space="preserve">415 127 031  </w:t>
            </w:r>
          </w:p>
        </w:tc>
      </w:tr>
    </w:tbl>
    <w:p>
      <w:pPr>
        <w:pStyle w:val="Heading1"/>
        <w:numPr>
          <w:ilvl w:val="0"/>
          <w:numId w:val="7"/>
        </w:numPr>
        <w:ind w:left="851"/>
        <w:rPr>
          <w:noProof/>
          <w:color w:val="000000"/>
        </w:rPr>
      </w:pPr>
      <w:bookmarkStart w:id="14" w:name="_Toc412626146"/>
      <w:bookmarkStart w:id="15" w:name="_Toc368320073"/>
      <w:bookmarkStart w:id="16" w:name="_Toc409529448"/>
      <w:r>
        <w:rPr>
          <w:noProof/>
          <w:color w:val="000000"/>
        </w:rPr>
        <w:t>Мониторинг</w:t>
      </w:r>
      <w:bookmarkEnd w:id="14"/>
      <w:r>
        <w:rPr>
          <w:noProof/>
          <w:color w:val="000000"/>
        </w:rPr>
        <w:t xml:space="preserve"> </w:t>
      </w:r>
      <w:bookmarkEnd w:id="15"/>
      <w:bookmarkEnd w:id="16"/>
    </w:p>
    <w:p>
      <w:pPr>
        <w:pStyle w:val="Text1"/>
        <w:ind w:left="851"/>
        <w:rPr>
          <w:noProof/>
        </w:rPr>
      </w:pPr>
      <w:r>
        <w:rPr>
          <w:noProof/>
        </w:rPr>
        <w:t>През 2013 г. представители на Комисията посетиха с цел мониторинг  три държави бенефициери, за да обсъдят въведените системи по усвояването на помощта и да отговорят на конкретни въпроси, отправени от страна на изпълняващите органи:</w:t>
      </w:r>
    </w:p>
    <w:p>
      <w:pPr>
        <w:pStyle w:val="Tiret1"/>
        <w:rPr>
          <w:noProof/>
        </w:rPr>
      </w:pPr>
      <w:r>
        <w:rPr>
          <w:noProof/>
        </w:rPr>
        <w:t>в Lorca (</w:t>
      </w:r>
      <w:r>
        <w:rPr>
          <w:b/>
          <w:noProof/>
        </w:rPr>
        <w:t>Испания</w:t>
      </w:r>
      <w:r>
        <w:rPr>
          <w:noProof/>
        </w:rPr>
        <w:t>) на 5 февруари 2013 г. във връзка с помощта от 21,071 млн. евро, получена вследствие на земетресението, засегнало град Lorca на 11 май 2011 г.</w:t>
      </w:r>
    </w:p>
    <w:p>
      <w:pPr>
        <w:pStyle w:val="Tiret1"/>
        <w:rPr>
          <w:noProof/>
        </w:rPr>
      </w:pPr>
      <w:r>
        <w:rPr>
          <w:noProof/>
        </w:rPr>
        <w:t>в Генуа (</w:t>
      </w:r>
      <w:r>
        <w:rPr>
          <w:b/>
          <w:noProof/>
        </w:rPr>
        <w:t>Италия</w:t>
      </w:r>
      <w:r>
        <w:rPr>
          <w:noProof/>
        </w:rPr>
        <w:t>) на 23 април 2013 г. във връзка с помощта от 18,062 млн. евро, получена след наводненията в Liguria и Тоскана през 2011 г.</w:t>
      </w:r>
    </w:p>
    <w:p>
      <w:pPr>
        <w:pStyle w:val="Tiret1"/>
        <w:numPr>
          <w:ilvl w:val="0"/>
          <w:numId w:val="6"/>
        </w:numPr>
        <w:rPr>
          <w:b/>
          <w:noProof/>
        </w:rPr>
      </w:pPr>
      <w:r>
        <w:rPr>
          <w:noProof/>
        </w:rPr>
        <w:t>в Болоня (</w:t>
      </w:r>
      <w:r>
        <w:rPr>
          <w:b/>
          <w:noProof/>
        </w:rPr>
        <w:t>Италия</w:t>
      </w:r>
      <w:r>
        <w:rPr>
          <w:noProof/>
        </w:rPr>
        <w:t>) на 5 юни 2013 г. във връзка с помощта от 670,192 млн. евро, получена вследствие на опустошителното земетресение, засегнало Emilia-Romagna, Lombardia и Veneto на 20 май 2012 г.</w:t>
      </w:r>
    </w:p>
    <w:p>
      <w:pPr>
        <w:pStyle w:val="Text1"/>
        <w:ind w:left="851"/>
        <w:rPr>
          <w:noProof/>
        </w:rPr>
      </w:pPr>
      <w:r>
        <w:rPr>
          <w:noProof/>
        </w:rPr>
        <w:t>Трите посещения дадоха в достатъчна степен увереност, че компетентните органи работят по усвояване на помощта и извършват контрола по прозрачен и коректен начин и при спазване на изискванията, залегнали в регламента, в решението за отпускане на помощта и в споразумението за усвояване на помощта. След получаването на окончателните доклади Комисията ще извърши допълнителен анализ и при нужда ще предприеме подходящи мерки.</w:t>
      </w:r>
    </w:p>
    <w:p>
      <w:pPr>
        <w:pStyle w:val="Heading1"/>
        <w:numPr>
          <w:ilvl w:val="0"/>
          <w:numId w:val="7"/>
        </w:numPr>
        <w:ind w:left="851"/>
        <w:rPr>
          <w:noProof/>
          <w:color w:val="000000"/>
        </w:rPr>
      </w:pPr>
      <w:bookmarkStart w:id="17" w:name="_Toc368320074"/>
      <w:bookmarkStart w:id="18" w:name="_Toc409529449"/>
      <w:bookmarkStart w:id="19" w:name="_Toc412626147"/>
      <w:r>
        <w:rPr>
          <w:noProof/>
          <w:color w:val="000000"/>
        </w:rPr>
        <w:t>Приключени досиета</w:t>
      </w:r>
      <w:bookmarkEnd w:id="17"/>
      <w:bookmarkEnd w:id="18"/>
      <w:bookmarkEnd w:id="19"/>
    </w:p>
    <w:p>
      <w:pPr>
        <w:pStyle w:val="Text1"/>
        <w:rPr>
          <w:noProof/>
        </w:rPr>
      </w:pPr>
      <w:r>
        <w:rPr>
          <w:noProof/>
        </w:rPr>
        <w:t>Член 8, параграф 2 от регламента се предвижда, че не по-късно от шест месеца след изтичането на едногодишния срок от датата на изплащане на финансовата помощ държавата бенефициер трябва да представи доклад относно усвояването на помощта (наричан по-долу „доклад за усвояването на средствата“), придружен от отчет, оправдаващ разходите (наричан по-долу „декларация за достоверност”). В края на тази процедура Комисията прекратява помощта от фонда.</w:t>
      </w:r>
    </w:p>
    <w:p>
      <w:pPr>
        <w:pStyle w:val="Text1"/>
        <w:rPr>
          <w:noProof/>
        </w:rPr>
      </w:pPr>
      <w:r>
        <w:rPr>
          <w:noProof/>
        </w:rPr>
        <w:t>През 2013 г. бяха приключени четири досиета.</w:t>
      </w:r>
    </w:p>
    <w:p>
      <w:pPr>
        <w:pStyle w:val="Point1number"/>
        <w:rPr>
          <w:noProof/>
        </w:rPr>
      </w:pPr>
      <w:r>
        <w:rPr>
          <w:b/>
          <w:noProof/>
        </w:rPr>
        <w:t>Германия, ураган „Кирил“ от 2007 г.</w:t>
      </w:r>
      <w:r>
        <w:rPr>
          <w:noProof/>
        </w:rPr>
        <w:t>: финансовата помощ от Фонда възлезе на 166,91 млн. евро. На 9 юли 2009 г. Германия представи своя доклад за усвояването на средства, включително 15 декларации за достоверност, издадени от германските провинции, засегнати от бурята. За целите на провеждания от нея одит Комисията изиска допълнителна информация от германските власти, която получи през май 2012 г. Германия заяви, че сумата от 9 778,59 EUR по-късно е била покрита от трета страна. Регламентът предвижда, че сумите, покрити от трета страна, трябва да бъдат върнати на Комисията. Тази сума беше възстановена на Комисията през април 2013 г. и случаят е приключен през май 2013 г.</w:t>
      </w:r>
    </w:p>
    <w:p>
      <w:pPr>
        <w:pStyle w:val="Point1number"/>
        <w:numPr>
          <w:ilvl w:val="2"/>
          <w:numId w:val="8"/>
        </w:numPr>
        <w:rPr>
          <w:noProof/>
        </w:rPr>
      </w:pPr>
      <w:r>
        <w:rPr>
          <w:b/>
          <w:noProof/>
        </w:rPr>
        <w:t>Франция, ураганът Клаус от 2009 г.</w:t>
      </w:r>
      <w:r>
        <w:rPr>
          <w:noProof/>
        </w:rPr>
        <w:t>: финансовата помощ от фонда възлезе на 109,38 млн. евро. Докладът за усвояването на средствата бе представен от Франция на 31 август 2011 г. Според вътрешния одит на френските власти декларираните недопустими разходи възлизаха на 1,105 млн. евро. Този размер по-късно беше коригиран на 1,066 млн. евро. Освен това оценката на Комисията показа, че от Франция следва да се изиска допълнителна информация във връзка с декларацията за достоверност. През август 2013 г. ГД „Бюджет“ на Европейската комисия започна процедура по прихващане на 1,066 млн. евро от плащането за French-European Regional Development Fund. Франция не повдигна възражение и прихващането беше извършено на 21 август 2013 г. Случаят беше приключен.</w:t>
      </w:r>
    </w:p>
    <w:p>
      <w:pPr>
        <w:pStyle w:val="Point1number"/>
        <w:numPr>
          <w:ilvl w:val="2"/>
          <w:numId w:val="8"/>
        </w:numPr>
        <w:rPr>
          <w:noProof/>
        </w:rPr>
      </w:pPr>
      <w:r>
        <w:rPr>
          <w:b/>
          <w:noProof/>
        </w:rPr>
        <w:t>Гърция, наводнението в Еврос през 2006 г.:</w:t>
      </w:r>
      <w:r>
        <w:rPr>
          <w:noProof/>
        </w:rPr>
        <w:t xml:space="preserve"> финансовата помощ от фонда възлезе на 9,31 млн. евро. Докладът за усвояването на средствата от Гърция беше получен в Комисията през юли 2009 г. През април 2010 г. и юни 2012 г. беше поискана допълнителна информация от Гърция. Гърция изпрати окончателните си отговори през април 2013 г., с което бяха разрешени всички неуредени въпроси във връзка с декларацията за достоверност. Случаят беше приключен през ноември 2013 г. </w:t>
      </w:r>
    </w:p>
    <w:p>
      <w:pPr>
        <w:pStyle w:val="Point1number"/>
        <w:numPr>
          <w:ilvl w:val="2"/>
          <w:numId w:val="8"/>
        </w:numPr>
        <w:rPr>
          <w:noProof/>
        </w:rPr>
      </w:pPr>
      <w:r>
        <w:rPr>
          <w:b/>
          <w:noProof/>
        </w:rPr>
        <w:t>Италия, земетресението в Абруцо от 2009 г.</w:t>
      </w:r>
      <w:r>
        <w:rPr>
          <w:noProof/>
        </w:rPr>
        <w:t>: финансовата помощ от фонда възлезе на 493,77 млн. евро. Докладът за усвояването на средствата беше получен от Комисията през януари 2011 г. Италия докладва за допустими разходи в размер на 919,98 млн. евро, превишавайки помощта от ФСЕС с 426,12 млн. евро. Като се има предвид размерът на помощта, Комисията извърши одит на този случай, а Европейската сметна палата извърши одит на изпълнението. Окончателният доклад за одита на изпълнението на Европейската сметна палата беше публикуван през февруари 2013 г. (Специален доклад № 24/2012). Окончателният одитен доклад на Комисията беше изпратен на Италия през май 2013 г. Установените в хода на одита на Комисията недопустими разходи бяха приспаднати. Дори след като Италия законооснователно изключи регламентираните разходи от декларираните суми, страната успя да обоснове достатъчни по размер редовни разходи, за да оправдае целия размер на финансовата помощ от фонда. Поради това направените констатации останаха без финансово отражение върху бюджета на ЕС и не се наложи възстановяване на европейски средства. Случаят беше приключен на 27 ноември 2013 г.</w:t>
      </w:r>
    </w:p>
    <w:p>
      <w:pPr>
        <w:pStyle w:val="Text1"/>
        <w:rPr>
          <w:noProof/>
        </w:rPr>
      </w:pPr>
      <w:r>
        <w:rPr>
          <w:noProof/>
        </w:rPr>
        <w:t>През 2013 г. Комисията също така получи девет нови доклада за усвояването на средствата по случаи, свързани с наводненията от 2010 г.: от Словакия, Полша, Чешката република, Унгария, Хърватия, Румъния и Словения. Хърватия и Чешката република подадоха своите доклади за бедствия, настъпили през пролетта и есента на 2010 г. Освен това Комисията получи доклад от Италия във връзка с наводненията във Венето от 2011 г. Оценката на тези доклади за усвояването на средства все още не е приключила в края на периода, разглеждан в настоящия годишен доклад.</w:t>
      </w:r>
    </w:p>
    <w:p>
      <w:pPr>
        <w:pStyle w:val="Heading1"/>
        <w:numPr>
          <w:ilvl w:val="0"/>
          <w:numId w:val="7"/>
        </w:numPr>
        <w:spacing w:before="240"/>
        <w:rPr>
          <w:noProof/>
          <w:color w:val="000000"/>
        </w:rPr>
      </w:pPr>
      <w:bookmarkStart w:id="20" w:name="_Toc409529450"/>
      <w:bookmarkStart w:id="21" w:name="_Toc412626148"/>
      <w:bookmarkStart w:id="22" w:name="_Toc368320075"/>
      <w:r>
        <w:rPr>
          <w:noProof/>
          <w:color w:val="000000"/>
        </w:rPr>
        <w:t>Предложение за изменение на Регламент (ЕО) № 2012/2002 на Съвета за създаване на фонд „Солидарност“ на Европейския съюз и заключения</w:t>
      </w:r>
      <w:bookmarkEnd w:id="20"/>
      <w:bookmarkEnd w:id="21"/>
    </w:p>
    <w:p>
      <w:pPr>
        <w:pStyle w:val="Text1"/>
        <w:rPr>
          <w:noProof/>
          <w:color w:val="000000"/>
        </w:rPr>
      </w:pPr>
      <w:r>
        <w:rPr>
          <w:noProof/>
          <w:color w:val="000000"/>
        </w:rPr>
        <w:t>Както и през предходните години, само малка част от получените заявления за помощ бяха свързани с големи бедствия (два от общо осем случая), докато останалите шест заявления се отнасяха до изключителни регионални бедствия или се основаваха на изключителната разпоредба „съседна страна“ . Както и в предишни години, оценката дали заявленията за регионални бедствия отговарят на определения в регламента критерий за изключителен характер на бедствието, се оказа трудна и времеемка задача.</w:t>
      </w:r>
    </w:p>
    <w:p>
      <w:pPr>
        <w:pStyle w:val="Text1"/>
        <w:rPr>
          <w:noProof/>
        </w:rPr>
      </w:pPr>
      <w:r>
        <w:rPr>
          <w:noProof/>
        </w:rPr>
        <w:t xml:space="preserve">Като цяло работата на фонд „Солидарност“ през 2013 г., както и опитът от предходните години потвърждава виждането на Комисията, че е възможно да бъдат постигнати съществени подобрения във функционирането на фонда, по-специално подобряване на способността му за по-добро реагиране, посредством адаптиране на ограничен брой разпоредби на регламента, като същевременно се запазят идеята и характерът на фонда и останат непроменени неговите финансови разпоредби и размерът на разрешените разходи. </w:t>
      </w:r>
    </w:p>
    <w:p>
      <w:pPr>
        <w:pStyle w:val="Text1"/>
        <w:rPr>
          <w:noProof/>
        </w:rPr>
      </w:pPr>
      <w:r>
        <w:rPr>
          <w:noProof/>
        </w:rPr>
        <w:t>Поради това, въз основа на своето съобщение от 2011 г., озаглавено „Бъдещето на фонд „Солидарност“ на Европейския съюз“</w:t>
      </w:r>
      <w:r>
        <w:rPr>
          <w:rStyle w:val="FootnoteReference"/>
          <w:noProof/>
        </w:rPr>
        <w:footnoteReference w:id="4"/>
      </w:r>
      <w:r>
        <w:rPr>
          <w:noProof/>
        </w:rPr>
        <w:t>, Комисията представи в средата на 2013 г. законодателно предложение за изменение на регламента</w:t>
      </w:r>
      <w:r>
        <w:rPr>
          <w:rStyle w:val="FootnoteReference"/>
          <w:noProof/>
        </w:rPr>
        <w:footnoteReference w:id="5"/>
      </w:r>
      <w:r>
        <w:rPr>
          <w:noProof/>
        </w:rPr>
        <w:t xml:space="preserve">. В предложението бяха включени по-специално елементи, насочени към подобряване на способността на Фонда за реагиране, към опростяване на достъпа до него с по-ясни критерии за това кой може да се възползва, опростяване на действащите правила, така че помощта да се изплаща по-бързо, въвеждане на възможността за авансови плащания, по-ясно определяне на допустимите разходи, по-специално по отношение на регионалните бедствия.Акцент бе поставен върху превенцията на бедствията и върху стратегиите за управление на риска на държавите членки, включително пълното прилагане на съответното законодателство на Съюза в областта на предотвратяването и управлението на риска от бедствия и използването на наличното финансиране от Съюза за съответните инвестиции. </w:t>
      </w:r>
    </w:p>
    <w:p>
      <w:pPr>
        <w:pStyle w:val="Text1"/>
        <w:rPr>
          <w:noProof/>
        </w:rPr>
      </w:pPr>
      <w:r>
        <w:rPr>
          <w:noProof/>
        </w:rPr>
        <w:t>Обсъжданията на предложението започнаха в края на ноември в Европейския парламент, а в Съвета през декември по време на литовското председателство. Преговорите приключиха по време на гръцкото председателство през 2014 г. Регламент (ЕС) № 661/2014 на Европейския парламент и на Съвета от 15 май 2014 година за изменение на Регламент (ЕО) № 2012/2002 на Съвета за създаване на фонд „Солидарност“ на Европейския съюз влезе в сила на 28 юни 2014 г. Резултатите ще бъдат представени в годишния доклад за 2014 г.</w:t>
      </w:r>
      <w:bookmarkEnd w:id="22"/>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Style w:val="FootnoteReference"/>
        </w:rPr>
      </w:pPr>
      <w:r>
        <w:rPr>
          <w:rStyle w:val="FootnoteReference"/>
        </w:rPr>
        <w:footnoteRef/>
      </w:r>
      <w:r>
        <w:tab/>
      </w:r>
      <w:r>
        <w:rPr>
          <w:rStyle w:val="FootnoteReference"/>
        </w:rPr>
        <w:t>Регламент на Европейския парламент и на Съвета за изменение на Регламент (ЕО) № 2012/2002 на Съвета за създаване на фонд „Солидарност“ на Европейския съюз, COM (2013) 522 final, 25.7.2013 г.</w:t>
      </w:r>
    </w:p>
  </w:footnote>
  <w:footnote w:id="2">
    <w:p>
      <w:pPr>
        <w:pStyle w:val="FootnoteText"/>
      </w:pPr>
      <w:r>
        <w:rPr>
          <w:rStyle w:val="FootnoteReference"/>
        </w:rPr>
        <w:footnoteRef/>
      </w:r>
      <w:r>
        <w:tab/>
        <w:t>Коригиращият бюджет (КБ) № 5 за 2013 г. включва мобилизирането на средства от ФСЕС в размер на 14 607 942 евро под формата на бюджетни кредити за поети задължения и за плащания, свързани с наводненията в Словения, Австрия и Хърватия през есента на 2012 г. ОВ L 327, 6.12.2013 г.</w:t>
      </w:r>
    </w:p>
  </w:footnote>
  <w:footnote w:id="3">
    <w:p>
      <w:pPr>
        <w:pStyle w:val="FootnoteText"/>
      </w:pPr>
      <w:r>
        <w:rPr>
          <w:rStyle w:val="FootnoteReference"/>
        </w:rPr>
        <w:footnoteRef/>
      </w:r>
      <w:r>
        <w:tab/>
        <w:t>Коригиращият бюджет (КБ) № 9 за 2013 г. се отнася до мобилизирането на средства от ФСЕС в размер на 400,5 млн. евро под формата на бюджетни кредити за поети задължения и 250 млн. като бюджетни кредити за плащания. Предложен от Комисията на 3 октомври 2013 г. (COM(2013)691), изменен от Съвета на 30 октомври 2013 г. и одобрен от Европейския парламент на 20 ноември 2013 г.  ОВ L 49, 19.2.2014 г.</w:t>
      </w:r>
    </w:p>
  </w:footnote>
  <w:footnote w:id="4">
    <w:p>
      <w:pPr>
        <w:pStyle w:val="FootnoteText"/>
        <w:rPr>
          <w:lang w:val="pt-PT"/>
        </w:rPr>
      </w:pPr>
      <w:r>
        <w:rPr>
          <w:rStyle w:val="FootnoteReference"/>
        </w:rPr>
        <w:footnoteRef/>
      </w:r>
      <w:r>
        <w:tab/>
        <w:t>COM(2011) 613 окончателен.</w:t>
      </w:r>
    </w:p>
  </w:footnote>
  <w:footnote w:id="5">
    <w:p>
      <w:pPr>
        <w:pStyle w:val="FootnoteText"/>
        <w:rPr>
          <w:lang w:val="fr-BE"/>
        </w:rPr>
      </w:pPr>
      <w:r>
        <w:rPr>
          <w:rStyle w:val="FootnoteReference"/>
        </w:rPr>
        <w:footnoteRef/>
      </w:r>
      <w:r>
        <w:tab/>
        <w:t>COM(2013) 522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0"/>
  </w:num>
  <w:num w:numId="9">
    <w:abstractNumId w:val="1"/>
    <w:lvlOverride w:ilvl="0">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oNotTrackMoves/>
  <w:defaultTabStop w:val="720"/>
  <w:hyphenationZone w:val="425"/>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6A246487E932415AAC31A7AA2C78B679"/>
    <w:docVar w:name="LW_CROSSREFERENCE" w:val="&lt;UNUSED&gt;"/>
    <w:docVar w:name="LW_DocType" w:val="NORMAL"/>
    <w:docVar w:name="LW_EMISSION" w:val="10.3.2015"/>
    <w:docVar w:name="LW_EMISSION_ISODATE" w:val="2015-03-10"/>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118"/>
    <w:docVar w:name="LW_REF.INTERNE" w:val="&lt;UNUSED&gt;"/>
    <w:docVar w:name="LW_SOUS.TITRE.OBJ.CP" w:val="&lt;UNUSED&gt;"/>
    <w:docVar w:name="LW_SUPERTITRE" w:val="&lt;UNUSED&gt;"/>
    <w:docVar w:name="LW_TITRE.OBJ.CP" w:val="\u1043?\u1086?\u1076?\u1080?\u1096?\u1077?\u1085? \u1076?\u1086?\u1082?\u1083?\u1072?\u1076? \u1079?\u1072? \u1092?\u1086?\u1085?\u1076? \u8222?\u1057?\u1086?\u1083?\u1080?\u1076?\u1072?\u1088?\u1085?\u1086?\u1089?\u1090?\u8220? \u1085?\u1072? \u1045?\u1074?\u1088?\u1086?\u1087?\u1077?\u1081?\u1089?\u1082?\u1080?\u1103? \u1089?\u1098?\u1102?\u1079? \u1079?\u1072? 2013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semiHidden/>
    <w:rPr>
      <w:rFonts w:ascii="Times New Roman" w:eastAsia="Times New Roman" w:hAnsi="Times New Roman"/>
      <w:b/>
      <w:bCs/>
      <w:sz w:val="24"/>
      <w:szCs w:val="26"/>
    </w:rPr>
  </w:style>
  <w:style w:type="character" w:customStyle="1" w:styleId="Heading3Char">
    <w:name w:val="Heading 3 Char"/>
    <w:link w:val="Heading3"/>
    <w:uiPriority w:val="9"/>
    <w:semiHidden/>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character" w:styleId="Hyperlink">
    <w:name w:val="Hyperlink"/>
    <w:uiPriority w:val="99"/>
    <w:rPr>
      <w:color w:val="0000FF"/>
      <w:u w:val="single"/>
      <w:shd w:val="clear" w:color="auto" w:fill="auto"/>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FooterChar">
    <w:name w:val="Footer Char"/>
    <w:link w:val="Footer"/>
    <w:uiPriority w:val="99"/>
    <w:rPr>
      <w:rFonts w:ascii="Times New Roman" w:eastAsia="Times New Roman" w:hAnsi="Times New Roman"/>
      <w:sz w:val="24"/>
      <w:szCs w:val="22"/>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rPr>
  </w:style>
  <w:style w:type="paragraph" w:customStyle="1" w:styleId="Point0number">
    <w:name w:val="Point 0 (number)"/>
    <w:basedOn w:val="Normal"/>
    <w:pPr>
      <w:numPr>
        <w:numId w:val="3"/>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3"/>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3"/>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3"/>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3"/>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3"/>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3"/>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3"/>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3"/>
      </w:numPr>
      <w:spacing w:before="120" w:after="120" w:line="240" w:lineRule="auto"/>
      <w:jc w:val="both"/>
    </w:pPr>
    <w:rPr>
      <w:rFonts w:ascii="Times New Roman" w:eastAsia="Times New Roman" w:hAnsi="Times New Roman"/>
      <w:sz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13</Pages>
  <Words>4507</Words>
  <Characters>24699</Characters>
  <Application>Microsoft Office Word</Application>
  <DocSecurity>0</DocSecurity>
  <Lines>493</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29085</CharactersWithSpaces>
  <SharedDoc>false</SharedDoc>
  <HLinks>
    <vt:vector size="42" baseType="variant">
      <vt:variant>
        <vt:i4>1966139</vt:i4>
      </vt:variant>
      <vt:variant>
        <vt:i4>38</vt:i4>
      </vt:variant>
      <vt:variant>
        <vt:i4>0</vt:i4>
      </vt:variant>
      <vt:variant>
        <vt:i4>5</vt:i4>
      </vt:variant>
      <vt:variant>
        <vt:lpwstr/>
      </vt:variant>
      <vt:variant>
        <vt:lpwstr>_Toc409529450</vt:lpwstr>
      </vt:variant>
      <vt:variant>
        <vt:i4>2031675</vt:i4>
      </vt:variant>
      <vt:variant>
        <vt:i4>32</vt:i4>
      </vt:variant>
      <vt:variant>
        <vt:i4>0</vt:i4>
      </vt:variant>
      <vt:variant>
        <vt:i4>5</vt:i4>
      </vt:variant>
      <vt:variant>
        <vt:lpwstr/>
      </vt:variant>
      <vt:variant>
        <vt:lpwstr>_Toc409529449</vt:lpwstr>
      </vt:variant>
      <vt:variant>
        <vt:i4>2031675</vt:i4>
      </vt:variant>
      <vt:variant>
        <vt:i4>26</vt:i4>
      </vt:variant>
      <vt:variant>
        <vt:i4>0</vt:i4>
      </vt:variant>
      <vt:variant>
        <vt:i4>5</vt:i4>
      </vt:variant>
      <vt:variant>
        <vt:lpwstr/>
      </vt:variant>
      <vt:variant>
        <vt:lpwstr>_Toc409529448</vt:lpwstr>
      </vt:variant>
      <vt:variant>
        <vt:i4>2031675</vt:i4>
      </vt:variant>
      <vt:variant>
        <vt:i4>20</vt:i4>
      </vt:variant>
      <vt:variant>
        <vt:i4>0</vt:i4>
      </vt:variant>
      <vt:variant>
        <vt:i4>5</vt:i4>
      </vt:variant>
      <vt:variant>
        <vt:lpwstr/>
      </vt:variant>
      <vt:variant>
        <vt:lpwstr>_Toc409529447</vt:lpwstr>
      </vt:variant>
      <vt:variant>
        <vt:i4>2031675</vt:i4>
      </vt:variant>
      <vt:variant>
        <vt:i4>14</vt:i4>
      </vt:variant>
      <vt:variant>
        <vt:i4>0</vt:i4>
      </vt:variant>
      <vt:variant>
        <vt:i4>5</vt:i4>
      </vt:variant>
      <vt:variant>
        <vt:lpwstr/>
      </vt:variant>
      <vt:variant>
        <vt:lpwstr>_Toc409529446</vt:lpwstr>
      </vt:variant>
      <vt:variant>
        <vt:i4>2031675</vt:i4>
      </vt:variant>
      <vt:variant>
        <vt:i4>8</vt:i4>
      </vt:variant>
      <vt:variant>
        <vt:i4>0</vt:i4>
      </vt:variant>
      <vt:variant>
        <vt:i4>5</vt:i4>
      </vt:variant>
      <vt:variant>
        <vt:lpwstr/>
      </vt:variant>
      <vt:variant>
        <vt:lpwstr>_Toc409529445</vt:lpwstr>
      </vt:variant>
      <vt:variant>
        <vt:i4>2031675</vt:i4>
      </vt:variant>
      <vt:variant>
        <vt:i4>2</vt:i4>
      </vt:variant>
      <vt:variant>
        <vt:i4>0</vt:i4>
      </vt:variant>
      <vt:variant>
        <vt:i4>5</vt:i4>
      </vt:variant>
      <vt:variant>
        <vt:lpwstr/>
      </vt:variant>
      <vt:variant>
        <vt:lpwstr>_Toc409529444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2015-02-04T13:49:00Z</cp:lastPrinted>
  <dcterms:created xsi:type="dcterms:W3CDTF">2015-02-04T14:42:00Z</dcterms:created>
  <dcterms:modified xsi:type="dcterms:W3CDTF">2015-03-04T16:14:00Z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