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368320076"/>
      <w:bookmarkStart w:id="1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C4C250E3B1B484B9072AC1076DC7CAB" style="width:451.25pt;height:393.5pt">
            <v:imagedata r:id="rId8" o:title=""/>
          </v:shape>
        </w:pict>
      </w:r>
    </w:p>
    <w:bookmarkEnd w:id="1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/>
          <w:b/>
          <w:smallCaps/>
          <w:noProof/>
        </w:rPr>
      </w:pPr>
      <w:bookmarkStart w:id="2" w:name="_GoBack"/>
      <w:bookmarkEnd w:id="0"/>
      <w:bookmarkEnd w:id="2"/>
    </w:p>
    <w:p>
      <w:pPr>
        <w:rPr>
          <w:rFonts w:ascii="Times New Roman" w:hAnsi="Times New Roman"/>
          <w:noProof/>
        </w:rPr>
      </w:pPr>
      <w:r>
        <w:rPr>
          <w:rFonts w:ascii="Times New Roman" w:hAnsi="Times New Roman"/>
          <w:b/>
          <w:smallCaps/>
          <w:noProof/>
        </w:rPr>
        <w:t xml:space="preserve">Приложение I: Фонд „Солидарност“ на ЕС — прагове за големи бедствия, приложими през </w:t>
      </w:r>
      <w:r>
        <w:rPr>
          <w:rFonts w:ascii="Times New Roman" w:hAnsi="Times New Roman"/>
          <w:b/>
          <w:smallCaps/>
          <w:noProof/>
          <w:u w:val="single"/>
        </w:rPr>
        <w:t>2013 г.</w:t>
      </w:r>
      <w:r>
        <w:rPr>
          <w:rFonts w:ascii="Times New Roman" w:hAnsi="Times New Roman"/>
          <w:b/>
          <w:smallCaps/>
          <w:noProof/>
          <w:u w:val="single"/>
        </w:rPr>
        <w:br/>
      </w:r>
      <w:r>
        <w:rPr>
          <w:rFonts w:ascii="Times New Roman" w:hAnsi="Times New Roman"/>
          <w:noProof/>
        </w:rPr>
        <w:t>(въз основа на данните на Евростат за брутния национален доход за 2011 г.)</w:t>
      </w:r>
    </w:p>
    <w:p>
      <w:pPr>
        <w:ind w:right="252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За мобилизирането на средства от фонд „Солидарност“ се прилагат прагове за отделните държави, определени като общите преки щети в размер на над 0,6 % от БНД или 3 млрд. евро по цени за 2002 г. въз основа на хармонизираните данни на ЕВРОСТАТ. Прилага се по-малката сума.</w:t>
      </w:r>
    </w:p>
    <w:p>
      <w:pPr>
        <w:spacing w:after="0"/>
        <w:ind w:right="169"/>
        <w:jc w:val="right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 xml:space="preserve"> (в млн. EUR)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680"/>
        <w:gridCol w:w="2455"/>
        <w:gridCol w:w="1680"/>
        <w:gridCol w:w="1920"/>
        <w:gridCol w:w="2285"/>
      </w:tblGrid>
      <w:tr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БНД 2011 г.*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t>1)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0,6 % от БНД*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Праг за голямо бедствие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за 2013*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АВСТРИЯ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299 685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1 798,112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1 798,112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БЕЛГИЯ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373 893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2 243,358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2 243,358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БЪЛГАРИЯ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37 475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224,850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224,850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КИПЪР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17 932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107,591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107,591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ЧЕШКА РЕПУБЛИКА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145 270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871,618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871,618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ГЕРМАНИЯ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2 640 910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15 845,460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3 678,755**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246 267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1 477,602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1 477,602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ЕСТОНИЯ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15 120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90,719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90,719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202 482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1 214,894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1 214,894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ИСПАНИЯ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1 041 900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6 251,400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3 678,755**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ФИНЛАНДИЯ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190 393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1 142,358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1 142,358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ФРАНЦИЯ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2 034 214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12 205,284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3 678,755**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ХЪРВАТСКА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43 301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259,805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259,805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УНГАРИЯ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94 876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569,258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569,258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ИРЛАНДИЯ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128 301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769,804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769,804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IS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ИСЛАНДИЯ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8 566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51,396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51,396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ИТАЛИЯ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1 567 632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9 405,793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3 678,755**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29 666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177,998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177,998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ЛЮКСЕМБУРГ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30 773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184,639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184,639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ЛАТВИЯ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20 319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121,912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121,912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ЧЕРНА ГОРА</w:t>
            </w:r>
            <w:r>
              <w:rPr>
                <w:rFonts w:ascii="Times New Roman" w:hAnsi="Times New Roman"/>
                <w:i/>
                <w:noProof/>
                <w:sz w:val="20"/>
                <w:vertAlign w:val="superscript"/>
              </w:rPr>
              <w:t>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3 234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19 405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19 405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МАЛТА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6 136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36,813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36,813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НИДЕРЛАНДИЯ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607 180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3 643,080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3 643,080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ПОЛША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354 282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2 125,691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2 125,691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ПОРТУГАЛИЯ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164 563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987,376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987,376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РУМЪНИЯ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129 607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777,644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777,644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SE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ШВЕЦИЯ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397 634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2 385,806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2 385,806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СЛОВЕНИЯ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35 670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214,021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214,021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СЛОВАКИЯ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67 587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405,524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405,524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TR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ТУРЦИЯ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416 062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2 496,370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2 496,370</w:t>
            </w:r>
          </w:p>
        </w:tc>
      </w:tr>
      <w:tr>
        <w:trPr>
          <w:trHeight w:val="28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ОБЕДИНЕНО КРАЛСТВО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1 773 819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10 642,914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3 678,755**</w:t>
            </w:r>
          </w:p>
        </w:tc>
      </w:tr>
    </w:tbl>
    <w:p>
      <w:pPr>
        <w:spacing w:after="0"/>
        <w:rPr>
          <w:rFonts w:ascii="Times New Roman" w:hAnsi="Times New Roman"/>
          <w:noProof/>
          <w:sz w:val="20"/>
          <w:szCs w:val="20"/>
        </w:rPr>
      </w:pPr>
    </w:p>
    <w:p>
      <w:pPr>
        <w:spacing w:after="0"/>
        <w:rPr>
          <w:rFonts w:ascii="Times New Roman" w:hAnsi="Times New Roman"/>
          <w:noProof/>
          <w:sz w:val="20"/>
          <w:szCs w:val="20"/>
        </w:rPr>
      </w:pPr>
    </w:p>
    <w:p>
      <w:pPr>
        <w:spacing w:after="0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* Закръглени стойности</w:t>
      </w:r>
    </w:p>
    <w:p>
      <w:pPr>
        <w:spacing w:after="0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</w:rPr>
        <w:t>**~ 3 млрд. EUR по цени за 2002 г.</w:t>
      </w:r>
    </w:p>
    <w:p>
      <w:pPr>
        <w:spacing w:after="0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vertAlign w:val="superscript"/>
        </w:rPr>
        <w:lastRenderedPageBreak/>
        <w:t>1</w:t>
      </w:r>
      <w:r>
        <w:rPr>
          <w:rFonts w:ascii="Times New Roman" w:hAnsi="Times New Roman"/>
          <w:noProof/>
          <w:sz w:val="18"/>
        </w:rPr>
        <w:t xml:space="preserve"> </w:t>
      </w:r>
      <w:r>
        <w:rPr>
          <w:noProof/>
        </w:rPr>
        <w:t xml:space="preserve"> Източник:</w:t>
      </w:r>
      <w:r>
        <w:rPr>
          <w:rFonts w:ascii="Times New Roman" w:hAnsi="Times New Roman"/>
          <w:noProof/>
          <w:sz w:val="18"/>
        </w:rPr>
        <w:t xml:space="preserve"> Евростат</w:t>
      </w:r>
    </w:p>
    <w:p>
      <w:pPr>
        <w:spacing w:after="0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vertAlign w:val="superscript"/>
        </w:rPr>
        <w:t>2</w:t>
      </w:r>
      <w:r>
        <w:rPr>
          <w:rFonts w:ascii="Times New Roman" w:hAnsi="Times New Roman"/>
          <w:noProof/>
          <w:sz w:val="18"/>
        </w:rPr>
        <w:t xml:space="preserve"> </w:t>
      </w:r>
      <w:r>
        <w:rPr>
          <w:noProof/>
        </w:rPr>
        <w:t xml:space="preserve"> Източник:</w:t>
      </w:r>
      <w:r>
        <w:rPr>
          <w:rFonts w:ascii="Times New Roman" w:hAnsi="Times New Roman"/>
          <w:noProof/>
          <w:sz w:val="18"/>
        </w:rPr>
        <w:t xml:space="preserve"> Липсват налични данни за БНД за Черна гора; вместо това са използвани данни за БВП, въз основа на базата данни AMECO (Годишна макроикономическа база данни на Генерална дирекция „Икономически и финансови въпроси“ и ГД „Икономически и финансови въпроси“).</w:t>
      </w:r>
    </w:p>
    <w:p>
      <w:pPr>
        <w:rPr>
          <w:rFonts w:ascii="Times New Roman" w:hAnsi="Times New Roman"/>
          <w:noProof/>
          <w:sz w:val="16"/>
          <w:szCs w:val="16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960" w:right="1418" w:bottom="1134" w:left="1320" w:header="138" w:footer="709" w:gutter="0"/>
          <w:pgNumType w:start="2"/>
          <w:cols w:space="708"/>
          <w:docGrid w:linePitch="360"/>
        </w:sectPr>
      </w:pPr>
    </w:p>
    <w:p>
      <w:pPr>
        <w:pStyle w:val="ManualHeading1"/>
        <w:spacing w:before="480" w:after="240"/>
        <w:jc w:val="center"/>
        <w:rPr>
          <w:noProof/>
        </w:rPr>
      </w:pPr>
      <w:bookmarkStart w:id="3" w:name="_Toc368320077"/>
      <w:r>
        <w:rPr>
          <w:noProof/>
        </w:rPr>
        <w:lastRenderedPageBreak/>
        <w:t xml:space="preserve">Приложение II: Фонд „Солидарност“ на ЕС — висящи заявления от 2012 г. и нови заявления, получени през </w:t>
      </w:r>
      <w:bookmarkEnd w:id="3"/>
      <w:r>
        <w:rPr>
          <w:noProof/>
        </w:rPr>
        <w:t xml:space="preserve">2013 г. </w:t>
      </w:r>
    </w:p>
    <w:tbl>
      <w:tblPr>
        <w:tblW w:w="145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>
        <w:trPr>
          <w:trHeight w:val="255"/>
        </w:trPr>
        <w:tc>
          <w:tcPr>
            <w:tcW w:w="2640" w:type="dxa"/>
            <w:shd w:val="clear" w:color="auto" w:fill="C4BC96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1320" w:type="dxa"/>
            <w:shd w:val="clear" w:color="auto" w:fill="C4BC96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2012</w:t>
            </w:r>
          </w:p>
        </w:tc>
        <w:tc>
          <w:tcPr>
            <w:tcW w:w="10560" w:type="dxa"/>
            <w:gridSpan w:val="8"/>
            <w:shd w:val="clear" w:color="auto" w:fill="C4BC96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2013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 заявител</w:t>
            </w:r>
          </w:p>
        </w:tc>
        <w:tc>
          <w:tcPr>
            <w:tcW w:w="1320" w:type="dxa"/>
            <w:shd w:val="clear" w:color="auto" w:fill="DDD9C3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RO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SI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HR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AT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PT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DE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AT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CZ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HU</w:t>
            </w:r>
          </w:p>
        </w:tc>
      </w:tr>
      <w:tr>
        <w:trPr>
          <w:trHeight w:val="690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Име и естество на бедствието</w:t>
            </w:r>
          </w:p>
        </w:tc>
        <w:tc>
          <w:tcPr>
            <w:tcW w:w="1320" w:type="dxa"/>
            <w:shd w:val="clear" w:color="auto" w:fill="DDD9C3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Суша &amp; горски пожари 2012 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Наводнения 2012 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Наводнения 2012 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t>наводнение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Lavamünd 2012 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Внезапни наводнения в Мадейра 2012 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Наводнения 2013 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Наводнения 2013 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Наводнения 2013 г.</w:t>
            </w:r>
          </w:p>
        </w:tc>
        <w:tc>
          <w:tcPr>
            <w:tcW w:w="1320" w:type="dxa"/>
            <w:shd w:val="clear" w:color="auto" w:fill="DDD9C3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Наводнения 2013 г.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Дата на първите щети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25.8.2012 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28.10.2012 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26.10.2012 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5.11.2012 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5.11.2012 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18.5.2013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30.5.2013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2.6.2013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4.6.2013 г.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Срок за подаване на заявлението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3.11.2012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6.1.2013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4.1.2013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14.1.2013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14.1.2013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27.7.2013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8.8.2013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11.8.2013 г.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13.8.2013 г.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Дата на подаване на заявлението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(получаване в Комисията)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2.11.2012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2.1.2013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3.1.2013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11.1.2013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14.1.2013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24.7.2013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6.8.2013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8.8.2013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13.8.2013 г.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Необходимата информация е налична в пълен обем към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30.5.2013 г.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28.2.2013 г.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28.2.2013 г.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Праг за голямо бедствие (в млн. евро)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735,487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214,021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259,805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1 798,112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987,376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3 678,755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1 798,112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871,618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569,258</w:t>
            </w:r>
          </w:p>
        </w:tc>
      </w:tr>
      <w:tr>
        <w:trPr>
          <w:trHeight w:val="300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преките щети, одобрен от Комисията (в млн. евро)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806,72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359,535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11,463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9,600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25,700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8 153,500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866,462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637,131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27,951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Съотношение щети/праг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109,69 %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167,99 %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4,41 %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0,53 %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2,60 %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221,64 %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48,19 %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73,10 %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4,91 %</w:t>
            </w:r>
          </w:p>
        </w:tc>
      </w:tr>
      <w:tr>
        <w:trPr>
          <w:trHeight w:val="28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noProof/>
              </w:rPr>
              <w:t>Разходи за допустими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операции (в млн. евро)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2,476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249,608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4,489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1,600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19,815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3 289,400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350,334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416,368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19,070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Съотношение допустими разходи/общ размер на щетите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0,31 %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69,43 %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39,16 %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16,67 %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77,10 %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40,34 %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40,43 %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65,35 %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68,23 %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Съотношение помощ/допустими разходи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5,64 %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6,38 %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15,00 %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10,96 %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6,18 %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3,83 %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Дял на помощта (% от общите щети)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0,31 %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3,92 %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2,50 %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2,50 %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4,42 %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2,50 %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2,50 %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</w:tr>
      <w:tr>
        <w:trPr>
          <w:trHeight w:val="450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Дата на решението за предоставяне на безвъзмездна помощ</w:t>
            </w:r>
          </w:p>
        </w:tc>
        <w:tc>
          <w:tcPr>
            <w:tcW w:w="1320" w:type="dxa"/>
            <w:shd w:val="clear" w:color="000000" w:fill="FFFFFF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9.12.2013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4.10.2013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3.10.2013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4.10.2013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9.12.2013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9.12.2013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9.12.2013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450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Дата на споразумението за усвояване на средствата (прието)</w:t>
            </w:r>
          </w:p>
        </w:tc>
        <w:tc>
          <w:tcPr>
            <w:tcW w:w="1320" w:type="dxa"/>
            <w:shd w:val="clear" w:color="000000" w:fill="FFFFFF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30.1.2014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15.10.2013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15.10.2013 г.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15.10.2013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7.2.2014 г.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22.1.2014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15.1.2014 г.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</w:tr>
      <w:tr>
        <w:trPr>
          <w:trHeight w:val="255"/>
        </w:trPr>
        <w:tc>
          <w:tcPr>
            <w:tcW w:w="2640" w:type="dxa"/>
            <w:shd w:val="clear" w:color="auto" w:fill="DDD9C3"/>
            <w:vAlign w:val="center"/>
            <w:hideMark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 (в евро)</w:t>
            </w:r>
          </w:p>
        </w:tc>
        <w:tc>
          <w:tcPr>
            <w:tcW w:w="1320" w:type="dxa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2 475 689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14 081 355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286 587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240 000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360 453 575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21 661 550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15 928 275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before="40" w:after="4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~</w:t>
            </w:r>
          </w:p>
        </w:tc>
      </w:tr>
    </w:tbl>
    <w:p>
      <w:pPr>
        <w:rPr>
          <w:rFonts w:ascii="Times New Roman" w:hAnsi="Times New Roman"/>
          <w:noProof/>
          <w:sz w:val="16"/>
          <w:szCs w:val="16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9" w:h="11907" w:orient="landscape"/>
          <w:pgMar w:top="720" w:right="960" w:bottom="1320" w:left="1134" w:header="138" w:footer="709" w:gutter="0"/>
          <w:cols w:space="708"/>
          <w:docGrid w:linePitch="360"/>
        </w:sectPr>
      </w:pPr>
    </w:p>
    <w:p>
      <w:pPr>
        <w:pStyle w:val="ManualHeading1"/>
        <w:jc w:val="center"/>
        <w:rPr>
          <w:rFonts w:eastAsia="Calibri"/>
          <w:smallCaps w:val="0"/>
          <w:noProof/>
          <w:sz w:val="20"/>
          <w:szCs w:val="20"/>
        </w:rPr>
      </w:pPr>
      <w:bookmarkStart w:id="4" w:name="_CopyToNewDocument_"/>
      <w:bookmarkStart w:id="5" w:name="_Toc368320078"/>
      <w:bookmarkEnd w:id="4"/>
      <w:r>
        <w:rPr>
          <w:noProof/>
        </w:rPr>
        <w:t>Приложение III: Фонд „Солидарност“ на ЕС — заявления, постъпили от 2002 г. насам</w:t>
      </w:r>
      <w:bookmarkEnd w:id="5"/>
      <w:r>
        <w:rPr>
          <w:noProof/>
        </w:rPr>
        <w:br/>
      </w:r>
    </w:p>
    <w:tbl>
      <w:tblPr>
        <w:tblW w:w="5000" w:type="pc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"/>
        <w:gridCol w:w="416"/>
        <w:gridCol w:w="842"/>
        <w:gridCol w:w="2259"/>
        <w:gridCol w:w="1167"/>
        <w:gridCol w:w="1688"/>
        <w:gridCol w:w="1758"/>
      </w:tblGrid>
      <w:tr>
        <w:trPr>
          <w:trHeight w:val="358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(в млн. евро)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(в млн. евро)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2 900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134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2 300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(Le Gard)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9 100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444</w:t>
            </w:r>
          </w:p>
        </w:tc>
      </w:tr>
      <w:tr>
        <w:trPr>
          <w:trHeight w:val="260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от 2002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728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Разлив на петрол (танкер „Престиж“)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8,626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 (Молизе/Апулия)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1 558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30,826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Изригване на вулкан (Етна)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16,798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(Северна Италия)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(1 900)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(Голямо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Сурова зима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(не са уточнени)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(Голямо бедствие/неясни)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1 228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48,539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(Южна Франция)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531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(на границата с Португалия)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1,331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0,961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(Friuli Venezia-Giulia)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(525)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210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от 2003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107,081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(делтата на Рона)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19,625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(Малага)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(73)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3-9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(7 заявления)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(480)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Всичките 7 заявления са отхвърлени </w:t>
            </w:r>
          </w:p>
        </w:tc>
      </w:tr>
      <w:tr>
        <w:trPr>
          <w:trHeight w:val="404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(29)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410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(13)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Оттеглено</w:t>
            </w:r>
          </w:p>
        </w:tc>
      </w:tr>
      <w:tr>
        <w:trPr>
          <w:trHeight w:val="124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от 2004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19,625</w:t>
            </w:r>
          </w:p>
        </w:tc>
      </w:tr>
      <w:t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 (Татрас)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5,668 </w:t>
            </w:r>
          </w:p>
        </w:tc>
      </w:tr>
      <w:t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(Сардиния)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(223, завишени) 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EE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1,29</w:t>
            </w:r>
          </w:p>
        </w:tc>
      </w:tr>
      <w:t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9,487</w:t>
            </w:r>
          </w:p>
        </w:tc>
      </w:tr>
      <w:tr>
        <w:trPr>
          <w:trHeight w:val="404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SE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 „Гудрун“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2 297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81,725 </w:t>
            </w:r>
          </w:p>
        </w:tc>
      </w:tr>
      <w:tr>
        <w:trPr>
          <w:trHeight w:val="27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0,379</w:t>
            </w:r>
          </w:p>
        </w:tc>
      </w:tr>
      <w:tr>
        <w:trPr>
          <w:trHeight w:val="397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Наводнения в Еврос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(112)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Пролетни наводнения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489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18,798</w:t>
            </w:r>
          </w:p>
        </w:tc>
      </w:tr>
      <w:tr>
        <w:trPr>
          <w:trHeight w:val="525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Пролетни наводнения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9,722</w:t>
            </w:r>
          </w:p>
        </w:tc>
      </w:tr>
      <w:tr>
        <w:trPr>
          <w:trHeight w:val="533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Летни наводнения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10,632</w:t>
            </w:r>
          </w:p>
        </w:tc>
      </w:tr>
      <w:tr>
        <w:trPr>
          <w:trHeight w:val="124"/>
        </w:trPr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Летни наводнения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1 050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52,4</w:t>
            </w:r>
          </w:p>
        </w:tc>
      </w:tr>
      <w:tr>
        <w:trPr>
          <w:trHeight w:val="124"/>
        </w:trPr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(Тирол/Форарлберг)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14,799</w:t>
            </w:r>
          </w:p>
        </w:tc>
      </w:tr>
      <w:tr>
        <w:trPr>
          <w:trHeight w:val="124"/>
        </w:trPr>
        <w:tc>
          <w:tcPr>
            <w:tcW w:w="23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2005 г.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204,905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5007" w:type="pc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"/>
        <w:gridCol w:w="860"/>
        <w:gridCol w:w="417"/>
        <w:gridCol w:w="115"/>
        <w:gridCol w:w="21"/>
        <w:gridCol w:w="698"/>
        <w:gridCol w:w="144"/>
        <w:gridCol w:w="2285"/>
        <w:gridCol w:w="1235"/>
        <w:gridCol w:w="1432"/>
        <w:gridCol w:w="1796"/>
      </w:tblGrid>
      <w:tr>
        <w:trPr>
          <w:trHeight w:val="358"/>
        </w:trPr>
        <w:tc>
          <w:tcPr>
            <w:tcW w:w="3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64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(в млн. евро)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(в млн. евро)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</w:t>
            </w: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Експлозия в склада за петрол „Бънсфийлд“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(700)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Оттеглено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в Еврос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9,306 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519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15,064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в Галиция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(91)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23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2006 г.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24,370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</w:t>
            </w: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 „Кирил“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4750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166,9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La Réunion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Циклон „Гамед“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5,29 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 Ел Хиеро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(18)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 Ла Манча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(66)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4612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162,387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(38)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на Канарските острови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(144)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8-16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 заявления за горски пожари в 9 района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—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Недопустимо, пропуснат краен срок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 „Дийн“ (Мартиника)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509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12,78 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2 118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sz w:val="20"/>
              </w:rPr>
              <w:t>89,769</w:t>
            </w:r>
          </w:p>
        </w:tc>
      </w:tr>
      <w:tr>
        <w:trPr>
          <w:trHeight w:val="124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8,254 </w:t>
            </w:r>
          </w:p>
        </w:tc>
      </w:tr>
      <w:tr>
        <w:trPr>
          <w:trHeight w:val="124"/>
        </w:trPr>
        <w:tc>
          <w:tcPr>
            <w:tcW w:w="23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2007 г.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445,380</w:t>
            </w:r>
          </w:p>
        </w:tc>
      </w:tr>
      <w:tr>
        <w:trPr>
          <w:trHeight w:val="661"/>
        </w:trPr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</w:t>
            </w: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Суша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165,4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7,605</w:t>
            </w:r>
          </w:p>
        </w:tc>
      </w:tr>
      <w:tr>
        <w:trPr>
          <w:trHeight w:val="560"/>
        </w:trPr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471,4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napToGrid w:val="0"/>
                <w:sz w:val="20"/>
              </w:rPr>
              <w:t xml:space="preserve">11,785 </w:t>
            </w:r>
          </w:p>
        </w:tc>
      </w:tr>
      <w:tr>
        <w:trPr>
          <w:trHeight w:val="124"/>
        </w:trPr>
        <w:tc>
          <w:tcPr>
            <w:tcW w:w="23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2008 г.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19,390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Ураган „Клаус“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3 805,5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109,377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 в Абруцо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10 212.0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493,771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(152,8)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Урагани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(2,6)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Гърция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Наводнения в Евия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(83,2)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Кални свлачища в Месина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(598,9)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2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2009 г.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603,148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2009 г.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520,9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13,022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 Тоскана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(211,7)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 Андалусия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(709,7)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Кални свлачища и свличания на земна маса в Мадейра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1 080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31,256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Ураган „Синтия“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1 425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35,636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649,9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20,431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2 993.7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105,567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пролетта)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Съседна страна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5,111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719,3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22,486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337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43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пролетта)</w:t>
            </w:r>
          </w:p>
        </w:tc>
        <w:tc>
          <w:tcPr>
            <w:tcW w:w="7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153,04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Съседна страна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3,826</w:t>
            </w:r>
          </w:p>
        </w:tc>
      </w:tr>
    </w:tbl>
    <w:p>
      <w:pPr>
        <w:rPr>
          <w:noProof/>
        </w:rPr>
      </w:pPr>
    </w:p>
    <w:tbl>
      <w:tblPr>
        <w:tblW w:w="5002" w:type="pc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"/>
        <w:gridCol w:w="426"/>
        <w:gridCol w:w="545"/>
        <w:gridCol w:w="66"/>
        <w:gridCol w:w="2168"/>
        <w:gridCol w:w="1183"/>
        <w:gridCol w:w="17"/>
        <w:gridCol w:w="1940"/>
        <w:gridCol w:w="1789"/>
      </w:tblGrid>
      <w:tr>
        <w:trPr>
          <w:trHeight w:val="358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0"/>
              </w:rPr>
              <w:t>Година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Държава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Естество на бедствието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Щети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(в млн. евро)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Категория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Отпусната помощ</w:t>
            </w:r>
          </w:p>
          <w:p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(в млн. евро)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във Вар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703-778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875,75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24,968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есента)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436,5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10,912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Наводнение в Саксония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(937,7)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есента)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1,175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(през есента)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251,3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7,460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43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Разлив на червена кал 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(174,32)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2010 г.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281,849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Наводнение във Венето от 2010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676,36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16,909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Земетресение в Лорка от 2011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842,84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21,071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Взрив във военноморската база от 2011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(357)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(Голямо бедствие/неспадащо към природните бедствия)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в Лигурия и Тоскана от 2011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722,5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Регионално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18,062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2011 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56,042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Сурови метеорологични условия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(2 735)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Поредица от земетресения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13 274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670,192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Горски пожари във Валенсия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(155,7)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Пожари на Канарските острови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(72,2)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Суша и горски пожари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806,7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2,475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Пожари в Малага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>(22,43)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Оттеглено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в Андалусия, Мурсия и Валенсия 2012 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</w:rPr>
              <w:t>(409)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Lines="20" w:before="48" w:after="2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2012 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672,667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b/>
                <w:noProof/>
                <w:sz w:val="20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SI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359,5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14,081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11,5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0,287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2012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9,6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0,240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Кални свлачища и свличания на земна маса </w:t>
            </w:r>
            <w:r>
              <w:rPr>
                <w:noProof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в Мадейра, 2012 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(25,7)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8 153,500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Голямо бедствие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360,454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866,4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21,662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CZ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637,1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Съседна страна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15,928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5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20" w:afterLines="20" w:after="48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Наводнения 2013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(28)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(Регионално бедствие)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Отхвърлено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2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 размер на помощта по заявленията за 2013 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="20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412,652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31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 xml:space="preserve">ВСИЧКО одобрена помощ от 2002 г. досега 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>
            <w:pPr>
              <w:spacing w:before="20" w:afterLines="20" w:after="48" w:line="240" w:lineRule="auto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t>3 575,119000 млн. евро</w:t>
            </w:r>
          </w:p>
        </w:tc>
      </w:tr>
    </w:tbl>
    <w:p>
      <w:pPr>
        <w:rPr>
          <w:rFonts w:ascii="Times New Roman" w:hAnsi="Times New Roman"/>
          <w:noProof/>
          <w:sz w:val="16"/>
          <w:szCs w:val="16"/>
        </w:rPr>
      </w:pPr>
    </w:p>
    <w:p>
      <w:pPr>
        <w:pStyle w:val="ManualHeading1"/>
        <w:jc w:val="center"/>
        <w:rPr>
          <w:noProof/>
        </w:rPr>
      </w:pPr>
    </w:p>
    <w:sectPr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1134" w:right="1417" w:bottom="1134" w:left="170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BC4C250E3B1B484B9072AC1076DC7CAB"/>
    <w:docVar w:name="LW_CROSSREFERENCE" w:val="&lt;UNUSED&gt;"/>
    <w:docVar w:name="LW_DocType" w:val="NORMAL"/>
    <w:docVar w:name="LW_EMISSION" w:val="10.3.2015"/>
    <w:docVar w:name="LW_EMISSION_ISODATE" w:val="2015-03-10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77?\u1085? \u1076?\u1086?\u1082?\u1083?\u1072?\u1076? \u1079?\u1072? \u1092?\u1086?\u1085?\u1076? \u8222?\u1057?\u1086?\u1083?\u1080?\u1076?\u1072?\u1088?\u1085?\u1086?\u1089?\u1090?\u8220? \u1085?\u1072? \u1045?\u1074?\u1088?\u1086?\u1087?\u1077?\u1081?\u1089?\u1082?\u1080?\u1103? \u1089?\u1098?\u1102?\u1079? \u1079?\u1072? 2013 \u1075?.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11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Heading1">
    <w:name w:val="Manual Heading 1"/>
    <w:basedOn w:val="Normal"/>
    <w:next w:val="Normal"/>
    <w:link w:val="ManualHeading1Char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</w:rPr>
  </w:style>
  <w:style w:type="character" w:customStyle="1" w:styleId="ManualHeading1Char">
    <w:name w:val="Manual Heading 1 Char"/>
    <w:link w:val="ManualHeading1"/>
    <w:rPr>
      <w:rFonts w:ascii="Times New Roman" w:eastAsia="Times New Roman" w:hAnsi="Times New Roman"/>
      <w:b/>
      <w:smallCaps/>
      <w:sz w:val="24"/>
      <w:szCs w:val="24"/>
      <w:lang w:eastAsia="bg-BG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Heading1">
    <w:name w:val="Manual Heading 1"/>
    <w:basedOn w:val="Normal"/>
    <w:next w:val="Normal"/>
    <w:link w:val="ManualHeading1Char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/>
      <w:sz w:val="24"/>
    </w:rPr>
  </w:style>
  <w:style w:type="character" w:customStyle="1" w:styleId="ManualHeading1Char">
    <w:name w:val="Manual Heading 1 Char"/>
    <w:link w:val="ManualHeading1"/>
    <w:rPr>
      <w:rFonts w:ascii="Times New Roman" w:eastAsia="Times New Roman" w:hAnsi="Times New Roman"/>
      <w:b/>
      <w:smallCaps/>
      <w:sz w:val="24"/>
      <w:szCs w:val="24"/>
      <w:lang w:eastAsia="bg-BG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4566-7BD8-4B12-AE35-260F489B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1916</Words>
  <Characters>9486</Characters>
  <Application>Microsoft Office Word</Application>
  <DocSecurity>0</DocSecurity>
  <Lines>1355</Lines>
  <Paragraphs>1140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 Ioana (REGIO)</dc:creator>
  <cp:lastModifiedBy>DIGIT/A3</cp:lastModifiedBy>
  <cp:revision>8</cp:revision>
  <cp:lastPrinted>2014-11-27T15:53:00Z</cp:lastPrinted>
  <dcterms:created xsi:type="dcterms:W3CDTF">2015-02-25T08:38:00Z</dcterms:created>
  <dcterms:modified xsi:type="dcterms:W3CDTF">2015-03-04T16:16:00Z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