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30BB96638EA14037916EC6192D39C846" style="width:450.75pt;height:41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2013/0165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относно приемането на регламент на Европейския парламент и на Съвета относно изискванията за одобряване на типа по отношение на внедряването на бордовата система eCall и за изменение на Директива 2007/46/ЕО</w:t>
      </w:r>
    </w:p>
    <w:p>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Дата на предаване на предложението на Европейския парламент и на Съвета (документ COM(2013) 316 final — 2013/0165 (COD):</w:t>
            </w:r>
          </w:p>
        </w:tc>
        <w:tc>
          <w:tcPr>
            <w:tcW w:w="2483" w:type="dxa"/>
          </w:tcPr>
          <w:p>
            <w:pPr>
              <w:jc w:val="left"/>
              <w:rPr>
                <w:noProof/>
              </w:rPr>
            </w:pPr>
            <w:r>
              <w:rPr>
                <w:noProof/>
                <w:color w:val="000000"/>
              </w:rPr>
              <w:t>13 юни 2013 г.</w:t>
            </w:r>
          </w:p>
        </w:tc>
      </w:tr>
      <w:tr>
        <w:tc>
          <w:tcPr>
            <w:tcW w:w="6804" w:type="dxa"/>
          </w:tcPr>
          <w:p>
            <w:pPr>
              <w:rPr>
                <w:noProof/>
              </w:rPr>
            </w:pPr>
            <w:r>
              <w:rPr>
                <w:noProof/>
              </w:rPr>
              <w:t>Дата на становището на Европейския икономически и социален комитет:</w:t>
            </w:r>
          </w:p>
        </w:tc>
        <w:tc>
          <w:tcPr>
            <w:tcW w:w="2483" w:type="dxa"/>
          </w:tcPr>
          <w:p>
            <w:pPr>
              <w:jc w:val="left"/>
              <w:rPr>
                <w:noProof/>
              </w:rPr>
            </w:pPr>
            <w:r>
              <w:rPr>
                <w:noProof/>
              </w:rPr>
              <w:t>19 септември 2013 г.</w:t>
            </w:r>
          </w:p>
        </w:tc>
      </w:tr>
      <w:tr>
        <w:tc>
          <w:tcPr>
            <w:tcW w:w="6804" w:type="dxa"/>
          </w:tcPr>
          <w:p>
            <w:pPr>
              <w:rPr>
                <w:noProof/>
              </w:rPr>
            </w:pPr>
            <w:r>
              <w:rPr>
                <w:noProof/>
              </w:rPr>
              <w:t>Дата на становището на Европейския надзорен орган по защита на данните:</w:t>
            </w:r>
          </w:p>
          <w:p>
            <w:pPr>
              <w:rPr>
                <w:noProof/>
              </w:rPr>
            </w:pPr>
            <w:r>
              <w:rPr>
                <w:noProof/>
              </w:rPr>
              <w:t>Дата на становището на Европейския парламент на първо четене:</w:t>
            </w:r>
          </w:p>
        </w:tc>
        <w:tc>
          <w:tcPr>
            <w:tcW w:w="2483" w:type="dxa"/>
          </w:tcPr>
          <w:p>
            <w:pPr>
              <w:jc w:val="left"/>
              <w:rPr>
                <w:noProof/>
              </w:rPr>
            </w:pPr>
            <w:r>
              <w:rPr>
                <w:noProof/>
              </w:rPr>
              <w:t>29 октомври 2013 г.</w:t>
            </w:r>
          </w:p>
          <w:p>
            <w:pPr>
              <w:jc w:val="left"/>
              <w:rPr>
                <w:noProof/>
              </w:rPr>
            </w:pPr>
            <w:r>
              <w:rPr>
                <w:noProof/>
              </w:rPr>
              <w:t>26 февруари 2014 г.</w:t>
            </w:r>
          </w:p>
        </w:tc>
      </w:tr>
      <w:tr>
        <w:tc>
          <w:tcPr>
            <w:tcW w:w="6804" w:type="dxa"/>
          </w:tcPr>
          <w:p>
            <w:pPr>
              <w:rPr>
                <w:noProof/>
              </w:rPr>
            </w:pPr>
            <w:r>
              <w:rPr>
                <w:noProof/>
              </w:rPr>
              <w:t>Дата на приемане на позицията на Съвета:</w:t>
            </w:r>
          </w:p>
        </w:tc>
        <w:tc>
          <w:tcPr>
            <w:tcW w:w="2483" w:type="dxa"/>
          </w:tcPr>
          <w:p>
            <w:pPr>
              <w:jc w:val="left"/>
              <w:rPr>
                <w:noProof/>
                <w:highlight w:val="yellow"/>
              </w:rPr>
            </w:pPr>
            <w:r>
              <w:rPr>
                <w:noProof/>
              </w:rPr>
              <w:t>2 март 2015 г.</w:t>
            </w:r>
          </w:p>
        </w:tc>
      </w:tr>
    </w:tbl>
    <w:p>
      <w:pPr>
        <w:pStyle w:val="ManualHeading1"/>
        <w:rPr>
          <w:noProof/>
        </w:rPr>
      </w:pPr>
      <w:r>
        <w:rPr>
          <w:noProof/>
        </w:rPr>
        <w:t>2.</w:t>
      </w:r>
      <w:r>
        <w:rPr>
          <w:noProof/>
        </w:rPr>
        <w:tab/>
        <w:t>ЦЕЛ НА ПРЕДЛОЖЕНИЕТО НА КОМИСИЯТА</w:t>
      </w:r>
    </w:p>
    <w:p>
      <w:pPr>
        <w:rPr>
          <w:noProof/>
        </w:rPr>
      </w:pPr>
      <w:r>
        <w:rPr>
          <w:noProof/>
        </w:rPr>
        <w:t>Целта на предложението на Комисията е задължителното внедряване на бордовата система eCall в нови типове леки автомобили и микробуси в рамките на одобряването на типа за моторни превозни средства, като се установи изискване тези превозни средства да бъдат конструирани така, че да се осигури автоматично осъществяване на спешно повикване към общия европейски номер за спешни повиквания 112 в случай на тежко пътнотранспортно произшествие. Това ще допринесе значително за намаляване на броя на пострадалите и броя на смъртните случаи при такива произшествия.</w:t>
      </w:r>
    </w:p>
    <w:p>
      <w:pPr>
        <w:pStyle w:val="ManualHeading1"/>
        <w:rPr>
          <w:noProof/>
        </w:rPr>
      </w:pPr>
      <w:r>
        <w:rPr>
          <w:noProof/>
        </w:rPr>
        <w:t>3.</w:t>
      </w:r>
      <w:r>
        <w:rPr>
          <w:noProof/>
        </w:rPr>
        <w:tab/>
        <w:t>КОМЕНТАРИ ОТНОСНО ПОЗИЦИЯТА НА СЪВЕТА</w:t>
      </w:r>
    </w:p>
    <w:p>
      <w:pPr>
        <w:tabs>
          <w:tab w:val="left" w:pos="851"/>
        </w:tabs>
        <w:rPr>
          <w:noProof/>
        </w:rPr>
      </w:pPr>
      <w:r>
        <w:rPr>
          <w:b/>
          <w:noProof/>
        </w:rPr>
        <w:t>3.1.</w:t>
      </w:r>
      <w:r>
        <w:rPr>
          <w:noProof/>
        </w:rPr>
        <w:tab/>
      </w:r>
      <w:r>
        <w:rPr>
          <w:b/>
          <w:noProof/>
        </w:rPr>
        <w:t>Общи бележки</w:t>
      </w:r>
    </w:p>
    <w:p>
      <w:pPr>
        <w:widowControl w:val="0"/>
        <w:rPr>
          <w:noProof/>
        </w:rPr>
      </w:pPr>
      <w:r>
        <w:rPr>
          <w:noProof/>
        </w:rPr>
        <w:t xml:space="preserve">Комисията приветства политическото съгласие по компромисен вариант на текста, постигнато на 1 декември 2014 г. от Съвета и комисията по вътрешния пазар и защита на потребителите на Парламента. Приемането на позицията на Съвета на първо четене и гласуването на пленарно заседание в Европейския парламент през април или май 2015 г. следва да доведат до окончателното приемане на текста. От гледна точка на Комисията постигнатият компромис е разумен и може да бъде подкрепен. </w:t>
      </w:r>
    </w:p>
    <w:p>
      <w:pPr>
        <w:widowControl w:val="0"/>
        <w:tabs>
          <w:tab w:val="left" w:pos="851"/>
        </w:tabs>
        <w:rPr>
          <w:b/>
          <w:noProof/>
        </w:rPr>
      </w:pPr>
      <w:r>
        <w:rPr>
          <w:b/>
          <w:noProof/>
        </w:rPr>
        <w:lastRenderedPageBreak/>
        <w:t>3.2.</w:t>
      </w:r>
      <w:r>
        <w:rPr>
          <w:noProof/>
        </w:rPr>
        <w:tab/>
      </w:r>
      <w:r>
        <w:rPr>
          <w:b/>
          <w:noProof/>
        </w:rPr>
        <w:t>Коментари по измененията, приети от Европейския парламент</w:t>
      </w:r>
    </w:p>
    <w:p>
      <w:pPr>
        <w:widowControl w:val="0"/>
        <w:tabs>
          <w:tab w:val="left" w:pos="851"/>
        </w:tabs>
        <w:ind w:left="851" w:hanging="851"/>
        <w:rPr>
          <w:i/>
          <w:noProof/>
        </w:rPr>
      </w:pPr>
      <w:r>
        <w:rPr>
          <w:i/>
          <w:noProof/>
        </w:rPr>
        <w:t>3.2.1.</w:t>
      </w:r>
      <w:r>
        <w:rPr>
          <w:noProof/>
        </w:rPr>
        <w:tab/>
      </w:r>
      <w:r>
        <w:rPr>
          <w:i/>
          <w:noProof/>
        </w:rPr>
        <w:t>Изменения на Европейския парламент, включени изцяло, частично или принципно в позицията на Съвета на първо четене</w:t>
      </w:r>
    </w:p>
    <w:p>
      <w:pPr>
        <w:widowControl w:val="0"/>
        <w:rPr>
          <w:noProof/>
        </w:rPr>
      </w:pPr>
      <w:r>
        <w:rPr>
          <w:noProof/>
        </w:rPr>
        <w:t xml:space="preserve">Позицията на Съвета на първо четене включва голяма част от измененията, внесени от Европейския парламент, и по-конкретно повечето от предложените допълнителни съображения, изричното позоваване на бордовата система eCall, основаваща се на номер 112, изискването системата eCall да бъде трайно монтирана в превозното средство и да предупреждава пътниците в превозното средство в случай на критична повреда в системата. </w:t>
      </w:r>
    </w:p>
    <w:p>
      <w:pPr>
        <w:widowControl w:val="0"/>
        <w:rPr>
          <w:bCs/>
          <w:noProof/>
          <w:szCs w:val="24"/>
        </w:rPr>
      </w:pPr>
      <w:r>
        <w:rPr>
          <w:noProof/>
        </w:rPr>
        <w:t xml:space="preserve">Съветът въведе и допълнителни изисквания в областта на неприкосновеността на личния живот и защитата на данните, с които се забранява използването на лични данни за цели извън необходимото за функционирането на системата eCall, както и съхраняването на данни по-продължително от минимално необходимото за функционирането на системата eCall. Разпоредбите станаха още по-подробни след включването на голяма част от измененията, внесени от Европейския парламент в това отношение (напр. автоматично и непрекъснато изтриване на данни, забрана за предаване на данни извън превозното средство преди задействане на системата eCall, забрана за обмен на данни между бордовите системи и др.). Освен това, въз основа на оценката на всяко отделно изискване беше постигнат разумен компромис относно съгласуваното използване на делегираните актове и актовете за изпълнение. Това може да бъде подкрепено от Комисията. </w:t>
      </w:r>
    </w:p>
    <w:p>
      <w:pPr>
        <w:widowControl w:val="0"/>
        <w:rPr>
          <w:noProof/>
        </w:rPr>
      </w:pPr>
      <w:r>
        <w:rPr>
          <w:noProof/>
          <w:color w:val="000000"/>
        </w:rPr>
        <w:t xml:space="preserve">Освен това Съветът ограничи срока на делегиране на 5 години, считано от датата на влизане в сила на регламента, без възможност за мълчаливо подновяване. Впоследствие, като компромис, той прие идеята за такова мълчаливо подновяване. Въпреки че Комисията би предпочела делегирането на правомощия да става за неопределен период от време, това решение може да бъде подкрепено като част от цялостната идея. </w:t>
      </w:r>
    </w:p>
    <w:p>
      <w:pPr>
        <w:widowControl w:val="0"/>
        <w:rPr>
          <w:noProof/>
        </w:rPr>
      </w:pPr>
      <w:r>
        <w:rPr>
          <w:noProof/>
        </w:rPr>
        <w:t xml:space="preserve">Относно достъпа на независими оператори до системата eCall с цел ремонт и поддръжка, Съветът въведе препратка към разпоредбите на Регламент (ЕО) № 715/2007 и възможността производителите да начисляват такса, като в същото време се съгласи с предложените от Европейския парламент допълнителни пояснения, че тази такса следва да бъде в разумни граници и да не надхвърля определена сума. Като се има предвид, че това решение не се отклонява от приложимите правила на ЕС относно достъпа на независимите оператори, Комисията може да го подкрепи като част от цялостната идея. </w:t>
      </w:r>
    </w:p>
    <w:p>
      <w:pPr>
        <w:widowControl w:val="0"/>
        <w:rPr>
          <w:noProof/>
          <w:highlight w:val="yellow"/>
        </w:rPr>
      </w:pPr>
      <w:r>
        <w:rPr>
          <w:noProof/>
        </w:rPr>
        <w:t>Съветът прие изменението на Европейския парламент, с което Комисията се призовава да извърши — след проучване на разходите и ползите и след широки консултации със заинтересованите страни — оценка на необходимостта от изисквания за оперативно съвместима, стандартизирана и сигурна платформа с открит достъп и, ако е целесъобразно, да приеме законодателна инициатива въз основа на тези изисквания. Този аспект не е част от първоначалното предложение на Комисията, но може да бъде подкрепен като част от цялостната идея.</w:t>
      </w:r>
    </w:p>
    <w:p>
      <w:pPr>
        <w:spacing w:after="0"/>
        <w:rPr>
          <w:noProof/>
        </w:rPr>
      </w:pPr>
      <w:r>
        <w:rPr>
          <w:noProof/>
        </w:rPr>
        <w:t xml:space="preserve">Съветът одобри и изменението на Европейския парламент, с което се изисква Комисията да разгледа възможностите за разширяване на обхвата на регламента, така че да включи и други категории превозни средства, като например двуколесни моторни превозни средства, тежкотоварни автомобили, градски и туристически автобуси и </w:t>
      </w:r>
      <w:r>
        <w:rPr>
          <w:noProof/>
        </w:rPr>
        <w:lastRenderedPageBreak/>
        <w:t xml:space="preserve">селскостопански трактори, и ако е целесъобразно, да представи предложение за тази цел. Това може да бъде подкрепено от Комисията. </w:t>
      </w:r>
    </w:p>
    <w:p>
      <w:pPr>
        <w:rPr>
          <w:b/>
          <w:noProof/>
        </w:rPr>
      </w:pPr>
      <w:r>
        <w:rPr>
          <w:noProof/>
        </w:rPr>
        <w:t>Поясненията, внесени от Съвета и Парламента в текста, предложен от Комисията, също могат да бъдат подкрепени.</w:t>
      </w:r>
      <w:r>
        <w:rPr>
          <w:b/>
          <w:noProof/>
        </w:rPr>
        <w:t xml:space="preserve"> </w:t>
      </w:r>
    </w:p>
    <w:p>
      <w:pPr>
        <w:widowControl w:val="0"/>
        <w:tabs>
          <w:tab w:val="left" w:pos="851"/>
        </w:tabs>
        <w:rPr>
          <w:i/>
          <w:noProof/>
        </w:rPr>
      </w:pPr>
      <w:r>
        <w:rPr>
          <w:i/>
          <w:noProof/>
        </w:rPr>
        <w:t>3.2.2.</w:t>
      </w:r>
      <w:r>
        <w:rPr>
          <w:noProof/>
        </w:rPr>
        <w:tab/>
      </w:r>
      <w:r>
        <w:rPr>
          <w:i/>
          <w:noProof/>
        </w:rPr>
        <w:t>Изменения на Европейския парламент, които не са включени в позицията на Съвета на първо четене</w:t>
      </w:r>
    </w:p>
    <w:p>
      <w:pPr>
        <w:widowControl w:val="0"/>
        <w:rPr>
          <w:noProof/>
        </w:rPr>
      </w:pPr>
      <w:r>
        <w:rPr>
          <w:noProof/>
        </w:rPr>
        <w:t>Съветът сметна, че предложените от Европейския парламент изменения, с които се изисква от държавите членки да докладват относно готовността на инфраструктурата за системата eCall, а от Комисията — да предприеме подходящи действия, за да гарантира, че тази инфраструктура ще бъде разгърната своевременно, не са целесъобразни в член от регламент относно изискванията за типово одобрение. Въпреки това Съветът отчете, че е важно да се извърши предварително съгласувано усъвършенстване на обществените мобилни безжични съобщителни мрежи, необходими за предаването на спешни повиквания, и на центровете за приемане на спешни повиквания, в които се приемат и обработват повикванията от системата eCall, и включи подходящ текст в съображенията. Това се подкрепя от Комисията. Същият подход бе приложен по отношение на изменението на Европейския парламент, с което се изисква системата eCall, основаваща се на номер 112, да бъде обект на периодични технически прегледи.</w:t>
      </w:r>
    </w:p>
    <w:p>
      <w:pPr>
        <w:keepNext/>
        <w:widowControl w:val="0"/>
        <w:tabs>
          <w:tab w:val="left" w:pos="851"/>
        </w:tabs>
        <w:rPr>
          <w:noProof/>
        </w:rPr>
      </w:pPr>
      <w:r>
        <w:rPr>
          <w:b/>
          <w:noProof/>
        </w:rPr>
        <w:t>3.3.</w:t>
      </w:r>
      <w:r>
        <w:rPr>
          <w:noProof/>
        </w:rPr>
        <w:tab/>
      </w:r>
      <w:r>
        <w:rPr>
          <w:b/>
          <w:noProof/>
        </w:rPr>
        <w:t>Нови разпоредби, въведени от Съвета, и позицията на Комисията</w:t>
      </w:r>
    </w:p>
    <w:p>
      <w:pPr>
        <w:widowControl w:val="0"/>
        <w:rPr>
          <w:noProof/>
        </w:rPr>
      </w:pPr>
      <w:r>
        <w:rPr>
          <w:noProof/>
        </w:rPr>
        <w:t>Съветът въведе редица технически изменения, по-конкретно, с цел да уточни изключването от обхвата на превозните средства, произвеждани в малки серии, превозните средства, получаващи индивидуално одобрение, и превозните средства, които поради технически причини не могат да бъдат оборудвани със система eCall. Той предостави също правомощия на Комисията да приема делегирани актове, с които да се определят превозните средства, оставащи извън обхвата. Това може да бъде подкрепено.</w:t>
      </w:r>
    </w:p>
    <w:p>
      <w:pPr>
        <w:widowControl w:val="0"/>
        <w:rPr>
          <w:noProof/>
        </w:rPr>
      </w:pPr>
      <w:r>
        <w:rPr>
          <w:noProof/>
        </w:rPr>
        <w:t>Освен това Съветът добави конкретни разпоредби относно съвместното съществуване на услуги eCall, предоставяни от трети страни (TPS eCall), и системата eCall, основаваща се на номер 112. Тези разпоредби гарантират, че всички превозни средства задължително се оборудват със системата eCall, основаваща се на номер 112, и че тази система се задейства автоматично, в случай че предоставяната от трети страни услуга eCall не се задейства. Поради това решението, предложено от Съвета, може да бъде подкрепено от Комисията.</w:t>
      </w:r>
    </w:p>
    <w:p>
      <w:pPr>
        <w:widowControl w:val="0"/>
        <w:rPr>
          <w:noProof/>
        </w:rPr>
      </w:pPr>
      <w:r>
        <w:rPr>
          <w:noProof/>
        </w:rPr>
        <w:t>В допълнение Съветът въведе разпоредби относно използването на актове за изпълнение, както и относно съответните процедури на комитета за приемането им. Тъй като прилагането на тези разпоредби е доста ограничено и с оглед на компромиса, постигнат в контекста на правилата за неприкосновеност на личния живот и защита на личните данни, това също може да бъде подкрепено от Комисията. Що се отнася до разпоредбите за комитета, Комисията изразява съжаление относно прибягването до клаузата за „липса на становище“, като се има предвид, че включването на такава разпоредба представлява изключение от разпоредбите на Регламент № 182/2011, но в духа на компромиса, тя няма да се противопостави.</w:t>
      </w:r>
    </w:p>
    <w:p>
      <w:pPr>
        <w:spacing w:after="0"/>
        <w:rPr>
          <w:noProof/>
        </w:rPr>
      </w:pPr>
      <w:r>
        <w:rPr>
          <w:noProof/>
        </w:rPr>
        <w:t xml:space="preserve">Накрая Съветът поиска по-продължителен преходен период, за да може промишлеността да се приспособи към новите изисквания. Европейският парламент, въпреки че не измени датата на прилагане, предвидена в предложението на Комисията, показа, че е отворен за отлагане, и в крайна сметка прие, че регламентът ще започне да </w:t>
      </w:r>
      <w:r>
        <w:rPr>
          <w:noProof/>
        </w:rPr>
        <w:lastRenderedPageBreak/>
        <w:t xml:space="preserve">се прилага от 31 март 2018 г. Комисията е съгласна, че трябва да се осигури достатъчен преходен период, и може да подкрепи компромисната дата на прилагане при положение, че тя е в съответствие с графика за разгръщането на общата инфраструктура на системата eCall, както е предвидено в Решение № 585/2014/ЕС.   </w:t>
      </w:r>
    </w:p>
    <w:p>
      <w:pPr>
        <w:pStyle w:val="ManualHeading1"/>
        <w:rPr>
          <w:noProof/>
        </w:rPr>
      </w:pPr>
      <w:r>
        <w:rPr>
          <w:noProof/>
        </w:rPr>
        <w:t>4.</w:t>
      </w:r>
      <w:r>
        <w:rPr>
          <w:noProof/>
        </w:rPr>
        <w:tab/>
        <w:t>ЗАКЛЮЧЕНИЕ</w:t>
      </w:r>
    </w:p>
    <w:p>
      <w:pPr>
        <w:rPr>
          <w:noProof/>
          <w:spacing w:val="-2"/>
        </w:rPr>
      </w:pPr>
      <w:r>
        <w:rPr>
          <w:noProof/>
        </w:rPr>
        <w:t>Въпреки че от практически съображения Комисията съжалява за решението на Съвета да се ограничи срокът на делегиране на правомощия на Комисията до период от пет години, както и за включването на клауза за „липса на становище“ в процедурата на комитета за приемането на актове за изпълнение, Комисията ще се въздържи от противопоставяне.</w:t>
      </w:r>
    </w:p>
    <w:p>
      <w:pPr>
        <w:rPr>
          <w:noProof/>
        </w:rPr>
      </w:pPr>
      <w:r>
        <w:rPr>
          <w:noProof/>
        </w:rPr>
        <w:t>Съветът се произнесе с квалифицирано мнозинство.</w:t>
      </w:r>
    </w:p>
    <w:p>
      <w:pPr>
        <w:rPr>
          <w:noProof/>
        </w:rPr>
      </w:pPr>
      <w:r>
        <w:rPr>
          <w:noProof/>
        </w:rPr>
        <w:t xml:space="preserve">В заключение, в духа на конструктивния подход Комисията подкрепя позицията на Съвета. </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D25A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9E38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BCE41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806B3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A6CC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DE76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66E298"/>
    <w:lvl w:ilvl="0">
      <w:start w:val="1"/>
      <w:numFmt w:val="decimal"/>
      <w:pStyle w:val="ListNumber"/>
      <w:lvlText w:val="%1."/>
      <w:lvlJc w:val="left"/>
      <w:pPr>
        <w:tabs>
          <w:tab w:val="num" w:pos="360"/>
        </w:tabs>
        <w:ind w:left="360" w:hanging="360"/>
      </w:pPr>
    </w:lvl>
  </w:abstractNum>
  <w:abstractNum w:abstractNumId="7">
    <w:nsid w:val="FFFFFF89"/>
    <w:multiLevelType w:val="singleLevel"/>
    <w:tmpl w:val="147652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NotTrackMoves/>
  <w:defaultTabStop w:val="720"/>
  <w:hyphenationZone w:val="425"/>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4 13:13: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30BB96638EA14037916EC6192D39C846"/>
    <w:docVar w:name="LW_CROSSREFERENCE" w:val="&lt;UNUSED&gt;"/>
    <w:docVar w:name="LW_DocType" w:val="COM"/>
    <w:docVar w:name="LW_EMISSION" w:val="10.3.2015"/>
    <w:docVar w:name="LW_EMISSION_ISODATE" w:val="2015-03-10"/>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65"/>
    <w:docVar w:name="LW_REF.II.NEW.CP_YEAR" w:val="2013"/>
    <w:docVar w:name="LW_REF.INST.NEW" w:val="COM"/>
    <w:docVar w:name="LW_REF.INST.NEW_ADOPTED" w:val="final"/>
    <w:docVar w:name="LW_REF.INST.NEW_TEXT" w:val="(2015) 126"/>
    <w:docVar w:name="LW_REF.INTERNE" w:val="&lt;UNUSED&gt;"/>
    <w:docVar w:name="LW_SOUS.TITRE.OBJ.CP" w:val="&lt;UNUSED&gt;"/>
    <w:docVar w:name="LW_SUPERTITRE" w:val="&lt;UNUSED&gt;"/>
    <w:docVar w:name="LW_TITRE.OBJ.CP" w:val="\u1087?\u1086?\u1079?\u1080?\u1094?\u1080?\u1103?\u1090?\u1072? \u1085?\u1072? \u1057?\u1098?\u1074?\u1077?\u1090?\u1072? \u1086?\u1090?\u1085?\u1086?\u1089?\u1085?\u1086? \u1087?\u1088?\u1080?\u1077?\u1084?\u1072?\u1085?\u1077?\u1090?\u1086? \u1085?\u1072? \u1088?\u1077?\u1075?\u1083?\u1072?\u1084?\u1077?\u1085?\u1090? \u1085?\u1072? \u1045?\u1074?\u1088?\u1086?\u1087?\u1077?\u1081?\u1089?\u1082?\u1080?\u1103? \u1087?\u1072?\u1088?\u1083?\u1072?\u1084?\u1077?\u1085?\u1090? \u1080? \u1085?\u1072? \u1057?\u1098?\u1074?\u1077?\u1090?\u1072? \u1086?\u1090?\u1085?\u1086?\u1089?\u1085?\u1086? \u1080?\u1079?\u1080?\u1089?\u1082?\u1074?\u1072?\u1085?\u1080?\u1103?\u1090?\u1072? \u1079?\u1072? \u1086?\u1076?\u1086?\u1073?\u1088?\u1103?\u1074?\u1072?\u1085?\u1077? \u1085?\u1072? \u1090?\u1080?\u1087?\u1072? \u1087?\u1086? \u1086?\u1090?\u1085?\u1086?\u1096?\u1077?\u1085?\u1080?\u1077? \u1085?\u1072? \u1074?\u1085?\u1077?\u1076?\u1088?\u1103?\u1074?\u1072?\u1085?\u1077?\u1090?\u1086? \u1085?\u1072? \u1073?\u1086?\u1088?\u1076?\u1086?\u1074?\u1072?\u1090?\u1072? \u1089?\u1080?\u1089?\u1090?\u1077?\u1084?\u1072? eCall \u1080? \u1079?\u1072? \u1080?\u1079?\u1084?\u1077?\u1085?\u1077?\u1085?\u1080?\u1077? \u1085?\u1072? \u1044?\u1080?\u1088?\u1077?\u1082?\u1090?\u1080?\u1074?\u1072? 2007/46/\u1045?\u1054?"/>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8CFAC-28AF-4375-BC92-27AA78AF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1380</Words>
  <Characters>8091</Characters>
  <Application>Microsoft Office Word</Application>
  <DocSecurity>0</DocSecurity>
  <Lines>152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dcterms:created xsi:type="dcterms:W3CDTF">2015-03-04T12:13:00Z</dcterms:created>
  <dcterms:modified xsi:type="dcterms:W3CDTF">2015-03-09T09:17:00Z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