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B2" w:rsidRDefault="00B578B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BE249F6DCD04B7B885C4B1075D0EC53" style="width:450pt;height:446pt">
            <v:imagedata r:id="rId9" o:title=""/>
          </v:shape>
        </w:pict>
      </w:r>
    </w:p>
    <w:p w:rsidR="00EA19B2" w:rsidRDefault="00EA19B2">
      <w:pPr>
        <w:spacing w:before="0" w:after="200"/>
        <w:rPr>
          <w:noProof/>
        </w:rPr>
        <w:sectPr w:rsidR="00EA19B2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EA19B2" w:rsidRDefault="00B578BF">
      <w:pPr>
        <w:pStyle w:val="Rfrenceinterinstitutionnelle"/>
        <w:rPr>
          <w:noProof/>
        </w:rPr>
      </w:pPr>
      <w:r>
        <w:rPr>
          <w:noProof/>
        </w:rPr>
        <w:lastRenderedPageBreak/>
        <w:t>2013/0371 (COD)</w:t>
      </w:r>
    </w:p>
    <w:p w:rsidR="00EA19B2" w:rsidRDefault="00B578BF"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 xml:space="preserve">съгласно член 294, параграф 6 от </w:t>
      </w:r>
      <w:r>
        <w:rPr>
          <w:noProof/>
        </w:rPr>
        <w:t>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 w:rsidR="00EA19B2" w:rsidRDefault="00B578BF">
      <w:pPr>
        <w:pStyle w:val="Titreobjet"/>
        <w:rPr>
          <w:noProof/>
        </w:rPr>
      </w:pPr>
      <w:r>
        <w:rPr>
          <w:noProof/>
        </w:rPr>
        <w:t xml:space="preserve">позицията на Съвета по приемането на Директива на Европейския парламент и на Съвета за изменение на Директива 94/62/ЕО по отношение на потреблението на леки пластмасови пликове за покупки </w:t>
      </w:r>
    </w:p>
    <w:p w:rsidR="00EA19B2" w:rsidRDefault="00B578BF">
      <w:pPr>
        <w:pStyle w:val="IntrtEEE"/>
        <w:rPr>
          <w:noProof/>
        </w:rPr>
      </w:pPr>
      <w:r>
        <w:rPr>
          <w:noProof/>
        </w:rPr>
        <w:t xml:space="preserve">(текст от </w:t>
      </w:r>
      <w:r>
        <w:rPr>
          <w:noProof/>
        </w:rPr>
        <w:t>значение за ЕИП)</w:t>
      </w:r>
    </w:p>
    <w:p w:rsidR="00EA19B2" w:rsidRDefault="00B578BF">
      <w:pPr>
        <w:pStyle w:val="ManualHeading1"/>
        <w:ind w:left="851" w:hanging="85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233"/>
      </w:tblGrid>
      <w:tr w:rsidR="00EA19B2">
        <w:tc>
          <w:tcPr>
            <w:tcW w:w="7054" w:type="dxa"/>
          </w:tcPr>
          <w:p w:rsidR="00EA19B2" w:rsidRDefault="00B578BF"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 (документ COM/2013/0761 final - 2013/0371 (COD):</w:t>
            </w:r>
          </w:p>
        </w:tc>
        <w:tc>
          <w:tcPr>
            <w:tcW w:w="2233" w:type="dxa"/>
          </w:tcPr>
          <w:p w:rsidR="00EA19B2" w:rsidRDefault="00B578BF">
            <w:pPr>
              <w:ind w:left="284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4 ноември 2013 г.</w:t>
            </w:r>
          </w:p>
        </w:tc>
      </w:tr>
      <w:tr w:rsidR="00EA19B2">
        <w:tc>
          <w:tcPr>
            <w:tcW w:w="7054" w:type="dxa"/>
          </w:tcPr>
          <w:p w:rsidR="00EA19B2" w:rsidRDefault="00B578BF">
            <w:pPr>
              <w:rPr>
                <w:noProof/>
              </w:rPr>
            </w:pPr>
            <w:r>
              <w:rPr>
                <w:noProof/>
              </w:rPr>
              <w:t>Дата на становището на Европейския икономически и социален комитет:</w:t>
            </w:r>
          </w:p>
        </w:tc>
        <w:tc>
          <w:tcPr>
            <w:tcW w:w="2233" w:type="dxa"/>
          </w:tcPr>
          <w:p w:rsidR="00EA19B2" w:rsidRDefault="00B578BF">
            <w:pPr>
              <w:ind w:left="284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26 февруари 2014 г.</w:t>
            </w:r>
          </w:p>
        </w:tc>
      </w:tr>
      <w:tr w:rsidR="00EA19B2">
        <w:tc>
          <w:tcPr>
            <w:tcW w:w="7054" w:type="dxa"/>
          </w:tcPr>
          <w:p w:rsidR="00EA19B2" w:rsidRDefault="00B578BF">
            <w:pPr>
              <w:rPr>
                <w:noProof/>
              </w:rPr>
            </w:pPr>
            <w:r>
              <w:rPr>
                <w:noProof/>
              </w:rPr>
              <w:t>Дата на становището на Комитета на регионите:</w:t>
            </w:r>
          </w:p>
        </w:tc>
        <w:tc>
          <w:tcPr>
            <w:tcW w:w="2233" w:type="dxa"/>
          </w:tcPr>
          <w:p w:rsidR="00EA19B2" w:rsidRDefault="00B578BF">
            <w:pPr>
              <w:ind w:left="284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2 април 2014 г.</w:t>
            </w:r>
          </w:p>
        </w:tc>
      </w:tr>
      <w:tr w:rsidR="00EA19B2">
        <w:tc>
          <w:tcPr>
            <w:tcW w:w="7054" w:type="dxa"/>
          </w:tcPr>
          <w:p w:rsidR="00EA19B2" w:rsidRDefault="00B578BF">
            <w:pPr>
              <w:rPr>
                <w:noProof/>
              </w:rPr>
            </w:pPr>
            <w:r>
              <w:rPr>
                <w:noProof/>
              </w:rPr>
              <w:t>Дата на становището на Европейския парламент на първо четене:</w:t>
            </w:r>
          </w:p>
        </w:tc>
        <w:tc>
          <w:tcPr>
            <w:tcW w:w="2233" w:type="dxa"/>
          </w:tcPr>
          <w:p w:rsidR="00EA19B2" w:rsidRDefault="00B578BF">
            <w:pPr>
              <w:ind w:left="284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16 април 2014 г.</w:t>
            </w:r>
          </w:p>
        </w:tc>
      </w:tr>
      <w:tr w:rsidR="00EA19B2">
        <w:tc>
          <w:tcPr>
            <w:tcW w:w="7054" w:type="dxa"/>
          </w:tcPr>
          <w:p w:rsidR="00EA19B2" w:rsidRDefault="00B578BF"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233" w:type="dxa"/>
          </w:tcPr>
          <w:p w:rsidR="00EA19B2" w:rsidRDefault="00B578BF">
            <w:pPr>
              <w:ind w:left="284"/>
              <w:jc w:val="left"/>
              <w:rPr>
                <w:noProof/>
              </w:rPr>
            </w:pPr>
            <w:r>
              <w:rPr>
                <w:noProof/>
              </w:rPr>
              <w:t>2 март 2015 г.</w:t>
            </w:r>
          </w:p>
        </w:tc>
      </w:tr>
    </w:tbl>
    <w:p w:rsidR="00EA19B2" w:rsidRDefault="00B578BF">
      <w:pPr>
        <w:pStyle w:val="ManualHeading1"/>
        <w:ind w:left="851" w:hanging="85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 w:rsidR="00EA19B2" w:rsidRDefault="00B578BF">
      <w:pPr>
        <w:rPr>
          <w:noProof/>
          <w:szCs w:val="24"/>
        </w:rPr>
      </w:pPr>
      <w:r>
        <w:rPr>
          <w:noProof/>
        </w:rPr>
        <w:t>Целта на предложе</w:t>
      </w:r>
      <w:r>
        <w:rPr>
          <w:noProof/>
        </w:rPr>
        <w:t>нието е да се намали потреблението на леки пластмасови пликове за покупки и по този начин да се намали нерегламентираното им изхвърляне, както и да се предотврати тези пликове да попаднат в околната среда, където те се разпадат на все по-малки парчета, сле</w:t>
      </w:r>
      <w:r>
        <w:rPr>
          <w:noProof/>
        </w:rPr>
        <w:t>д което продължават да съществуват много дълго време под формата на пластмасови микрочастици, причиняващи значителни вреди на фауната и флората, по-специално във водната среда.</w:t>
      </w:r>
    </w:p>
    <w:p w:rsidR="00EA19B2" w:rsidRDefault="00B578BF">
      <w:pPr>
        <w:pStyle w:val="ManualHeading1"/>
        <w:ind w:left="851" w:hanging="85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 w:rsidR="00EA19B2" w:rsidRDefault="00B578BF">
      <w:pPr>
        <w:rPr>
          <w:noProof/>
          <w:szCs w:val="24"/>
        </w:rPr>
      </w:pPr>
      <w:r>
        <w:rPr>
          <w:noProof/>
        </w:rPr>
        <w:t>Позицията на Съвета отразява политичес</w:t>
      </w:r>
      <w:r>
        <w:rPr>
          <w:noProof/>
        </w:rPr>
        <w:t>кото споразумение, постигнато между Европейския парламент и Съвета на 17 ноември 2014 г., и подкрепя основната цел на предложението на Комисията за намаляване на потреблението на леки пластмасови пликове за покупки, като се отклонява по някои аспекти и във</w:t>
      </w:r>
      <w:r>
        <w:rPr>
          <w:noProof/>
        </w:rPr>
        <w:t>ежда допълнителни елементи.</w:t>
      </w:r>
    </w:p>
    <w:p w:rsidR="00EA19B2" w:rsidRDefault="00B578BF">
      <w:pPr>
        <w:rPr>
          <w:noProof/>
          <w:szCs w:val="24"/>
        </w:rPr>
      </w:pPr>
      <w:r>
        <w:rPr>
          <w:noProof/>
        </w:rPr>
        <w:t>Предложението на Комисията задължава държавите членки да предприемат мерки, като същевременно им се предостави свобода да вземат решения относно начините на изпълнение в съответствие с принципа на субсидиарност. Компромисът, пос</w:t>
      </w:r>
      <w:r>
        <w:rPr>
          <w:noProof/>
        </w:rPr>
        <w:t xml:space="preserve">тигнат между Съвета и Европейския парламент, задължава държавите членки да включват в тези мерки като минимум национална цел за намаляване на потреблението и/или </w:t>
      </w:r>
      <w:r>
        <w:rPr>
          <w:noProof/>
        </w:rPr>
        <w:lastRenderedPageBreak/>
        <w:t>задължителни цени за тези пликове. Ако се избере национална цел за намаляване, тя ще бъде зало</w:t>
      </w:r>
      <w:r>
        <w:rPr>
          <w:noProof/>
        </w:rPr>
        <w:t>жена в компромисния текст.</w:t>
      </w:r>
    </w:p>
    <w:p w:rsidR="00EA19B2" w:rsidRDefault="00B578BF">
      <w:pPr>
        <w:rPr>
          <w:noProof/>
          <w:szCs w:val="24"/>
        </w:rPr>
      </w:pPr>
      <w:r>
        <w:rPr>
          <w:noProof/>
        </w:rPr>
        <w:t>Към момента на представяне на предложението Комисията не счете за уместно да предложи задължителни цени или количествена цел за намаляване на потреблението поради трудностите, свързани с наличността на данни и общи методи за изме</w:t>
      </w:r>
      <w:r>
        <w:rPr>
          <w:noProof/>
        </w:rPr>
        <w:t>рване, и тъй като тя счете, че държавите членки могат най-добре да изберат мерките за намаляване на потреблението на пластмасови пликове за покупки.</w:t>
      </w:r>
    </w:p>
    <w:p w:rsidR="00EA19B2" w:rsidRDefault="00B578BF">
      <w:pPr>
        <w:rPr>
          <w:noProof/>
          <w:szCs w:val="24"/>
        </w:rPr>
      </w:pPr>
      <w:r>
        <w:rPr>
          <w:noProof/>
        </w:rPr>
        <w:t>Дори Комисията да смята, че тези разпоредби са твърде ограничаващи, тя може, в духа на конструктивен подход</w:t>
      </w:r>
      <w:r>
        <w:rPr>
          <w:noProof/>
        </w:rPr>
        <w:t>, да ги приеме като част от пакета.</w:t>
      </w:r>
    </w:p>
    <w:p w:rsidR="00EA19B2" w:rsidRDefault="00B578BF">
      <w:pPr>
        <w:rPr>
          <w:noProof/>
        </w:rPr>
      </w:pPr>
      <w:r>
        <w:rPr>
          <w:noProof/>
        </w:rPr>
        <w:t>Комисията може да приеме допълнителни елементи, включени в позицията на Съвета, а именно:</w:t>
      </w:r>
    </w:p>
    <w:p w:rsidR="00EA19B2" w:rsidRDefault="00B578BF">
      <w:pPr>
        <w:pStyle w:val="ListBullet"/>
        <w:rPr>
          <w:noProof/>
        </w:rPr>
      </w:pPr>
      <w:r>
        <w:rPr>
          <w:noProof/>
        </w:rPr>
        <w:t xml:space="preserve">задължението на Комисията и държавите членки активно да насърчават кампании за информиране и повишаване на осведомеността на </w:t>
      </w:r>
      <w:r>
        <w:rPr>
          <w:noProof/>
        </w:rPr>
        <w:t>обществеността, поне през първата година след датата на транспониране на директивата;</w:t>
      </w:r>
    </w:p>
    <w:p w:rsidR="00EA19B2" w:rsidRDefault="00B578BF">
      <w:pPr>
        <w:pStyle w:val="ListBullet"/>
        <w:rPr>
          <w:noProof/>
        </w:rPr>
      </w:pPr>
      <w:r>
        <w:rPr>
          <w:noProof/>
        </w:rPr>
        <w:t>възможността държавите членки да прилагат мерките съгласно директивата посредством споразумения между компетентните органи и съответните икономически сектори.</w:t>
      </w:r>
      <w:r>
        <w:rPr>
          <w:noProof/>
          <w:color w:val="000000"/>
        </w:rPr>
        <w:t xml:space="preserve"> </w:t>
      </w:r>
      <w:r>
        <w:rPr>
          <w:noProof/>
        </w:rPr>
        <w:t xml:space="preserve">Тази </w:t>
      </w:r>
      <w:r>
        <w:rPr>
          <w:noProof/>
        </w:rPr>
        <w:t>възможност вече е предвидена в член 22 от Директивата относно опаковките и отпадъците от опаковки за системите за връщане, събиране и възстановяване;</w:t>
      </w:r>
    </w:p>
    <w:p w:rsidR="00EA19B2" w:rsidRDefault="00B578BF">
      <w:pPr>
        <w:pStyle w:val="ListBullet"/>
        <w:rPr>
          <w:noProof/>
        </w:rPr>
      </w:pPr>
      <w:r>
        <w:rPr>
          <w:noProof/>
        </w:rPr>
        <w:t xml:space="preserve">задължението на Комисията в рамките на 12 месеца от влизането в сила на директивата да разработи и приеме </w:t>
      </w:r>
      <w:r>
        <w:rPr>
          <w:noProof/>
        </w:rPr>
        <w:t>с акт за изпълнение методика за отчитане и формат на докладване за изчисляването на годишното потребление на леки пластмасови пликове за покупки на глава от населението. Комисията признава необходимостта от наличието на надеждни данни и счита, че това задъ</w:t>
      </w:r>
      <w:r>
        <w:rPr>
          <w:noProof/>
        </w:rPr>
        <w:t>лжение по принцип е приемливо, дори ако то увеличава административната тежест за държавите членки и стопанските субекти. За разработването и официалното приемане на акт за изпълнение може обаче да са необходими повече от предвидените 12 месеца.</w:t>
      </w:r>
    </w:p>
    <w:p w:rsidR="00EA19B2" w:rsidRDefault="00B578BF">
      <w:pPr>
        <w:rPr>
          <w:noProof/>
        </w:rPr>
      </w:pPr>
      <w:r>
        <w:rPr>
          <w:noProof/>
        </w:rPr>
        <w:t xml:space="preserve">Въпреки че </w:t>
      </w:r>
      <w:r>
        <w:rPr>
          <w:noProof/>
        </w:rPr>
        <w:t>Комисията е на мнение, че редица елементи са извън обхвата на внесеното от нея предложение и поради това следва да се разглеждат в по-широк контекст, тя може — като компромис — да приеме следните допълнителни елементи, включени в позицията на Съвета, а име</w:t>
      </w:r>
      <w:r>
        <w:rPr>
          <w:noProof/>
        </w:rPr>
        <w:t>нно:</w:t>
      </w:r>
    </w:p>
    <w:p w:rsidR="00EA19B2" w:rsidRDefault="00B578BF">
      <w:pPr>
        <w:pStyle w:val="ListBullet"/>
        <w:rPr>
          <w:noProof/>
          <w:color w:val="000000"/>
        </w:rPr>
      </w:pPr>
      <w:r>
        <w:rPr>
          <w:noProof/>
        </w:rPr>
        <w:t xml:space="preserve">задължението на Комисията в рамките на 24 месеца от влизането в сила на директивата да разработи и приеме с акт за изпълнение етикет за биоразградимите и компостируемите в домашни условия пластмасови пликове за покупки; </w:t>
      </w:r>
    </w:p>
    <w:p w:rsidR="00EA19B2" w:rsidRDefault="00B578BF">
      <w:pPr>
        <w:pStyle w:val="ListBullet"/>
        <w:rPr>
          <w:noProof/>
          <w:color w:val="000000"/>
        </w:rPr>
      </w:pPr>
      <w:r>
        <w:rPr>
          <w:noProof/>
        </w:rPr>
        <w:t>задължението на Комисията да н</w:t>
      </w:r>
      <w:r>
        <w:rPr>
          <w:noProof/>
        </w:rPr>
        <w:t>аправи оценка на въздействието на различните възможности за намаляване на потреблението на много леките пластмасови пликове за покупки по време на целия жизнен цикъл и, ако е уместно, да представи законодателно предложение в рамките на 24 месеца от влизане</w:t>
      </w:r>
      <w:r>
        <w:rPr>
          <w:noProof/>
        </w:rPr>
        <w:t xml:space="preserve">то в сила на директивата; </w:t>
      </w:r>
    </w:p>
    <w:p w:rsidR="00EA19B2" w:rsidRDefault="00B578BF">
      <w:pPr>
        <w:pStyle w:val="ListBullet"/>
        <w:rPr>
          <w:noProof/>
        </w:rPr>
      </w:pPr>
      <w:r>
        <w:rPr>
          <w:noProof/>
        </w:rPr>
        <w:t>задължението на Комисията да разгледа въздействието от използването на разградимите при окисляване пластмасови пликове за покупки, да представи доклад на Европейския парламент и на Съвета и, ако е уместно, да представи законодате</w:t>
      </w:r>
      <w:r>
        <w:rPr>
          <w:noProof/>
        </w:rPr>
        <w:t>лно предложение в рамките на 24 месеца от влизането в сила на директивата.</w:t>
      </w:r>
    </w:p>
    <w:p w:rsidR="00EA19B2" w:rsidRDefault="00B578BF">
      <w:pPr>
        <w:pStyle w:val="ManualHeading1"/>
        <w:ind w:left="851" w:hanging="85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ЗАКЛЮЧЕНИЕ</w:t>
      </w:r>
    </w:p>
    <w:p w:rsidR="00EA19B2" w:rsidRDefault="00B578BF">
      <w:pPr>
        <w:rPr>
          <w:noProof/>
        </w:rPr>
      </w:pPr>
      <w:r>
        <w:rPr>
          <w:noProof/>
        </w:rPr>
        <w:t>Въпреки че Комисията изразява съжаление, че споразумението между съзаконодателите съдържа някои елементи, които са извън обхвата на внесеното от нея предложение и не с</w:t>
      </w:r>
      <w:r>
        <w:rPr>
          <w:noProof/>
        </w:rPr>
        <w:t>ъответстват на принципите за по-добро законотворчество, тя приветства факта, че съзаконодателите са постигнали споразумение относно нейното предложение.</w:t>
      </w:r>
    </w:p>
    <w:p w:rsidR="00EA19B2" w:rsidRDefault="00B578BF">
      <w:pPr>
        <w:rPr>
          <w:noProof/>
          <w:szCs w:val="24"/>
        </w:rPr>
      </w:pPr>
      <w:r>
        <w:rPr>
          <w:noProof/>
        </w:rPr>
        <w:t>В духа на конструктивния подход Комисията може да одобри приетата от Съвета позиция, за да може Европей</w:t>
      </w:r>
      <w:r>
        <w:rPr>
          <w:noProof/>
        </w:rPr>
        <w:t>ският парламент да приеме окончателния текст на второ четене.</w:t>
      </w:r>
    </w:p>
    <w:p w:rsidR="00EA19B2" w:rsidRDefault="00B578BF">
      <w:pPr>
        <w:rPr>
          <w:noProof/>
          <w:spacing w:val="-2"/>
        </w:rPr>
      </w:pPr>
      <w:r>
        <w:rPr>
          <w:noProof/>
        </w:rPr>
        <w:t>Комисията счита обаче за необходимо да направи следната декларация:</w:t>
      </w:r>
    </w:p>
    <w:p w:rsidR="00EA19B2" w:rsidRDefault="00B578BF">
      <w:pPr>
        <w:pStyle w:val="Text1"/>
        <w:rPr>
          <w:noProof/>
        </w:rPr>
      </w:pPr>
      <w:r>
        <w:rPr>
          <w:noProof/>
        </w:rPr>
        <w:t>Комисията припомня целите на предложението си от 4 ноември 2013 г. за ограничаване на отрицателното въздействие на потребление</w:t>
      </w:r>
      <w:r>
        <w:rPr>
          <w:noProof/>
        </w:rPr>
        <w:t>то на пластмасови пликове върху околната среда чрез намаляване на потреблението им и по този начин намаляване на нерегламентираното им изхвърляне. Комисията приветства споразумението относно своето предложение, но същевременно отбелязва, че окончателният т</w:t>
      </w:r>
      <w:r>
        <w:rPr>
          <w:noProof/>
        </w:rPr>
        <w:t>екст, съгласуван между съзаконодателите, включва някои елементи, които са извън обхвата на внесеното от нея предложение и не съответстват на принципите за по-добро законотворчество. Това би могло да създаде проблеми за бъдещото прилагане на директивата — к</w:t>
      </w:r>
      <w:r>
        <w:rPr>
          <w:noProof/>
        </w:rPr>
        <w:t>акто за държавите членки, така и за Комисията, потребителите и стопанските субекти.</w:t>
      </w:r>
    </w:p>
    <w:p w:rsidR="00EA19B2" w:rsidRDefault="00B578BF">
      <w:pPr>
        <w:pStyle w:val="Text1"/>
        <w:rPr>
          <w:noProof/>
        </w:rPr>
      </w:pPr>
      <w:r>
        <w:rPr>
          <w:noProof/>
        </w:rPr>
        <w:t>Следните въпроси предизвикват загриженост:</w:t>
      </w:r>
    </w:p>
    <w:p w:rsidR="00EA19B2" w:rsidRDefault="00B578BF">
      <w:pPr>
        <w:pStyle w:val="Bullet1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приемането на етикет за биоразградими и компостируеми в домашни условия пликове, без да е направена оценка на въздействието;</w:t>
      </w:r>
    </w:p>
    <w:p w:rsidR="00EA19B2" w:rsidRDefault="00B578BF">
      <w:pPr>
        <w:pStyle w:val="Bullet1"/>
        <w:rPr>
          <w:i/>
          <w:noProof/>
        </w:rPr>
      </w:pPr>
      <w:r>
        <w:rPr>
          <w:i/>
          <w:noProof/>
        </w:rPr>
        <w:t>допъ</w:t>
      </w:r>
      <w:r>
        <w:rPr>
          <w:i/>
          <w:noProof/>
        </w:rPr>
        <w:t>лнителна административна тежест за държавите членки и стопанските субекти, включително нови задължения за докладване и нови изисквания за етикетиране;</w:t>
      </w:r>
    </w:p>
    <w:p w:rsidR="00EA19B2" w:rsidRDefault="00B578BF">
      <w:pPr>
        <w:pStyle w:val="Bullet1"/>
        <w:rPr>
          <w:i/>
          <w:noProof/>
        </w:rPr>
      </w:pPr>
      <w:r>
        <w:rPr>
          <w:i/>
          <w:noProof/>
        </w:rPr>
        <w:t>някои разпоредби, които биха могли да се разглеждат по-ефективно в контекста на последващите действия във</w:t>
      </w:r>
      <w:r>
        <w:rPr>
          <w:i/>
          <w:noProof/>
        </w:rPr>
        <w:t xml:space="preserve"> връзка със Зелената книга на Комисията относно пластмасовите отпадъци, като например доклада за използването на разградимите при окисляване пластмасови пликове; </w:t>
      </w:r>
    </w:p>
    <w:p w:rsidR="00EA19B2" w:rsidRDefault="00B578BF">
      <w:pPr>
        <w:pStyle w:val="Bullet1"/>
        <w:rPr>
          <w:i/>
          <w:noProof/>
        </w:rPr>
      </w:pPr>
      <w:r>
        <w:rPr>
          <w:i/>
          <w:noProof/>
        </w:rPr>
        <w:t xml:space="preserve">възможността за вариране на мерки във връзка с пластмасовите пликове в зависимост от тяхното </w:t>
      </w:r>
      <w:r>
        <w:rPr>
          <w:i/>
          <w:noProof/>
        </w:rPr>
        <w:t>въздействие върху околната среда или други свойства може да създаде проблеми по отношение на спазването на принципите на недискриминация и пропорционалност, а също и на принципите на единния пазар;</w:t>
      </w:r>
    </w:p>
    <w:p w:rsidR="00EA19B2" w:rsidRDefault="00B578BF">
      <w:pPr>
        <w:pStyle w:val="Bullet1"/>
        <w:rPr>
          <w:i/>
          <w:noProof/>
        </w:rPr>
      </w:pPr>
      <w:r>
        <w:rPr>
          <w:i/>
          <w:noProof/>
        </w:rPr>
        <w:t>възможността за определяне на цели в областта на потреблен</w:t>
      </w:r>
      <w:r>
        <w:rPr>
          <w:i/>
          <w:noProof/>
        </w:rPr>
        <w:t>ието на нива, предварително заложени в директивата, при липса на съответни статистически данни за всички държави членки;</w:t>
      </w:r>
    </w:p>
    <w:p w:rsidR="00EA19B2" w:rsidRDefault="00B578BF">
      <w:pPr>
        <w:pStyle w:val="Bullet1"/>
        <w:rPr>
          <w:i/>
          <w:noProof/>
        </w:rPr>
      </w:pPr>
      <w:r>
        <w:rPr>
          <w:i/>
          <w:noProof/>
        </w:rPr>
        <w:t>твърде кратки срокове за разработването на методика за отчитане на потреблението на леки пластмасови пликове за покупки и на етикети за</w:t>
      </w:r>
      <w:r>
        <w:rPr>
          <w:i/>
          <w:noProof/>
        </w:rPr>
        <w:t xml:space="preserve"> биологично разградими пластмасови пликове за покупки, както и за приемането на съответните актове за изпълнение.</w:t>
      </w:r>
      <w:bookmarkStart w:id="0" w:name="_GoBack"/>
      <w:bookmarkEnd w:id="0"/>
    </w:p>
    <w:sectPr w:rsidR="00EA19B2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B2" w:rsidRDefault="00B578BF">
      <w:pPr>
        <w:spacing w:before="0" w:after="0"/>
      </w:pPr>
      <w:r>
        <w:separator/>
      </w:r>
    </w:p>
  </w:endnote>
  <w:endnote w:type="continuationSeparator" w:id="0">
    <w:p w:rsidR="00EA19B2" w:rsidRDefault="00B57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B2" w:rsidRDefault="00B578B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B2" w:rsidRDefault="00B578B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B2" w:rsidRDefault="00EA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B2" w:rsidRDefault="00B578BF">
      <w:pPr>
        <w:spacing w:before="0" w:after="0"/>
      </w:pPr>
      <w:r>
        <w:separator/>
      </w:r>
    </w:p>
  </w:footnote>
  <w:footnote w:type="continuationSeparator" w:id="0">
    <w:p w:rsidR="00EA19B2" w:rsidRDefault="00B578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D25A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59E38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BCE41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806B3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EA6CC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EDE76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166E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36ABB58"/>
    <w:name w:val="0,72801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6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attachedTemplate r:id="rId1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06 16:04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FBE249F6DCD04B7B885C4B1075D0EC53"/>
    <w:docVar w:name="LW_CROSSREFERENCE" w:val="&lt;UNUSED&gt;"/>
    <w:docVar w:name="LW_DocType" w:val="COM"/>
    <w:docVar w:name="LW_EMISSION" w:val="10.3.2015"/>
    <w:docVar w:name="LW_EMISSION_ISODATE" w:val="2015-03-10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371"/>
    <w:docVar w:name="LW_REF.II.NEW.CP_YEAR" w:val="2013"/>
    <w:docVar w:name="LW_REF.INST.NEW" w:val="COM"/>
    <w:docVar w:name="LW_REF.INST.NEW_ADOPTED" w:val="final"/>
    <w:docVar w:name="LW_REF.INST.NEW_TEXT" w:val="(2015) 124"/>
    <w:docVar w:name="LW_REF.INTERNE" w:val="&lt;UNUSED&gt;"/>
    <w:docVar w:name="LW_SOUS.TITRE.OBJ.CP" w:val="&lt;UNUSED&gt;"/>
    <w:docVar w:name="LW_SUPERTITRE" w:val="&lt;UNUSED&gt;"/>
    <w:docVar w:name="LW_TITRE.OBJ.CP" w:val="\u1087?\u1086?\u1079?\u1080?\u1094?\u1080?\u1103?\u1090?\u1072? \u1085?\u1072? \u1057?\u1098?\u1074?\u1077?\u1090?\u1072? \u1087?\u1086? \u1087?\u1088?\u1080?\u1077?\u1084?\u1072?\u1085?\u1077?\u1090?\u1086? \u1085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44?\u1080?\u1088?\u1077?\u1082?\u1090?\u1080?\u1074?\u1072? 94/62/\u1045?\u1054? \u1087?\u1086? \u1086?\u1090?\u1085?\u1086?\u1096?\u1077?\u1085?\u1080?\u1077? \u1085?\u1072? \u1087?\u1086?\u1090?\u1088?\u1077?\u1073?\u1083?\u1077?\u1085?\u1080?\u1077?\u1090?\u1086? \u1085?\u1072? \u1083?\u1077?\u1082?\u1080? \u1087?\u1083?\u1072?\u1089?\u1090?\u1084?\u1072?\u1089?\u1086?\u1074?\u1080? \u1087?\u1083?\u1080?\u1082?\u1086?\u1074?\u1077? \u1079?\u1072? \u1087?\u1086?\u1082?\u1091?\u1087?\u1082?\u1080? 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w:rsids>
    <w:rsidRoot w:val="00EA19B2"/>
    <w:rsid w:val="00B578BF"/>
    <w:rsid w:val="00E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Pr>
      <w:sz w:val="22"/>
      <w:szCs w:val="21"/>
      <w:lang w:eastAsia="bg-BG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4A85-686F-4CC1-987E-F934FB4C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1095</Words>
  <Characters>6533</Characters>
  <Application>Microsoft Office Word</Application>
  <DocSecurity>0</DocSecurity>
  <Lines>136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1.	BACKGROUND</vt:lpstr>
      <vt:lpstr>2.	OBJECTIVE OF THE COMMISSION PROPOSAL</vt:lpstr>
      <vt:lpstr>3.	COMMENTS ON THE POSITION OF THE COUNCIL</vt:lpstr>
      <vt:lpstr>4.	CONCLUSION</vt:lpstr>
    </vt:vector>
  </TitlesOfParts>
  <Manager/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SUBHAN Marie Olga (SG)</cp:lastModifiedBy>
  <cp:revision>17</cp:revision>
  <cp:lastPrinted>2015-02-27T09:19:00Z</cp:lastPrinted>
  <dcterms:created xsi:type="dcterms:W3CDTF">2015-03-03T16:45:00Z</dcterms:created>
  <dcterms:modified xsi:type="dcterms:W3CDTF">2015-03-06T15:09:00Z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SJ-028</vt:lpwstr>
  </property>
  <property fmtid="{D5CDD505-2E9C-101B-9397-08002B2CF9AE}" pid="10" name="DQCStatus">
    <vt:lpwstr>Yellow (DQC version 02)</vt:lpwstr>
  </property>
</Properties>
</file>