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68B95079DC549FE8EE1F860345ECAD7" style="width:450.75pt;height:44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2012/0084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за изменение на Регламент (EО) № 223/2009 относно европейската статистика</w:t>
      </w:r>
    </w:p>
    <w:p>
      <w:pPr>
        <w:pStyle w:val="IntrtEEE"/>
        <w:rPr>
          <w:noProof/>
        </w:rPr>
      </w:pPr>
      <w:r>
        <w:rPr>
          <w:noProof/>
        </w:rPr>
        <w:t>(текст от значение за ЕИП и за Швейцария)</w:t>
      </w:r>
    </w:p>
    <w:p>
      <w:pPr>
        <w:pStyle w:val="ManualHeading1"/>
        <w:rPr>
          <w:noProof/>
          <w:sz w:val="22"/>
        </w:rPr>
      </w:pPr>
      <w:r>
        <w:rPr>
          <w:noProof/>
        </w:rPr>
        <w:t>1.</w:t>
      </w:r>
      <w:r>
        <w:rPr>
          <w:noProof/>
        </w:rPr>
        <w:tab/>
        <w:t>История на досието</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w:t>
            </w:r>
            <w:r>
              <w:rPr>
                <w:noProof/>
              </w:rPr>
              <w:br/>
              <w:t>(документ COM(2012) 167 final – 2012/0084 COD):</w:t>
            </w:r>
          </w:p>
        </w:tc>
        <w:tc>
          <w:tcPr>
            <w:tcW w:w="2483" w:type="dxa"/>
          </w:tcPr>
          <w:p>
            <w:pPr>
              <w:jc w:val="left"/>
              <w:rPr>
                <w:noProof/>
              </w:rPr>
            </w:pPr>
            <w:r>
              <w:rPr>
                <w:noProof/>
              </w:rPr>
              <w:t>17 април 2012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не се прилага</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21 ноември 2013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не се прилага</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5 март 2015 г.</w:t>
            </w:r>
          </w:p>
        </w:tc>
      </w:tr>
    </w:tbl>
    <w:p>
      <w:pPr>
        <w:pStyle w:val="ManualHeading1"/>
        <w:rPr>
          <w:noProof/>
        </w:rPr>
      </w:pPr>
      <w:r>
        <w:rPr>
          <w:noProof/>
        </w:rPr>
        <w:t>2.</w:t>
      </w:r>
      <w:r>
        <w:rPr>
          <w:noProof/>
        </w:rPr>
        <w:tab/>
        <w:t>Цел на предложението на Комисията</w:t>
      </w:r>
    </w:p>
    <w:p>
      <w:pPr>
        <w:rPr>
          <w:noProof/>
        </w:rPr>
      </w:pPr>
      <w:r>
        <w:rPr>
          <w:noProof/>
        </w:rPr>
        <w:t>В предложението се призовава съществуващата основна нормативна уредба на европейската статистика да бъде преразгледана, като тя бъде адаптирана, така че да съответства на нуждите на политиката и на поставените от неотдавнашните събития в световната икономика предизвикателства пред европейската статистика. Основната цел е да се укрепи още повече управлението в рамките на Европейската статистическа система, за да се запази високата степен на доверие в нея и да се задоволи по подходящ начин нуждата от данни, породена от засиленото съгласуване на икономическата политика в Европейския съюз. Четирите по-специфични цели, които допринасят за постигането на тази цел, са: засилване на професионалната независимост на националните статистически органи; изясняване на координиращата роля на националните статистически институти (НСИ) в рамките на националните статистически системи; установяване на „ангажименти във връзка с доверието в статистиката“; и подобряване на достъпа до административни данни и тяхното използване за статистически цели.</w:t>
      </w:r>
    </w:p>
    <w:p>
      <w:pPr>
        <w:rPr>
          <w:noProof/>
        </w:rPr>
      </w:pPr>
      <w:r>
        <w:rPr>
          <w:noProof/>
        </w:rPr>
        <w:t xml:space="preserve">По-специално, безусловната професионална независимост на националните статистически органи е основна предпоставка за запазването на високата степен на доверие в европейската статистика що се отнася до централната роля, която тя играе в </w:t>
      </w:r>
      <w:r>
        <w:rPr>
          <w:noProof/>
        </w:rPr>
        <w:lastRenderedPageBreak/>
        <w:t>подкрепа на икономическото управление и при основаното на факти разработване на политики като цяло. В предложението ръководителите на националните статистически институти изрично са посочени като лица, чиято независимост при изпълнението на задълженията им е предварително условие за установяване на независимостта на съответните институции. За тази цел ръководителите на НСИ следва да имат свободата да вземат решения за процесите, за статистическите методи, стандарти и процедури, както и за съдържанието и момента на оповестяване на статистическите съобщения и издания за цялата европейска статистика. На тях трябва също така да им бъде забранено да искат инструкции от националните правителства и други институции и трябва да бъдат защитени от получаване на такива указания. Освен това на ръководителите на НСИ следва да бъде дадена значителна автономия при вземането на решения за вътрешното управление на статистическата служба и да им бъде позволено публично да изказват мнения относно бюджета, отделен за НСИ, от гледна точка на статистическите задачи, които институтът следва да изпълни. Трябва също така да има прозрачни правила за назначаването, прехвърлянето и освобождаването на ръководителите на НСИ, които се основават единствено на професионални критерии.</w:t>
      </w:r>
    </w:p>
    <w:p>
      <w:pPr>
        <w:rPr>
          <w:noProof/>
        </w:rPr>
      </w:pPr>
      <w:r>
        <w:rPr>
          <w:noProof/>
        </w:rPr>
        <w:t xml:space="preserve">Както бе посочено от Комисията в съобщението ѝ „Към стабилно управление на качеството на европейската статистика“ (COM(2011) 211 окончателен), предложението включва и установяване на „ангажименти във връзка с доверието в статистиката“, т.е. декларации за зачитане на Кодекса на европейската статистическа практика, и особено на принципа за независимост на НСИ. Съгласно предложението те следва да бъдат подписани от правителствата на всички държави членки, както и от Комисията. Предвижда се всеки ангажимент във връзка с доверието да бъде специфичен за съответната държава и да включва действия за подобряване. Практическото изпълнение на действията ще бъде наблюдавано от Евростат като част от вече редовно извършваната оценка на спазването на Кодекса на европейската статистическа практика от страна на държавите членки. </w:t>
      </w:r>
    </w:p>
    <w:p>
      <w:pPr>
        <w:rPr>
          <w:noProof/>
        </w:rPr>
      </w:pPr>
      <w:r>
        <w:rPr>
          <w:noProof/>
        </w:rPr>
        <w:t>С предложението освен това се цели да се поясни координиращата роля на НСИ в националните статистически системи, като изрично се посочват институциите и функциите, които трябва да бъдат координирани.</w:t>
      </w:r>
    </w:p>
    <w:p>
      <w:pPr>
        <w:rPr>
          <w:noProof/>
        </w:rPr>
      </w:pPr>
      <w:r>
        <w:rPr>
          <w:noProof/>
        </w:rPr>
        <w:t>Друга основна цел на предложението е да се разшири използването на данни от административни източници за изготвянето на европейската статистика, без да се увеличава тежестта върху респондентите, НСИ и другите национални органи. За тази цел НСИ следва да бъдат включени в необходимата степен в решенията относно създаването, разработването и прекратяването административните записи, които биха могли да се използват при изготвянето на статистически данни. На НСИ, на другите национални органи и на Евростат следва да се предостави свободен и навременен достъп до административните записи, но само в рамките на съответната им публична административна система и доколкото е необходимо за разработването, изготвянето и разпространението на европейската статистика.</w:t>
      </w:r>
    </w:p>
    <w:p>
      <w:pPr>
        <w:rPr>
          <w:noProof/>
        </w:rPr>
      </w:pPr>
      <w:r>
        <w:rPr>
          <w:noProof/>
        </w:rPr>
        <w:t>Освен това, за да се опрости бюджетното планиране на статистическите дейности и да се направи то по-стабилно, с предложението програмният период на Европейската статистическа програма се привежда в съответствие с многогодишната финансова рамка на Съюза.</w:t>
      </w:r>
    </w:p>
    <w:p>
      <w:pPr>
        <w:rPr>
          <w:noProof/>
        </w:rPr>
      </w:pPr>
      <w:r>
        <w:rPr>
          <w:noProof/>
        </w:rPr>
        <w:t>На последно място, предложеното изменение на Регламент (ЕО) № 223/2009 взема предвид необходимите корекции в съответствие с Договора от Лисабон по отношение на предоставянето на делегирани и на изпълнителни правомощия на Комисията.</w:t>
      </w:r>
    </w:p>
    <w:p>
      <w:pPr>
        <w:pStyle w:val="ManualHeading1"/>
        <w:rPr>
          <w:noProof/>
        </w:rPr>
      </w:pPr>
      <w:r>
        <w:rPr>
          <w:noProof/>
        </w:rPr>
        <w:lastRenderedPageBreak/>
        <w:t>3.</w:t>
      </w:r>
      <w:r>
        <w:rPr>
          <w:noProof/>
        </w:rPr>
        <w:tab/>
        <w:t>Коментари относно позицията на Съвета</w:t>
      </w:r>
    </w:p>
    <w:p>
      <w:pPr>
        <w:widowControl w:val="0"/>
        <w:rPr>
          <w:noProof/>
        </w:rPr>
      </w:pPr>
      <w:r>
        <w:rPr>
          <w:noProof/>
        </w:rPr>
        <w:t>Позицията на Съвета отразява политическото споразумение, постигнато между него и Европейския парламент на 3 декември 2014 г., и включва елементи, предложени от двете институции. Комисията подкрепя това споразумение.</w:t>
      </w:r>
    </w:p>
    <w:p>
      <w:pPr>
        <w:widowControl w:val="0"/>
        <w:rPr>
          <w:noProof/>
        </w:rPr>
      </w:pPr>
      <w:r>
        <w:rPr>
          <w:noProof/>
        </w:rPr>
        <w:t>Основните включени в тази позиция изменения спрямо предложението на Комисията са следните:</w:t>
      </w:r>
    </w:p>
    <w:p>
      <w:pPr>
        <w:widowControl w:val="0"/>
        <w:rPr>
          <w:noProof/>
        </w:rPr>
      </w:pPr>
      <w:r>
        <w:rPr>
          <w:noProof/>
        </w:rPr>
        <w:t xml:space="preserve">По отношение на НСИ са направени изменения, с които предложеният от Комисията обхват на правомощията, предоставени на ръководителите на НСИ за вземане на решения в областта на статистиката, се ограничава по-конкретно до въпроси в рамките на техните институции. Освен това обхватът на разпоредбата относно професионалната независимост се разширява, за да обхване не само ръководителите на НСИ, но и „ръководителите по статистическите въпроси на други национални органи“. </w:t>
      </w:r>
    </w:p>
    <w:p>
      <w:pPr>
        <w:widowControl w:val="0"/>
        <w:rPr>
          <w:noProof/>
        </w:rPr>
      </w:pPr>
      <w:r>
        <w:rPr>
          <w:noProof/>
        </w:rPr>
        <w:t xml:space="preserve">Конкретно за Евростат е въведен допълнителен член, който до голяма степен се основава на елементи, предвидени в Решението на Комисията относно Евростат (2012/504/ЕС), и съдържа разпоредби относно професионалната независимост на генералния директор на Евростат с цел да се гарантира съответствието със съответните разпоредби, приложими за ръководителите на НСИ. По-специално в споразумението официално се предвижда ежегодното провеждане на диалог по въпросите на статистиката, който ще даде възможност за пряка размяна на мнения между генералния директор на Евростат и съответната комисия на Европейския парламент по статистически въпроси.   </w:t>
      </w:r>
    </w:p>
    <w:p>
      <w:pPr>
        <w:widowControl w:val="0"/>
        <w:rPr>
          <w:noProof/>
        </w:rPr>
      </w:pPr>
      <w:r>
        <w:rPr>
          <w:noProof/>
        </w:rPr>
        <w:t>Разпоредбата относно установяването на „ангажименти във връзка с доверието в статистиката“ от страна на държавите членки вече не е толкова строга, но е съчетана с по-подробно описание на приложимите процеси на наблюдение и докладване от страна на Комисията.</w:t>
      </w:r>
    </w:p>
    <w:p>
      <w:pPr>
        <w:widowControl w:val="0"/>
        <w:rPr>
          <w:noProof/>
        </w:rPr>
      </w:pPr>
      <w:r>
        <w:rPr>
          <w:noProof/>
        </w:rPr>
        <w:t>В отговор на искането на Европейския парламент за по-строго наблюдение на качеството и правоприлагане бяха въведени разпоредби, с които се предвижда издаването на публикация, в която да бъдат изложени опасенията на Комисията относно качеството на националните данни, подавани за целите на европейската статистика, и се припомня, че при съмнение за представяне на неверни статистически данни Комисията може да проведе разследвания, като в такива случаи по силата на секторното законодателство са приложими и глоби.</w:t>
      </w:r>
    </w:p>
    <w:p>
      <w:pPr>
        <w:widowControl w:val="0"/>
        <w:rPr>
          <w:noProof/>
        </w:rPr>
      </w:pPr>
      <w:r>
        <w:rPr>
          <w:noProof/>
        </w:rPr>
        <w:t>И на последно място, бе обърнато допълнително внимание на сътрудничеството между Европейската статистическа система и Европейската система на централните банки при събирането на европейска статистика.</w:t>
      </w:r>
    </w:p>
    <w:p>
      <w:pPr>
        <w:pStyle w:val="ManualHeading1"/>
        <w:rPr>
          <w:noProof/>
        </w:rPr>
      </w:pPr>
      <w:r>
        <w:rPr>
          <w:noProof/>
        </w:rPr>
        <w:t>4.</w:t>
      </w:r>
      <w:r>
        <w:rPr>
          <w:noProof/>
        </w:rPr>
        <w:tab/>
        <w:t>Заключение</w:t>
      </w:r>
    </w:p>
    <w:p>
      <w:pPr>
        <w:rPr>
          <w:noProof/>
        </w:rPr>
      </w:pPr>
      <w:r>
        <w:rPr>
          <w:noProof/>
        </w:rPr>
        <w:t>Комисията приема резултатите от междуинституционалните преговори и следователно може да подкрепи позицията на Съвета на първо четене.</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A4E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2FA5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C445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4A5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541E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6823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D88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83E2D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06 18:29: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68B95079DC549FE8EE1F860345ECAD7"/>
    <w:docVar w:name="LW_CROSSREFERENCE" w:val="&lt;UNUSED&gt;"/>
    <w:docVar w:name="LW_DocType" w:val="COM"/>
    <w:docVar w:name="LW_EMISSION" w:val="10.3.2015"/>
    <w:docVar w:name="LW_EMISSION_ISODATE" w:val="2015-03-10"/>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u1080? \u1079?\u1072? \u1064?\u1074?\u1077?\u1081?\u1094?\u1072?\u1088?\u1080?\u11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4"/>
    <w:docVar w:name="LW_REF.II.NEW.CP_YEAR" w:val="2012"/>
    <w:docVar w:name="LW_REF.INST.NEW" w:val="COM"/>
    <w:docVar w:name="LW_REF.INST.NEW_ADOPTED" w:val="final"/>
    <w:docVar w:name="LW_REF.INST.NEW_TEXT" w:val="(2015) 125"/>
    <w:docVar w:name="LW_REF.INTERNE" w:val="&lt;UNUSED&gt;"/>
    <w:docVar w:name="LW_SOUS.TITRE.OBJ.CP" w:val="&lt;UNUSED&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79?\u1072? \u1080?\u1079?\u1084?\u1077?\u1085?\u1077?\u1085?\u1080?\u1077? \u1085?\u1072? \u1056?\u1077?\u1075?\u1083?\u1072?\u1084?\u1077?\u1085?\u1090? (E\u1054?) \u8470? 223/2009 \u1086?\u1090?\u1085?\u1086?\u1089?\u1085?\u1086? \u1077?\u1074?\u1088?\u1086?\u1087?\u1077?\u1081?\u1089?\u1082?\u1072?\u1090?\u1072? \u1089?\u1090?\u1072?\u1090?\u1080?\u1089?\u1090?\u1080?\u1082?\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1150</Words>
  <Characters>7100</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2015-02-25T09:09:00Z</cp:lastPrinted>
  <dcterms:created xsi:type="dcterms:W3CDTF">2015-03-06T08:42:00Z</dcterms:created>
  <dcterms:modified xsi:type="dcterms:W3CDTF">2015-03-06T17:29:00Z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02)</vt:lpwstr>
  </property>
</Properties>
</file>