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B1" w:rsidRDefault="007C505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EE63F08E51465EB82321E758AA9AAD" style="width:450.75pt;height:307.5pt">
            <v:imagedata r:id="rId9" o:title=""/>
          </v:shape>
        </w:pict>
      </w:r>
    </w:p>
    <w:bookmarkEnd w:id="0"/>
    <w:p w:rsidR="00C37BB1" w:rsidRDefault="00C37BB1">
      <w:pPr>
        <w:rPr>
          <w:noProof/>
        </w:rPr>
        <w:sectPr w:rsidR="00C37BB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37BB1" w:rsidRDefault="00C37BB1">
      <w:pPr>
        <w:spacing w:after="120"/>
        <w:jc w:val="center"/>
        <w:rPr>
          <w:b/>
          <w:noProof/>
          <w:u w:val="single"/>
        </w:rPr>
      </w:pPr>
    </w:p>
    <w:p w:rsidR="00C37BB1" w:rsidRDefault="007C505C">
      <w:pPr>
        <w:spacing w:after="120"/>
        <w:jc w:val="center"/>
        <w:rPr>
          <w:b/>
          <w:noProof/>
          <w:u w:val="single"/>
        </w:rPr>
      </w:pPr>
      <w:r>
        <w:rPr>
          <w:rFonts w:ascii="Times New Roman Bold" w:hAnsi="Times New Roman Bold"/>
          <w:b/>
          <w:caps/>
          <w:noProof/>
          <w:sz w:val="24"/>
        </w:rPr>
        <w:t xml:space="preserve">Éléments relatifs à une stratégie régionale de l'UE pour la Syrie et l'Iraq ainsi que pour la </w:t>
      </w:r>
      <w:r>
        <w:rPr>
          <w:rFonts w:ascii="Times New Roman Bold" w:hAnsi="Times New Roman Bold"/>
          <w:b/>
          <w:caps/>
          <w:noProof/>
          <w:sz w:val="24"/>
        </w:rPr>
        <w:t>menace que constitue Daech</w:t>
      </w:r>
    </w:p>
    <w:p w:rsidR="00C37BB1" w:rsidRDefault="00C37BB1">
      <w:pPr>
        <w:spacing w:after="120" w:line="240" w:lineRule="auto"/>
        <w:rPr>
          <w:rFonts w:ascii="Times New Roman" w:hAnsi="Times New Roman"/>
          <w:b/>
          <w:i/>
          <w:noProof/>
          <w:sz w:val="24"/>
          <w:szCs w:val="24"/>
          <w:u w:val="single"/>
        </w:rPr>
      </w:pPr>
    </w:p>
    <w:p w:rsidR="00C37BB1" w:rsidRDefault="007C505C">
      <w:pPr>
        <w:spacing w:after="120" w:line="240" w:lineRule="auto"/>
        <w:rPr>
          <w:rFonts w:ascii="Times New Roman" w:hAnsi="Times New Roman"/>
          <w:b/>
          <w:i/>
          <w:noProof/>
          <w:sz w:val="24"/>
          <w:szCs w:val="24"/>
          <w:u w:val="single"/>
        </w:rPr>
      </w:pPr>
      <w:r>
        <w:rPr>
          <w:rFonts w:ascii="Times New Roman" w:hAnsi="Times New Roman"/>
          <w:b/>
          <w:i/>
          <w:noProof/>
          <w:sz w:val="24"/>
          <w:u w:val="single"/>
        </w:rPr>
        <w:t>Synthèse</w:t>
      </w:r>
    </w:p>
    <w:p w:rsidR="00C37BB1" w:rsidRDefault="007C505C">
      <w:pPr>
        <w:spacing w:after="120" w:line="240" w:lineRule="auto"/>
        <w:jc w:val="both"/>
        <w:rPr>
          <w:rFonts w:ascii="Times New Roman" w:hAnsi="Times New Roman"/>
          <w:i/>
          <w:noProof/>
          <w:sz w:val="24"/>
          <w:szCs w:val="24"/>
        </w:rPr>
      </w:pPr>
      <w:r>
        <w:rPr>
          <w:rFonts w:ascii="Times New Roman" w:hAnsi="Times New Roman"/>
          <w:i/>
          <w:noProof/>
          <w:sz w:val="24"/>
        </w:rPr>
        <w:t>Le 20 octobre 2014, le Conseil des affaires étrangères a exprimé la détermination de l’UE de faire face de manière globale et coordonnée aux crises en Syrie et en Iraq et à la menace que constitue Daech</w:t>
      </w:r>
      <w:r>
        <w:rPr>
          <w:rStyle w:val="FootnoteReference"/>
          <w:rFonts w:ascii="Times New Roman" w:hAnsi="Times New Roman"/>
          <w:i/>
          <w:noProof/>
          <w:sz w:val="24"/>
        </w:rPr>
        <w:footnoteReference w:id="2"/>
      </w:r>
      <w:r>
        <w:rPr>
          <w:rFonts w:ascii="Times New Roman" w:hAnsi="Times New Roman"/>
          <w:i/>
          <w:noProof/>
          <w:sz w:val="24"/>
        </w:rPr>
        <w:t>. À cette fin, i</w:t>
      </w:r>
      <w:r>
        <w:rPr>
          <w:rFonts w:ascii="Times New Roman" w:hAnsi="Times New Roman"/>
          <w:i/>
          <w:noProof/>
          <w:sz w:val="24"/>
        </w:rPr>
        <w:t>l a invité la haute représentante de l’Union pour les affaires étrangères et la politique de sécurité/vice-présidente de la Commission européenne à élaborer une stratégie régionale globale de l’UE.</w:t>
      </w:r>
    </w:p>
    <w:p w:rsidR="00C37BB1" w:rsidRDefault="007C505C">
      <w:pPr>
        <w:spacing w:after="120" w:line="240" w:lineRule="auto"/>
        <w:jc w:val="both"/>
        <w:rPr>
          <w:rFonts w:ascii="Times New Roman" w:hAnsi="Times New Roman"/>
          <w:i/>
          <w:noProof/>
          <w:sz w:val="24"/>
          <w:szCs w:val="24"/>
        </w:rPr>
      </w:pPr>
      <w:r>
        <w:rPr>
          <w:rFonts w:ascii="Times New Roman" w:hAnsi="Times New Roman"/>
          <w:i/>
          <w:noProof/>
          <w:sz w:val="24"/>
        </w:rPr>
        <w:t>La présente communication conjointe vise à définir les act</w:t>
      </w:r>
      <w:r>
        <w:rPr>
          <w:rFonts w:ascii="Times New Roman" w:hAnsi="Times New Roman"/>
          <w:i/>
          <w:noProof/>
          <w:sz w:val="24"/>
        </w:rPr>
        <w:t>ions que l’UE et ses États membres vont mener pour contribuer à rétablir la paix et la sécurité en Syrie et en Iraq. Ces actions sont fondées sur des analyses approfondies de la situation dans les deux pays ainsi que sur les facteurs à l'origine des crises</w:t>
      </w:r>
      <w:r>
        <w:rPr>
          <w:rFonts w:ascii="Times New Roman" w:hAnsi="Times New Roman"/>
          <w:i/>
          <w:noProof/>
          <w:sz w:val="24"/>
        </w:rPr>
        <w:t xml:space="preserve"> actuelles, parmi lesquels les régimes dictatoriaux répressifs, les conflits armés, une gestion des affaires publiques guidée par la corruption et l'exclusion, les violations des droits de l'homme, les divisions confessionnelles, le sentiment d'être privée</w:t>
      </w:r>
      <w:r>
        <w:rPr>
          <w:rFonts w:ascii="Times New Roman" w:hAnsi="Times New Roman"/>
          <w:i/>
          <w:noProof/>
          <w:sz w:val="24"/>
        </w:rPr>
        <w:t xml:space="preserve">s de leurs droits de certaines franges de la population sunnite ainsi que les tensions entre les pouvoirs de la région, avec leurs répercussions négatives sur les affaires intérieures de la Syrie et de l’Iraq. </w:t>
      </w:r>
    </w:p>
    <w:p w:rsidR="00C37BB1" w:rsidRDefault="007C505C">
      <w:pPr>
        <w:spacing w:after="120" w:line="240" w:lineRule="auto"/>
        <w:jc w:val="both"/>
        <w:rPr>
          <w:rFonts w:ascii="Times New Roman" w:hAnsi="Times New Roman"/>
          <w:i/>
          <w:noProof/>
          <w:sz w:val="24"/>
          <w:szCs w:val="24"/>
        </w:rPr>
      </w:pPr>
      <w:r>
        <w:rPr>
          <w:rFonts w:ascii="Times New Roman" w:hAnsi="Times New Roman"/>
          <w:i/>
          <w:noProof/>
          <w:sz w:val="24"/>
        </w:rPr>
        <w:t>La réponse de l’Union européenne décrite ci-a</w:t>
      </w:r>
      <w:r>
        <w:rPr>
          <w:rFonts w:ascii="Times New Roman" w:hAnsi="Times New Roman"/>
          <w:i/>
          <w:noProof/>
          <w:sz w:val="24"/>
        </w:rPr>
        <w:t>près s’appuie sur les analyses et les stratégies existantes</w:t>
      </w:r>
      <w:r>
        <w:rPr>
          <w:rStyle w:val="FootnoteReference"/>
          <w:rFonts w:ascii="Times New Roman" w:hAnsi="Times New Roman"/>
          <w:i/>
          <w:noProof/>
          <w:sz w:val="24"/>
        </w:rPr>
        <w:footnoteReference w:id="3"/>
      </w:r>
      <w:r>
        <w:rPr>
          <w:rFonts w:ascii="Times New Roman" w:hAnsi="Times New Roman"/>
          <w:i/>
          <w:noProof/>
          <w:sz w:val="24"/>
        </w:rPr>
        <w:t>, et vise à:</w:t>
      </w:r>
    </w:p>
    <w:p w:rsidR="00C37BB1" w:rsidRDefault="007C505C">
      <w:pPr>
        <w:numPr>
          <w:ilvl w:val="0"/>
          <w:numId w:val="4"/>
        </w:numPr>
        <w:spacing w:after="120" w:line="240" w:lineRule="auto"/>
        <w:jc w:val="both"/>
        <w:rPr>
          <w:rFonts w:ascii="Times New Roman" w:hAnsi="Times New Roman"/>
          <w:i/>
          <w:noProof/>
          <w:sz w:val="24"/>
          <w:szCs w:val="24"/>
        </w:rPr>
      </w:pPr>
      <w:r>
        <w:rPr>
          <w:rFonts w:ascii="Times New Roman" w:hAnsi="Times New Roman"/>
          <w:i/>
          <w:noProof/>
          <w:sz w:val="24"/>
        </w:rPr>
        <w:t xml:space="preserve">identifier les intérêts de l’UE, à définir la contribution de l’UE à l’effort international élargi afin d’instaurer durablement la paix et la sécurité en Syrie, en Iraq et dans l'ensemble de la région, et de lutter contre la menace que constitue Daech; </w:t>
      </w:r>
    </w:p>
    <w:p w:rsidR="00C37BB1" w:rsidRDefault="007C505C">
      <w:pPr>
        <w:numPr>
          <w:ilvl w:val="0"/>
          <w:numId w:val="4"/>
        </w:numPr>
        <w:spacing w:after="120" w:line="240" w:lineRule="auto"/>
        <w:jc w:val="both"/>
        <w:rPr>
          <w:rFonts w:ascii="Times New Roman" w:hAnsi="Times New Roman"/>
          <w:i/>
          <w:noProof/>
          <w:sz w:val="24"/>
          <w:szCs w:val="24"/>
        </w:rPr>
      </w:pPr>
      <w:r>
        <w:rPr>
          <w:rFonts w:ascii="Times New Roman" w:hAnsi="Times New Roman"/>
          <w:i/>
          <w:noProof/>
          <w:sz w:val="24"/>
        </w:rPr>
        <w:t>as</w:t>
      </w:r>
      <w:r>
        <w:rPr>
          <w:rFonts w:ascii="Times New Roman" w:hAnsi="Times New Roman"/>
          <w:i/>
          <w:noProof/>
          <w:sz w:val="24"/>
        </w:rPr>
        <w:t>surer la complémentarité entre l’action de l’UE et celle des États membres de l’UE, grâce à une appropriation commune de la stratégie et à l'identification d’objectifs communs;</w:t>
      </w:r>
    </w:p>
    <w:p w:rsidR="00C37BB1" w:rsidRDefault="007C505C">
      <w:pPr>
        <w:numPr>
          <w:ilvl w:val="0"/>
          <w:numId w:val="4"/>
        </w:numPr>
        <w:spacing w:after="120" w:line="240" w:lineRule="auto"/>
        <w:jc w:val="both"/>
        <w:rPr>
          <w:rFonts w:ascii="Times New Roman" w:hAnsi="Times New Roman"/>
          <w:i/>
          <w:noProof/>
          <w:sz w:val="24"/>
          <w:szCs w:val="24"/>
        </w:rPr>
      </w:pPr>
      <w:r>
        <w:rPr>
          <w:rFonts w:ascii="Times New Roman" w:hAnsi="Times New Roman"/>
          <w:i/>
          <w:noProof/>
          <w:sz w:val="24"/>
        </w:rPr>
        <w:t xml:space="preserve"> cerner les points communs des crises en Iraq et en Syrie (principalement la me</w:t>
      </w:r>
      <w:r>
        <w:rPr>
          <w:rFonts w:ascii="Times New Roman" w:hAnsi="Times New Roman"/>
          <w:i/>
          <w:noProof/>
          <w:sz w:val="24"/>
        </w:rPr>
        <w:t>nace terroriste et les graves répercussions humanitaires que ces crises ont provoquées) ainsi que leurs spécificités;</w:t>
      </w:r>
    </w:p>
    <w:p w:rsidR="00C37BB1" w:rsidRDefault="007C505C">
      <w:pPr>
        <w:numPr>
          <w:ilvl w:val="0"/>
          <w:numId w:val="4"/>
        </w:numPr>
        <w:spacing w:after="120" w:line="240" w:lineRule="auto"/>
        <w:jc w:val="both"/>
        <w:rPr>
          <w:rFonts w:ascii="Times New Roman" w:hAnsi="Times New Roman"/>
          <w:i/>
          <w:noProof/>
          <w:sz w:val="24"/>
          <w:szCs w:val="24"/>
        </w:rPr>
      </w:pPr>
      <w:r>
        <w:rPr>
          <w:rFonts w:ascii="Times New Roman" w:hAnsi="Times New Roman"/>
          <w:i/>
          <w:noProof/>
          <w:sz w:val="24"/>
        </w:rPr>
        <w:t>encourager les pays de la région à prendre des responsabilités particulières afin de mettre un terme aux crises et de lutter contre l’extr</w:t>
      </w:r>
      <w:r>
        <w:rPr>
          <w:rFonts w:ascii="Times New Roman" w:hAnsi="Times New Roman"/>
          <w:i/>
          <w:noProof/>
          <w:sz w:val="24"/>
        </w:rPr>
        <w:t>émisme violent de Daech et d’autres groupes terroristes qui les menace en premier lieu, ainsi qu'à apporter un soutien approprié de l’UE aux efforts qu'ils déploient;</w:t>
      </w:r>
    </w:p>
    <w:p w:rsidR="00C37BB1" w:rsidRDefault="007C505C">
      <w:pPr>
        <w:numPr>
          <w:ilvl w:val="0"/>
          <w:numId w:val="4"/>
        </w:numPr>
        <w:spacing w:after="120" w:line="240" w:lineRule="auto"/>
        <w:jc w:val="both"/>
        <w:rPr>
          <w:rFonts w:ascii="Times New Roman" w:hAnsi="Times New Roman"/>
          <w:i/>
          <w:noProof/>
          <w:sz w:val="24"/>
          <w:szCs w:val="24"/>
        </w:rPr>
      </w:pPr>
      <w:r>
        <w:rPr>
          <w:rFonts w:ascii="Times New Roman" w:hAnsi="Times New Roman"/>
          <w:i/>
          <w:noProof/>
          <w:sz w:val="24"/>
        </w:rPr>
        <w:t>reconnaître les limites des interventions sur le plan de la sécurité et de la lutte contr</w:t>
      </w:r>
      <w:r>
        <w:rPr>
          <w:rFonts w:ascii="Times New Roman" w:hAnsi="Times New Roman"/>
          <w:i/>
          <w:noProof/>
          <w:sz w:val="24"/>
        </w:rPr>
        <w:t xml:space="preserve">e le terrorisme, même si les actions militaires sont nécessaires à court terme. La réponse de l’UE insiste donc sur la nécessité d’un engagement suivi et global afin de s'attaquer à la dynamique sous-jacente du conflit grâce à une coopération </w:t>
      </w:r>
      <w:r>
        <w:rPr>
          <w:rFonts w:ascii="Times New Roman" w:hAnsi="Times New Roman"/>
          <w:i/>
          <w:noProof/>
          <w:sz w:val="24"/>
        </w:rPr>
        <w:lastRenderedPageBreak/>
        <w:t xml:space="preserve">diplomatique </w:t>
      </w:r>
      <w:r>
        <w:rPr>
          <w:rFonts w:ascii="Times New Roman" w:hAnsi="Times New Roman"/>
          <w:i/>
          <w:noProof/>
          <w:sz w:val="24"/>
        </w:rPr>
        <w:t xml:space="preserve">et au soutien à long terme des réformes politiques, du développement socio-économique et de la réconciliation ethnoconfessionnelle. </w:t>
      </w:r>
    </w:p>
    <w:p w:rsidR="00C37BB1" w:rsidRDefault="007C505C">
      <w:pPr>
        <w:spacing w:after="120" w:line="240" w:lineRule="auto"/>
        <w:jc w:val="both"/>
        <w:rPr>
          <w:rFonts w:ascii="Times New Roman" w:hAnsi="Times New Roman"/>
          <w:i/>
          <w:noProof/>
          <w:sz w:val="24"/>
          <w:szCs w:val="24"/>
        </w:rPr>
      </w:pPr>
      <w:r>
        <w:rPr>
          <w:rFonts w:ascii="Times New Roman" w:hAnsi="Times New Roman"/>
          <w:i/>
          <w:noProof/>
          <w:sz w:val="24"/>
        </w:rPr>
        <w:t>Les actions présentées dans la présente communication conjointe se renforcent mutuellement et doivent donc être menées, pour l'essentiel, en parallèle. L'ordre de priorité des différentes actions proposées devra être défini de manière dynamique et détaillé</w:t>
      </w:r>
      <w:r>
        <w:rPr>
          <w:rFonts w:ascii="Times New Roman" w:hAnsi="Times New Roman"/>
          <w:i/>
          <w:noProof/>
          <w:sz w:val="24"/>
        </w:rPr>
        <w:t xml:space="preserve">e au fur et à mesure de la mise en œuvre de la présente stratégie, l’UE devant réagir en fonction de l'évolution de la situation sur le terrain et viser la complémentarité avec les efforts déployés par la communauté internationale. </w:t>
      </w:r>
    </w:p>
    <w:p w:rsidR="00C37BB1" w:rsidRDefault="007C505C">
      <w:pPr>
        <w:pStyle w:val="ListParagraph"/>
        <w:spacing w:after="120"/>
        <w:ind w:left="0"/>
        <w:contextualSpacing w:val="0"/>
        <w:jc w:val="both"/>
        <w:rPr>
          <w:rFonts w:ascii="Times New Roman" w:hAnsi="Times New Roman"/>
          <w:i/>
          <w:noProof/>
          <w:sz w:val="24"/>
          <w:szCs w:val="24"/>
        </w:rPr>
      </w:pPr>
      <w:r>
        <w:rPr>
          <w:rFonts w:ascii="Times New Roman" w:hAnsi="Times New Roman"/>
          <w:i/>
          <w:noProof/>
          <w:sz w:val="24"/>
        </w:rPr>
        <w:t>Pour atteindre ses obje</w:t>
      </w:r>
      <w:r>
        <w:rPr>
          <w:rFonts w:ascii="Times New Roman" w:hAnsi="Times New Roman"/>
          <w:i/>
          <w:noProof/>
          <w:sz w:val="24"/>
        </w:rPr>
        <w:t>ctifs et garantir une réponse efficace, l'UE doit s'assurer un financement durable et prévisible, à la hauteur des besoins de la région qui sont d'une ampleur sans précédent. En conséquence, la Commission propose un ensemble de mesures d’aide pour un monta</w:t>
      </w:r>
      <w:r>
        <w:rPr>
          <w:rFonts w:ascii="Times New Roman" w:hAnsi="Times New Roman"/>
          <w:i/>
          <w:noProof/>
          <w:sz w:val="24"/>
        </w:rPr>
        <w:t>nt de 1 000 000 000 EUR à prélever sur le budget de l'UE pour les exercices 2015 et 2016. Les détails de cette proposition sont exposés dans la fiche financière jointe à la présente communication.</w:t>
      </w:r>
    </w:p>
    <w:p w:rsidR="00C37BB1" w:rsidRDefault="00C37BB1">
      <w:pPr>
        <w:spacing w:after="120" w:line="240" w:lineRule="auto"/>
        <w:jc w:val="both"/>
        <w:rPr>
          <w:rFonts w:ascii="Times New Roman" w:hAnsi="Times New Roman"/>
          <w:i/>
          <w:noProof/>
          <w:sz w:val="24"/>
          <w:szCs w:val="24"/>
          <w:u w:val="single"/>
        </w:rPr>
      </w:pPr>
    </w:p>
    <w:p w:rsidR="00C37BB1" w:rsidRDefault="007C505C">
      <w:pPr>
        <w:spacing w:after="120" w:line="240" w:lineRule="auto"/>
        <w:jc w:val="both"/>
        <w:rPr>
          <w:rFonts w:ascii="Times New Roman" w:hAnsi="Times New Roman"/>
          <w:b/>
          <w:noProof/>
          <w:sz w:val="24"/>
          <w:szCs w:val="24"/>
          <w:u w:val="single"/>
        </w:rPr>
      </w:pPr>
      <w:r>
        <w:rPr>
          <w:rFonts w:ascii="Times New Roman" w:hAnsi="Times New Roman"/>
          <w:b/>
          <w:noProof/>
          <w:sz w:val="24"/>
          <w:u w:val="single"/>
        </w:rPr>
        <w:t xml:space="preserve">1- CONTEXTE </w:t>
      </w:r>
    </w:p>
    <w:p w:rsidR="00C37BB1" w:rsidRDefault="007C505C">
      <w:pPr>
        <w:spacing w:after="120" w:line="240" w:lineRule="auto"/>
        <w:ind w:left="720"/>
        <w:rPr>
          <w:rFonts w:ascii="Times New Roman" w:hAnsi="Times New Roman"/>
          <w:b/>
          <w:i/>
          <w:noProof/>
          <w:sz w:val="24"/>
          <w:szCs w:val="24"/>
        </w:rPr>
      </w:pPr>
      <w:r>
        <w:rPr>
          <w:rFonts w:ascii="Times New Roman" w:hAnsi="Times New Roman"/>
          <w:b/>
          <w:i/>
          <w:noProof/>
          <w:sz w:val="24"/>
        </w:rPr>
        <w:t>Nécessité d'un cadre d'orientation complet po</w:t>
      </w:r>
      <w:r>
        <w:rPr>
          <w:rFonts w:ascii="Times New Roman" w:hAnsi="Times New Roman"/>
          <w:b/>
          <w:i/>
          <w:noProof/>
          <w:sz w:val="24"/>
        </w:rPr>
        <w:t xml:space="preserve">ur les actions de l'UE en faveur de la Syrie et de l’Iraq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Le Moyen-Orient traverse actuellement une crise profonde. Les conflits en Syrie et en Iraq en sont à la fois le reflet et le moteur et risquent de plus en plus de déstabiliser les pays voisins et l</w:t>
      </w:r>
      <w:r>
        <w:rPr>
          <w:rFonts w:ascii="Times New Roman" w:hAnsi="Times New Roman"/>
          <w:noProof/>
          <w:sz w:val="24"/>
        </w:rPr>
        <w:t>a région dans son ensemble. Ces crises ont engendré une catastrophe humanitaire qui touche plus de 13,5 millions de personnes contraintes de fuir leur foyer (3,8 millions de Syriens réfugiés dans les pays voisins, le HCR estimant qu'ils seront 4,3 millions</w:t>
      </w:r>
      <w:r>
        <w:rPr>
          <w:rFonts w:ascii="Times New Roman" w:hAnsi="Times New Roman"/>
          <w:noProof/>
          <w:sz w:val="24"/>
        </w:rPr>
        <w:t xml:space="preserve"> d'ici la fin 2015, et 7,6 millions de personnes déplacées dans la seule Syrie), et rendent plus de 17 millions de personnes tributaires de l'aide humanitaire (12,2 millions en Syrie et 5,2 millions en Iraq).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Après plus de quatre années de violents combat</w:t>
      </w:r>
      <w:r>
        <w:rPr>
          <w:rFonts w:ascii="Times New Roman" w:hAnsi="Times New Roman"/>
          <w:noProof/>
          <w:sz w:val="24"/>
        </w:rPr>
        <w:t>s en Syrie, la volonté affichée de Daech d'établir un État différent, à l'idéologie radicale, s'est avérée séduisante pour nombre d'extrémistes de la région et au-delà, en particulier dans ces zones de Syrie et d'Iraq où la puissance publique a cessé d'êtr</w:t>
      </w:r>
      <w:r>
        <w:rPr>
          <w:rFonts w:ascii="Times New Roman" w:hAnsi="Times New Roman"/>
          <w:noProof/>
          <w:sz w:val="24"/>
        </w:rPr>
        <w:t xml:space="preserve">e exercée et où règne un sentiment de marginalisation politique et socioéconomique.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Il incombe à l'UE, en sa qualité d'acteur de poids dans la région, de faire en sorte d'utiliser son influence et ses nombreux instruments à bon escient et de manière cohér</w:t>
      </w:r>
      <w:r>
        <w:rPr>
          <w:rFonts w:ascii="Times New Roman" w:hAnsi="Times New Roman"/>
          <w:noProof/>
          <w:sz w:val="24"/>
        </w:rPr>
        <w:t xml:space="preserve">ente afin de protéger des vies humaines, de défendre la dignité humaine et les droits de l'homme et de contribuer à la résolution de ces crises, en concertation étroite avec ses partenaires régionaux et internationaux. La présente stratégie s'appuiera, en </w:t>
      </w:r>
      <w:r>
        <w:rPr>
          <w:rFonts w:ascii="Times New Roman" w:hAnsi="Times New Roman"/>
          <w:noProof/>
          <w:sz w:val="24"/>
        </w:rPr>
        <w:t>particulier, sur la</w:t>
      </w:r>
      <w:r>
        <w:rPr>
          <w:rFonts w:ascii="Times New Roman" w:hAnsi="Times New Roman"/>
          <w:i/>
          <w:noProof/>
          <w:sz w:val="24"/>
        </w:rPr>
        <w:t xml:space="preserve"> stratégie de l'UE concernant la lutte contre le terrorisme et les combattants étrangers</w:t>
      </w:r>
      <w:r>
        <w:rPr>
          <w:rFonts w:ascii="Times New Roman" w:hAnsi="Times New Roman"/>
          <w:noProof/>
          <w:sz w:val="24"/>
        </w:rPr>
        <w:t xml:space="preserve"> et sur la communication conjointe «</w:t>
      </w:r>
      <w:r>
        <w:rPr>
          <w:rFonts w:ascii="Times New Roman" w:hAnsi="Times New Roman"/>
          <w:i/>
          <w:noProof/>
          <w:sz w:val="24"/>
        </w:rPr>
        <w:t>Vers une approche globale de l'UE face à la crise syrienne</w:t>
      </w:r>
      <w:r>
        <w:rPr>
          <w:rFonts w:ascii="Times New Roman" w:hAnsi="Times New Roman"/>
          <w:noProof/>
          <w:sz w:val="24"/>
        </w:rPr>
        <w:t>», qu'elle complétera. En outre, l'UE a des raisons imp</w:t>
      </w:r>
      <w:r>
        <w:rPr>
          <w:rFonts w:ascii="Times New Roman" w:hAnsi="Times New Roman"/>
          <w:noProof/>
          <w:sz w:val="24"/>
        </w:rPr>
        <w:t>érieuses, liées à son intérêt propre, d'accroître son engagement en Syrie, en Iraq et dans les pays voisins. Il s'agit notamment des facteurs suivants: la violation de valeurs et de droits universellement reconnus qui sont au cœur de la politique étrangère</w:t>
      </w:r>
      <w:r>
        <w:rPr>
          <w:rFonts w:ascii="Times New Roman" w:hAnsi="Times New Roman"/>
          <w:noProof/>
          <w:sz w:val="24"/>
        </w:rPr>
        <w:t xml:space="preserve"> européenne; le risque d'effondrement de la puissance publique et de chaos politique dans des pays d'accueil débordés, comme le Liban et la Jordanie, qui vient s'ajouter aux pressions migratoires résultant des déplacements de populations et de la traite co</w:t>
      </w:r>
      <w:r>
        <w:rPr>
          <w:rFonts w:ascii="Times New Roman" w:hAnsi="Times New Roman"/>
          <w:noProof/>
          <w:sz w:val="24"/>
        </w:rPr>
        <w:t>nnexe d'êtres humains; le contrôle par Daech d’un territoire s'étendant sur deux États; le risque de contagion du terrorisme de type Daech à d’autres pays ainsi que le danger d'une déstabilisation supplémentaire de la région; la menace que font peser sur l</w:t>
      </w:r>
      <w:r>
        <w:rPr>
          <w:rFonts w:ascii="Times New Roman" w:hAnsi="Times New Roman"/>
          <w:noProof/>
          <w:sz w:val="24"/>
        </w:rPr>
        <w:t>a sécurité de l’UE les ressortissants de l’UE (et d’autres) qui ont rejoint les rangs des groupes terroristes en tant que combattants terroristes étrangers; le coût que représente la perte de la Syrie et de l’Iraq en tant que partenaires pour une paix dura</w:t>
      </w:r>
      <w:r>
        <w:rPr>
          <w:rFonts w:ascii="Times New Roman" w:hAnsi="Times New Roman"/>
          <w:noProof/>
          <w:sz w:val="24"/>
        </w:rPr>
        <w:t xml:space="preserve">ble au Moyen-Orient ainsi qu'en tant que partenaires commerciaux et fournisseurs d’énergie, et la disparition d'un patrimoine culturel. </w:t>
      </w:r>
    </w:p>
    <w:p w:rsidR="00C37BB1" w:rsidRDefault="00C37BB1">
      <w:pPr>
        <w:spacing w:after="120" w:line="240" w:lineRule="auto"/>
        <w:ind w:firstLine="720"/>
        <w:jc w:val="both"/>
        <w:rPr>
          <w:rFonts w:ascii="Times New Roman" w:hAnsi="Times New Roman"/>
          <w:b/>
          <w:i/>
          <w:noProof/>
          <w:sz w:val="24"/>
          <w:szCs w:val="24"/>
        </w:rPr>
      </w:pPr>
    </w:p>
    <w:p w:rsidR="00C37BB1" w:rsidRDefault="007C505C">
      <w:pPr>
        <w:spacing w:after="120" w:line="240" w:lineRule="auto"/>
        <w:ind w:firstLine="720"/>
        <w:jc w:val="both"/>
        <w:rPr>
          <w:rFonts w:ascii="Times New Roman" w:hAnsi="Times New Roman"/>
          <w:b/>
          <w:i/>
          <w:noProof/>
          <w:sz w:val="24"/>
          <w:szCs w:val="24"/>
        </w:rPr>
      </w:pPr>
      <w:r>
        <w:rPr>
          <w:rFonts w:ascii="Times New Roman" w:hAnsi="Times New Roman"/>
          <w:b/>
          <w:i/>
          <w:noProof/>
          <w:sz w:val="24"/>
        </w:rPr>
        <w:t>Situation générale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Syrie</w:t>
      </w:r>
      <w:r>
        <w:rPr>
          <w:rFonts w:ascii="Times New Roman" w:hAnsi="Times New Roman"/>
          <w:noProof/>
          <w:sz w:val="24"/>
          <w:szCs w:val="24"/>
        </w:rPr>
        <w:t xml:space="preserve"> a connu une période de stabilité répressive et de coexistence religieuse après le coup d’É</w:t>
      </w:r>
      <w:r>
        <w:rPr>
          <w:rFonts w:ascii="Times New Roman" w:hAnsi="Times New Roman"/>
          <w:noProof/>
          <w:sz w:val="24"/>
          <w:szCs w:val="24"/>
        </w:rPr>
        <w:t>tat militaire de 1966 qui a permis l'installation du régime autocratique du parti Baas.</w:t>
      </w:r>
      <w:r>
        <w:rPr>
          <w:rFonts w:ascii="Times New Roman" w:hAnsi="Times New Roman"/>
          <w:noProof/>
          <w:sz w:val="24"/>
        </w:rPr>
        <w:t xml:space="preserve"> Bachar el-Assad est arrivé au pouvoir après le décès de son père en 2000, en promettant des réformes politiques et économiques progressives qui n'ont pas été suffisamme</w:t>
      </w:r>
      <w:r>
        <w:rPr>
          <w:rFonts w:ascii="Times New Roman" w:hAnsi="Times New Roman"/>
          <w:noProof/>
          <w:sz w:val="24"/>
        </w:rPr>
        <w:t>nt menées à bien. L’ouverture de l’économie de la Syrie et la croissance du secteur privé qui s’en est suivie ont révélé d'importants déséquilibres sociaux. Les réformes structurelles nécessaires, que l’UE a encouragées en offrant à la Syrie la perspective</w:t>
      </w:r>
      <w:r>
        <w:rPr>
          <w:rFonts w:ascii="Times New Roman" w:hAnsi="Times New Roman"/>
          <w:noProof/>
          <w:sz w:val="24"/>
        </w:rPr>
        <w:t xml:space="preserve"> d’un accord d’association</w:t>
      </w:r>
      <w:r>
        <w:rPr>
          <w:rStyle w:val="FootnoteReference"/>
          <w:rFonts w:ascii="Times New Roman" w:hAnsi="Times New Roman"/>
          <w:noProof/>
          <w:sz w:val="24"/>
        </w:rPr>
        <w:footnoteReference w:id="4"/>
      </w:r>
      <w:r>
        <w:rPr>
          <w:rFonts w:ascii="Times New Roman" w:hAnsi="Times New Roman"/>
          <w:noProof/>
          <w:sz w:val="24"/>
        </w:rPr>
        <w:t>, n’ont jamais été complètement réalisées. La libéralisation de l’économie nationale a conduit à une croissance économique qui a largement profité aux élites associées au régime et à son appareil de sécurité, mais ne s'est pas tr</w:t>
      </w:r>
      <w:r>
        <w:rPr>
          <w:rFonts w:ascii="Times New Roman" w:hAnsi="Times New Roman"/>
          <w:noProof/>
          <w:sz w:val="24"/>
        </w:rPr>
        <w:t>aduite par un développement équitable et durable.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En 2011, les mouvements de protestation pacifique syriens, nés d'aspirations démocratiques inspirés par les mouvements du «printemps arabe» dans d’autres pays et guidés par un sentiment de frustration enver</w:t>
      </w:r>
      <w:r>
        <w:rPr>
          <w:rFonts w:ascii="Times New Roman" w:hAnsi="Times New Roman"/>
          <w:noProof/>
          <w:sz w:val="24"/>
        </w:rPr>
        <w:t>s l’ordre économique et politique non ouvert à tous en vigueur, ont été brutalement réprimés par le régime Assad. Cette réaction a poussé une partie de la population syrienne à la rébellion armée. La répression brutale des mouvements de protestation et d’i</w:t>
      </w:r>
      <w:r>
        <w:rPr>
          <w:rFonts w:ascii="Times New Roman" w:hAnsi="Times New Roman"/>
          <w:noProof/>
          <w:sz w:val="24"/>
        </w:rPr>
        <w:t>nsurrection exercée par le régime Assad, les violations massives des droits de l’homme et l’obstruction systématique faite aux réformes démocratiques, ainsi que la poursuite d'un conflit sans issue claire ont progressivement conduit à la montée en puissanc</w:t>
      </w:r>
      <w:r>
        <w:rPr>
          <w:rFonts w:ascii="Times New Roman" w:hAnsi="Times New Roman"/>
          <w:noProof/>
          <w:sz w:val="24"/>
        </w:rPr>
        <w:t>e de groupes extrémistes au détriment de l’opposition modérée.</w:t>
      </w:r>
      <w:r>
        <w:rPr>
          <w:rFonts w:ascii="Times New Roman" w:hAnsi="Times New Roman"/>
          <w:noProof/>
          <w:color w:val="000000"/>
          <w:sz w:val="24"/>
        </w:rPr>
        <w:t xml:space="preserve"> Les parties belligérantes ont reçu l’appui de puissances extérieures, ce qui a aggravé la situation.</w:t>
      </w:r>
      <w:r>
        <w:rPr>
          <w:rFonts w:ascii="Times New Roman" w:hAnsi="Times New Roman"/>
          <w:noProof/>
          <w:sz w:val="24"/>
        </w:rPr>
        <w:t xml:space="preserve"> Jabhat al-Nosra, le bras armé d’Al-Qaida en Syrie, puis Daech ont accru leur pouvoir d'attraction et leurs capacités.</w:t>
      </w:r>
      <w:r>
        <w:rPr>
          <w:rFonts w:ascii="Times New Roman" w:hAnsi="Times New Roman"/>
          <w:noProof/>
          <w:color w:val="000000"/>
          <w:sz w:val="24"/>
        </w:rPr>
        <w:t xml:space="preserve"> </w:t>
      </w:r>
      <w:r>
        <w:rPr>
          <w:rFonts w:ascii="Times New Roman" w:hAnsi="Times New Roman"/>
          <w:noProof/>
          <w:sz w:val="24"/>
        </w:rPr>
        <w:t>En 2014, Daech, notamment, a réussi à étendre son contrôle sur les régions pétrolières et gazières de l’est de la Syrie, de l’ouest de l’</w:t>
      </w:r>
      <w:r>
        <w:rPr>
          <w:rFonts w:ascii="Times New Roman" w:hAnsi="Times New Roman"/>
          <w:noProof/>
          <w:sz w:val="24"/>
        </w:rPr>
        <w:t xml:space="preserve">Iraq ainsi que sur les postes frontières situés le long de la frontière turco-syrienne qu’il avait précédemment disputés à d’autres groupes armés.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En </w:t>
      </w:r>
      <w:r>
        <w:rPr>
          <w:rFonts w:ascii="Times New Roman" w:hAnsi="Times New Roman"/>
          <w:b/>
          <w:noProof/>
          <w:sz w:val="24"/>
        </w:rPr>
        <w:t>Iraq</w:t>
      </w:r>
      <w:r>
        <w:rPr>
          <w:rFonts w:ascii="Times New Roman" w:hAnsi="Times New Roman"/>
          <w:noProof/>
          <w:sz w:val="24"/>
        </w:rPr>
        <w:t>, la chute du régime de Saddam Hussein en 2003 a été suivie d'un climat d’instabilité, de querelles r</w:t>
      </w:r>
      <w:r>
        <w:rPr>
          <w:rFonts w:ascii="Times New Roman" w:hAnsi="Times New Roman"/>
          <w:noProof/>
          <w:sz w:val="24"/>
        </w:rPr>
        <w:t>eligieuses et de violence terroriste, auxquels la communauté internationale, y compris l’Union européenne, s'est efforcée de s'opposer en déployant des efforts intenses pour soutenir la transition du pays. En 2012, l’UE a conclu un accord de partenariat et</w:t>
      </w:r>
      <w:r>
        <w:rPr>
          <w:rFonts w:ascii="Times New Roman" w:hAnsi="Times New Roman"/>
          <w:noProof/>
          <w:sz w:val="24"/>
        </w:rPr>
        <w:t xml:space="preserve"> de coopération (APC) avec l’Iraq. Cependant, alors qu'une Constitution démocratique était mise en œuvre, que la production de pétrole augmentait et que la stabilité macroéconomique s’améliorait, la transition de l’Iraq a été entravée par la persistance de</w:t>
      </w:r>
      <w:r>
        <w:rPr>
          <w:rFonts w:ascii="Times New Roman" w:hAnsi="Times New Roman"/>
          <w:noProof/>
          <w:sz w:val="24"/>
        </w:rPr>
        <w:t xml:space="preserve"> la violence, l’instabilité politique, le régime autoritaire, les mesures d'exclusion, la corruption élevée et le manque de réformes économiques structurelles.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Ces tendances négatives se sont aggravées après le départ des troupes américaines fin 2011. </w:t>
      </w:r>
      <w:r>
        <w:rPr>
          <w:rFonts w:ascii="Times New Roman" w:hAnsi="Times New Roman"/>
          <w:noProof/>
          <w:color w:val="000000"/>
          <w:sz w:val="24"/>
        </w:rPr>
        <w:t xml:space="preserve">En </w:t>
      </w:r>
      <w:r>
        <w:rPr>
          <w:rFonts w:ascii="Times New Roman" w:hAnsi="Times New Roman"/>
          <w:noProof/>
          <w:color w:val="000000"/>
          <w:sz w:val="24"/>
        </w:rPr>
        <w:t>particulier, de nombreux Sunnites se sont sentis de plus en plus exclus de l'accord politique post-2003 en raison: de leur exclusion des prises de décisions politiques; du sous-développement économique et social des zones sunnites conduisant à des services</w:t>
      </w:r>
      <w:r>
        <w:rPr>
          <w:rFonts w:ascii="Times New Roman" w:hAnsi="Times New Roman"/>
          <w:noProof/>
          <w:color w:val="000000"/>
          <w:sz w:val="24"/>
        </w:rPr>
        <w:t xml:space="preserve"> de base insuffisants; de l'application arbitraire de la législation visant à éloigner les anciens membres du parti Baas du pouvoir; de l'exclusion du personnel militaire de l'époque Saddam des forces de sécurité iraquiennes; </w:t>
      </w:r>
      <w:r>
        <w:rPr>
          <w:rFonts w:ascii="Times New Roman" w:hAnsi="Times New Roman"/>
          <w:noProof/>
          <w:sz w:val="24"/>
        </w:rPr>
        <w:t>d'un maintien de l'ordre bruta</w:t>
      </w:r>
      <w:r>
        <w:rPr>
          <w:rFonts w:ascii="Times New Roman" w:hAnsi="Times New Roman"/>
          <w:noProof/>
          <w:sz w:val="24"/>
        </w:rPr>
        <w:t>l dans les zones sunnites, allant jusqu'à l'assassinat établi de citoyens sunnites;</w:t>
      </w:r>
      <w:r>
        <w:rPr>
          <w:rFonts w:ascii="Times New Roman" w:hAnsi="Times New Roman"/>
          <w:noProof/>
          <w:color w:val="000000"/>
          <w:sz w:val="24"/>
        </w:rPr>
        <w:t xml:space="preserve"> d'un encadrement médiocre des droits de l’homme, et d'une corruption et d'un népotisme étendus. Dans le même temps, la communauté chiite trouvait sa place dans le nouvel or</w:t>
      </w:r>
      <w:r>
        <w:rPr>
          <w:rFonts w:ascii="Times New Roman" w:hAnsi="Times New Roman"/>
          <w:noProof/>
          <w:color w:val="000000"/>
          <w:sz w:val="24"/>
        </w:rPr>
        <w:t>dre après des années d’oppression sunnite, quoique le gouvernement à dominante chiite n'ait jamais obtenu une reconnaissance totale dans l'ensemble du pays. Les attentats sunnites contre la population chiite ont contribué à exacerber le clivage confessionn</w:t>
      </w:r>
      <w:r>
        <w:rPr>
          <w:rFonts w:ascii="Times New Roman" w:hAnsi="Times New Roman"/>
          <w:noProof/>
          <w:color w:val="000000"/>
          <w:sz w:val="24"/>
        </w:rPr>
        <w:t xml:space="preserve">el. </w:t>
      </w:r>
      <w:r>
        <w:rPr>
          <w:rFonts w:ascii="Times New Roman" w:hAnsi="Times New Roman"/>
          <w:noProof/>
          <w:sz w:val="24"/>
        </w:rPr>
        <w:t>À partir de 2013, certaines parties de la population sunnite se sont rebellées contre le gouvernement fédéral, ouvrant la voie à la résurgence de groupes terroristes inspirés d’Al-Qaida, notamment Daech et les groupes néo-bas qui, en juin 2014, se sont</w:t>
      </w:r>
      <w:r>
        <w:rPr>
          <w:rFonts w:ascii="Times New Roman" w:hAnsi="Times New Roman"/>
          <w:noProof/>
          <w:sz w:val="24"/>
        </w:rPr>
        <w:t xml:space="preserve"> emparés de vastes territoires dans l’ouest et le nord de l’Iraq. </w:t>
      </w:r>
    </w:p>
    <w:p w:rsidR="00C37BB1" w:rsidRDefault="007C505C">
      <w:pPr>
        <w:spacing w:after="120" w:line="240" w:lineRule="auto"/>
        <w:jc w:val="both"/>
        <w:rPr>
          <w:rFonts w:ascii="Times New Roman" w:hAnsi="Times New Roman"/>
          <w:i/>
          <w:noProof/>
          <w:sz w:val="24"/>
          <w:szCs w:val="24"/>
        </w:rPr>
      </w:pPr>
      <w:r>
        <w:rPr>
          <w:rFonts w:ascii="Times New Roman" w:hAnsi="Times New Roman"/>
          <w:noProof/>
          <w:sz w:val="24"/>
        </w:rPr>
        <w:t xml:space="preserve">Daech a donc mis à profit et exploité le mécontentement de certaines parties de la population sunnite en Syrie et en Iraq pour atteindre ses objectifs. </w:t>
      </w:r>
    </w:p>
    <w:p w:rsidR="00C37BB1" w:rsidRDefault="007C505C">
      <w:pPr>
        <w:spacing w:after="120" w:line="240" w:lineRule="auto"/>
        <w:ind w:firstLine="720"/>
        <w:jc w:val="both"/>
        <w:rPr>
          <w:rFonts w:ascii="Times New Roman" w:hAnsi="Times New Roman"/>
          <w:b/>
          <w:i/>
          <w:noProof/>
          <w:sz w:val="24"/>
          <w:szCs w:val="24"/>
        </w:rPr>
      </w:pPr>
      <w:r>
        <w:rPr>
          <w:rFonts w:ascii="Times New Roman" w:hAnsi="Times New Roman"/>
          <w:b/>
          <w:i/>
          <w:noProof/>
          <w:sz w:val="24"/>
        </w:rPr>
        <w:t>La menace que constitue Daech pour l</w:t>
      </w:r>
      <w:r>
        <w:rPr>
          <w:rFonts w:ascii="Times New Roman" w:hAnsi="Times New Roman"/>
          <w:b/>
          <w:i/>
          <w:noProof/>
          <w:sz w:val="24"/>
        </w:rPr>
        <w:t>a Syrie, l'Iraq et les pays voisins</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Daech et d’autres groupes terroristes représentent un nouveau type de menace pour la Syrie, l’Iraq, la région et la communauté internationale dans son ensemble.</w:t>
      </w:r>
    </w:p>
    <w:p w:rsidR="00C37BB1" w:rsidRDefault="007C505C">
      <w:pPr>
        <w:numPr>
          <w:ilvl w:val="0"/>
          <w:numId w:val="3"/>
        </w:numPr>
        <w:spacing w:after="120" w:line="240" w:lineRule="auto"/>
        <w:ind w:left="360"/>
        <w:jc w:val="both"/>
        <w:rPr>
          <w:rFonts w:ascii="Times New Roman" w:hAnsi="Times New Roman"/>
          <w:noProof/>
          <w:sz w:val="24"/>
          <w:szCs w:val="24"/>
        </w:rPr>
      </w:pPr>
      <w:r>
        <w:rPr>
          <w:rFonts w:ascii="Times New Roman" w:hAnsi="Times New Roman"/>
          <w:noProof/>
          <w:sz w:val="24"/>
        </w:rPr>
        <w:t xml:space="preserve">Daech, phénomène transfrontalier s'étendant sur deux États </w:t>
      </w:r>
      <w:r>
        <w:rPr>
          <w:rFonts w:ascii="Times New Roman" w:hAnsi="Times New Roman"/>
          <w:noProof/>
          <w:sz w:val="24"/>
        </w:rPr>
        <w:t>souverains, a la volonté de jouer le rôle d'un État (contrôle du territoire, constitution des recettes pour financer un budget central, perception d'impôts, prestation de services de base, etc.).</w:t>
      </w:r>
      <w:r>
        <w:rPr>
          <w:rFonts w:ascii="Times New Roman" w:hAnsi="Times New Roman"/>
          <w:i/>
          <w:noProof/>
          <w:sz w:val="24"/>
        </w:rPr>
        <w:t xml:space="preserve"> </w:t>
      </w:r>
      <w:r>
        <w:rPr>
          <w:rFonts w:ascii="Times New Roman" w:hAnsi="Times New Roman"/>
          <w:noProof/>
          <w:sz w:val="24"/>
        </w:rPr>
        <w:t>Ses actions terroristes et criminelles très visibles en Syri</w:t>
      </w:r>
      <w:r>
        <w:rPr>
          <w:rFonts w:ascii="Times New Roman" w:hAnsi="Times New Roman"/>
          <w:noProof/>
          <w:sz w:val="24"/>
        </w:rPr>
        <w:t>e et en Iraq s'accompagnent d'actions militaires qui ressemblent à un mouvement d’insurrection. Il a reçu des assurances d'allégeance et de soutien de la part d'organisations de même tendance dans plusieurs pays arabes, africains et asiatiques.</w:t>
      </w:r>
    </w:p>
    <w:p w:rsidR="00C37BB1" w:rsidRDefault="007C505C">
      <w:pPr>
        <w:numPr>
          <w:ilvl w:val="0"/>
          <w:numId w:val="2"/>
        </w:numPr>
        <w:spacing w:after="120" w:line="240" w:lineRule="auto"/>
        <w:ind w:left="360"/>
        <w:jc w:val="both"/>
        <w:rPr>
          <w:rFonts w:ascii="Times New Roman" w:hAnsi="Times New Roman"/>
          <w:noProof/>
          <w:sz w:val="24"/>
          <w:szCs w:val="24"/>
        </w:rPr>
      </w:pPr>
      <w:r>
        <w:rPr>
          <w:rFonts w:ascii="Times New Roman" w:hAnsi="Times New Roman"/>
          <w:noProof/>
          <w:sz w:val="24"/>
        </w:rPr>
        <w:t>Daech explo</w:t>
      </w:r>
      <w:r>
        <w:rPr>
          <w:rFonts w:ascii="Times New Roman" w:hAnsi="Times New Roman"/>
          <w:noProof/>
          <w:sz w:val="24"/>
        </w:rPr>
        <w:t>ite avec cynisme les symboles de l’âge d’or de l’histoire politique islamique. Le califat est présenté comme l’incarnation des aspirations d'unité politique et culturelle. Il a des ambitions déclarées d'extension de son territoire aux pays voisins comme le</w:t>
      </w:r>
      <w:r>
        <w:rPr>
          <w:rFonts w:ascii="Times New Roman" w:hAnsi="Times New Roman"/>
          <w:noProof/>
          <w:sz w:val="24"/>
        </w:rPr>
        <w:t xml:space="preserve"> Liban, la Jordanie et les pays du Golfe. Ses ambitions territoriales, ses capacités, ses modes de sensibilisation et de travail en réseau, notamment grâce à une utilisation sophistiquée des médias sociaux, sont sans précédent. Ses actions séduisent d’autr</w:t>
      </w:r>
      <w:r>
        <w:rPr>
          <w:rFonts w:ascii="Times New Roman" w:hAnsi="Times New Roman"/>
          <w:noProof/>
          <w:sz w:val="24"/>
        </w:rPr>
        <w:t>es groupes de la région, d'Afrique du Nord et d'Afrique subsaharienne, et d''Asie. Certains d’entre eux ont d'ailleurs fait des déclarations d'allégeance à Daech. L’annonce du «califat», qui a été suivie par le lancement d’une action militaire internationa</w:t>
      </w:r>
      <w:r>
        <w:rPr>
          <w:rFonts w:ascii="Times New Roman" w:hAnsi="Times New Roman"/>
          <w:noProof/>
          <w:sz w:val="24"/>
        </w:rPr>
        <w:t xml:space="preserve">le pour lutter contre cette menace terroriste, a attiré un flux important de combattants terroristes étrangers qui ont intégré le groupe en Syrie et en Iraq. </w:t>
      </w:r>
    </w:p>
    <w:p w:rsidR="00C37BB1" w:rsidRDefault="007C505C">
      <w:pPr>
        <w:numPr>
          <w:ilvl w:val="0"/>
          <w:numId w:val="2"/>
        </w:numPr>
        <w:spacing w:after="120" w:line="240" w:lineRule="auto"/>
        <w:ind w:left="360"/>
        <w:jc w:val="both"/>
        <w:rPr>
          <w:rFonts w:ascii="Times New Roman" w:hAnsi="Times New Roman"/>
          <w:noProof/>
          <w:sz w:val="24"/>
          <w:szCs w:val="24"/>
        </w:rPr>
      </w:pPr>
      <w:r>
        <w:rPr>
          <w:rFonts w:ascii="Times New Roman" w:hAnsi="Times New Roman"/>
          <w:noProof/>
          <w:sz w:val="24"/>
        </w:rPr>
        <w:t>Dans le cadre d’une tactique délibérée visant à imposer son autorité dans les régions où la puiss</w:t>
      </w:r>
      <w:r>
        <w:rPr>
          <w:rFonts w:ascii="Times New Roman" w:hAnsi="Times New Roman"/>
          <w:noProof/>
          <w:sz w:val="24"/>
        </w:rPr>
        <w:t>ance publique s'est effondrée, Daech commet d'inqualifiables violations des droits de l'homme qui constituent des crimes contre l’humanité et des crimes de guerre: massacres de civils, esclavage, actes de torture, exécutions arbitraires, ainsi que violence</w:t>
      </w:r>
      <w:r>
        <w:rPr>
          <w:rFonts w:ascii="Times New Roman" w:hAnsi="Times New Roman"/>
          <w:noProof/>
          <w:sz w:val="24"/>
        </w:rPr>
        <w:t>s étendues à caractère sexuel et sexiste, en ciblant les minorités ethniques et religieuses, mais aussi des membres des communautés sunnites perçus comme une menace. Ces agissements ont déjà conduit à des déplacements considérables de population dans la ré</w:t>
      </w:r>
      <w:r>
        <w:rPr>
          <w:rFonts w:ascii="Times New Roman" w:hAnsi="Times New Roman"/>
          <w:noProof/>
          <w:sz w:val="24"/>
        </w:rPr>
        <w:t>gion, causé un traumatisme important chez les personnes déplacées, en particulier les femmes et les enfants, provoqué un afflux massif de réfugiés dans les pays voisins et accru la pression migratoire sur l’UE.</w:t>
      </w:r>
    </w:p>
    <w:p w:rsidR="00C37BB1" w:rsidRDefault="007C505C">
      <w:pPr>
        <w:numPr>
          <w:ilvl w:val="0"/>
          <w:numId w:val="2"/>
        </w:numPr>
        <w:spacing w:after="120" w:line="240" w:lineRule="auto"/>
        <w:ind w:left="360"/>
        <w:jc w:val="both"/>
        <w:rPr>
          <w:rFonts w:ascii="Times New Roman" w:hAnsi="Times New Roman"/>
          <w:noProof/>
          <w:sz w:val="24"/>
          <w:szCs w:val="24"/>
        </w:rPr>
      </w:pPr>
      <w:r>
        <w:rPr>
          <w:rFonts w:ascii="Times New Roman" w:hAnsi="Times New Roman"/>
          <w:noProof/>
          <w:sz w:val="24"/>
        </w:rPr>
        <w:t>Daech encourage les excavations illicites d'o</w:t>
      </w:r>
      <w:r>
        <w:rPr>
          <w:rFonts w:ascii="Times New Roman" w:hAnsi="Times New Roman"/>
          <w:noProof/>
          <w:sz w:val="24"/>
        </w:rPr>
        <w:t>bjets culturels et archéologiques et utilise, à des fins militaires, des sites du patrimoine de l’humanité, y compris des sites du patrimoine mondial de l'Unesco, ce qui entraîne leur destruction progressive.</w:t>
      </w:r>
    </w:p>
    <w:p w:rsidR="00C37BB1" w:rsidRDefault="007C505C">
      <w:pPr>
        <w:numPr>
          <w:ilvl w:val="0"/>
          <w:numId w:val="2"/>
        </w:numPr>
        <w:spacing w:after="120" w:line="240" w:lineRule="auto"/>
        <w:ind w:left="360"/>
        <w:jc w:val="both"/>
        <w:rPr>
          <w:rFonts w:ascii="Times New Roman" w:hAnsi="Times New Roman"/>
          <w:noProof/>
          <w:sz w:val="24"/>
          <w:szCs w:val="24"/>
        </w:rPr>
      </w:pPr>
      <w:r>
        <w:rPr>
          <w:rFonts w:ascii="Times New Roman" w:hAnsi="Times New Roman"/>
          <w:noProof/>
          <w:sz w:val="24"/>
        </w:rPr>
        <w:t>Daech est sans doute devenu maintenant une orga</w:t>
      </w:r>
      <w:r>
        <w:rPr>
          <w:rFonts w:ascii="Times New Roman" w:hAnsi="Times New Roman"/>
          <w:noProof/>
          <w:sz w:val="24"/>
        </w:rPr>
        <w:t>nisation terroriste financièrement autonome, dont les recettes proviennent de sources telles que la vente illégale de pétrole et d’autres produits de base, la perception d'impôts, la traite d'êtres humains, le trafic illicite de biens culturels, des enlève</w:t>
      </w:r>
      <w:r>
        <w:rPr>
          <w:rFonts w:ascii="Times New Roman" w:hAnsi="Times New Roman"/>
          <w:noProof/>
          <w:sz w:val="24"/>
        </w:rPr>
        <w:t xml:space="preserve">ments avec demande de rançon, des pillages de banques, et ne dépend donc plus des dons de sympathisants régionaux. </w:t>
      </w:r>
    </w:p>
    <w:p w:rsidR="00C37BB1" w:rsidRDefault="007C505C">
      <w:pPr>
        <w:spacing w:after="120" w:line="240" w:lineRule="auto"/>
        <w:ind w:firstLine="360"/>
        <w:jc w:val="both"/>
        <w:rPr>
          <w:rFonts w:ascii="Times New Roman" w:hAnsi="Times New Roman"/>
          <w:b/>
          <w:i/>
          <w:noProof/>
          <w:sz w:val="24"/>
          <w:szCs w:val="24"/>
        </w:rPr>
      </w:pPr>
      <w:r>
        <w:rPr>
          <w:rFonts w:ascii="Times New Roman" w:hAnsi="Times New Roman"/>
          <w:b/>
          <w:i/>
          <w:noProof/>
          <w:sz w:val="24"/>
        </w:rPr>
        <w:t>La question kurde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La recrudescence de la violence a poussé les communautés kurdes à renforcer leur autonomie, voire à demander l'indépendanc</w:t>
      </w:r>
      <w:r>
        <w:rPr>
          <w:rFonts w:ascii="Times New Roman" w:hAnsi="Times New Roman"/>
          <w:noProof/>
          <w:sz w:val="24"/>
        </w:rPr>
        <w:t xml:space="preserve">e, avec les conséquences collatérales que cela peut représenter pour l’intégrité et, éventuellement, la stabilité à long terme des deux pays.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En Iraq, les différends qui opposent la région du Kurdistan au gouvernement fédéral auxquels aucune solution n'a </w:t>
      </w:r>
      <w:r>
        <w:rPr>
          <w:rFonts w:ascii="Times New Roman" w:hAnsi="Times New Roman"/>
          <w:noProof/>
          <w:sz w:val="24"/>
        </w:rPr>
        <w:t>été apportée pendant de nombreuses années, comme l’adoption d’un mécanisme permanent de partage des recettes (loi sur les hydrocarbures) et le statut des territoires revendiqués, viennent désormais s'ajouter à l'ensemble des problèmes que le gouvernement i</w:t>
      </w:r>
      <w:r>
        <w:rPr>
          <w:rFonts w:ascii="Times New Roman" w:hAnsi="Times New Roman"/>
          <w:noProof/>
          <w:sz w:val="24"/>
        </w:rPr>
        <w:t xml:space="preserve">raquien doit régler de toute urgence en sus des efforts qu'il déploie actuellement pour faire échec à Daech.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Depuis le début de 2011, le régime syrien a fait pression sur les Kurdes de Syrie pour qu'ils se tiennent à l’écart du soulèvement syrien, en écha</w:t>
      </w:r>
      <w:r>
        <w:rPr>
          <w:rFonts w:ascii="Times New Roman" w:hAnsi="Times New Roman"/>
          <w:noProof/>
          <w:sz w:val="24"/>
        </w:rPr>
        <w:t>nge de l’autonomie</w:t>
      </w:r>
      <w:r>
        <w:rPr>
          <w:rFonts w:ascii="Times New Roman" w:hAnsi="Times New Roman"/>
          <w:i/>
          <w:noProof/>
          <w:sz w:val="24"/>
        </w:rPr>
        <w:t xml:space="preserve"> de facto</w:t>
      </w:r>
      <w:r>
        <w:rPr>
          <w:rFonts w:ascii="Times New Roman" w:hAnsi="Times New Roman"/>
          <w:noProof/>
          <w:sz w:val="24"/>
        </w:rPr>
        <w:t xml:space="preserve"> des régions à population essentiellement kurde du nord-est du pays. Ils sont, depuis l’émergence de Daech, aux avant-postes de la lutte contre celui-ci, au même titre que les Kurdes des pays voisins. Ils ont, d'abord, défendu pr</w:t>
      </w:r>
      <w:r>
        <w:rPr>
          <w:rFonts w:ascii="Times New Roman" w:hAnsi="Times New Roman"/>
          <w:noProof/>
          <w:sz w:val="24"/>
        </w:rPr>
        <w:t>incipalement les régions de peuplement kurde en Syrie (2013) et en Iraq (Mont Sin jar en 2014) et l’accès de la Syrie au reste de la région du Kurdistan iraquien. Par la suite, ils ont également défendu la ville assiégée de Kouban et d'autres «cantons auto</w:t>
      </w:r>
      <w:r>
        <w:rPr>
          <w:rFonts w:ascii="Times New Roman" w:hAnsi="Times New Roman"/>
          <w:noProof/>
          <w:sz w:val="24"/>
        </w:rPr>
        <w:t xml:space="preserve">nomes» auto-proclamés à peuplement essentiellement kurde.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Tout soutien apporté par l’UE à la résistance armée kurde contre Daech doit s'accompagner de garanties solides, faites aux États de la région, que l'UE continuera de respecter leur intégrité territ</w:t>
      </w:r>
      <w:r>
        <w:rPr>
          <w:rFonts w:ascii="Times New Roman" w:hAnsi="Times New Roman"/>
          <w:noProof/>
          <w:sz w:val="24"/>
        </w:rPr>
        <w:t xml:space="preserve">oriale. </w:t>
      </w:r>
    </w:p>
    <w:p w:rsidR="00C37BB1" w:rsidRDefault="007C505C">
      <w:pPr>
        <w:spacing w:after="120" w:line="240" w:lineRule="auto"/>
        <w:ind w:left="360" w:firstLine="360"/>
        <w:jc w:val="both"/>
        <w:rPr>
          <w:rFonts w:ascii="Times New Roman" w:hAnsi="Times New Roman"/>
          <w:b/>
          <w:i/>
          <w:noProof/>
          <w:sz w:val="24"/>
          <w:szCs w:val="24"/>
        </w:rPr>
      </w:pPr>
      <w:r>
        <w:rPr>
          <w:rFonts w:ascii="Times New Roman" w:hAnsi="Times New Roman"/>
          <w:b/>
          <w:i/>
          <w:noProof/>
          <w:sz w:val="24"/>
        </w:rPr>
        <w:t>Le risque de contagion aux pays voisins</w:t>
      </w:r>
    </w:p>
    <w:p w:rsidR="00C37BB1" w:rsidRDefault="007C505C">
      <w:pPr>
        <w:autoSpaceDE w:val="0"/>
        <w:autoSpaceDN w:val="0"/>
        <w:spacing w:after="120" w:line="240" w:lineRule="auto"/>
        <w:ind w:firstLine="360"/>
        <w:jc w:val="both"/>
        <w:rPr>
          <w:rFonts w:ascii="Times New Roman" w:hAnsi="Times New Roman"/>
          <w:i/>
          <w:noProof/>
          <w:sz w:val="24"/>
          <w:szCs w:val="24"/>
          <w:u w:val="single"/>
        </w:rPr>
      </w:pPr>
      <w:r>
        <w:rPr>
          <w:rFonts w:ascii="Times New Roman" w:hAnsi="Times New Roman"/>
          <w:i/>
          <w:noProof/>
          <w:sz w:val="24"/>
          <w:u w:val="single"/>
        </w:rPr>
        <w:t>Liban</w:t>
      </w:r>
    </w:p>
    <w:p w:rsidR="00C37BB1" w:rsidRDefault="007C505C">
      <w:pPr>
        <w:autoSpaceDE w:val="0"/>
        <w:autoSpaceDN w:val="0"/>
        <w:spacing w:after="120" w:line="240" w:lineRule="auto"/>
        <w:jc w:val="both"/>
        <w:rPr>
          <w:rFonts w:ascii="Times New Roman" w:hAnsi="Times New Roman"/>
          <w:noProof/>
          <w:sz w:val="24"/>
          <w:szCs w:val="24"/>
        </w:rPr>
      </w:pPr>
      <w:r>
        <w:rPr>
          <w:rFonts w:ascii="Times New Roman" w:hAnsi="Times New Roman"/>
          <w:noProof/>
          <w:sz w:val="24"/>
        </w:rPr>
        <w:t xml:space="preserve">Le conflit en Syrie et le nombre élevé de réfugiés enregistrés et non enregistrés au Liban (environ 1,2 million de personnes en janvier 2015, soit plus de 25 % de la population libanaise) exacerbent </w:t>
      </w:r>
      <w:r>
        <w:rPr>
          <w:rFonts w:ascii="Times New Roman" w:hAnsi="Times New Roman"/>
          <w:noProof/>
          <w:sz w:val="24"/>
        </w:rPr>
        <w:t>les tensions existantes au sein de la société libanaise, de ses institutions et de ses communautés et exercent également une forte pression sur les maigres ressources naturelles. Alors que le gouvernement libanais a opté pour la politique dite de «dissocia</w:t>
      </w:r>
      <w:r>
        <w:rPr>
          <w:rFonts w:ascii="Times New Roman" w:hAnsi="Times New Roman"/>
          <w:noProof/>
          <w:sz w:val="24"/>
        </w:rPr>
        <w:t>tion» à l'égard du conflit syrien, fondée sur la déclaration de Baabda de juin 2012, le Hezbollah et les groupes terroristes sunnites ont progressivement renforcé leur participation directe au conflit. Les affrontements entre les forces de sécurité libanai</w:t>
      </w:r>
      <w:r>
        <w:rPr>
          <w:rFonts w:ascii="Times New Roman" w:hAnsi="Times New Roman"/>
          <w:noProof/>
          <w:sz w:val="24"/>
        </w:rPr>
        <w:t>ses et des groupes armés syriens dans et autour d'Aral dans l’est de la plaine de la Bekaa en août 2014 et les affrontements répétés à Tripoli ont fait ressortir la menace que représente le conflit pour le nord du Liban en particulier.</w:t>
      </w:r>
    </w:p>
    <w:p w:rsidR="00C37BB1" w:rsidRDefault="007C505C">
      <w:pPr>
        <w:autoSpaceDE w:val="0"/>
        <w:autoSpaceDN w:val="0"/>
        <w:spacing w:after="120" w:line="240" w:lineRule="auto"/>
        <w:ind w:firstLine="360"/>
        <w:jc w:val="both"/>
        <w:rPr>
          <w:rFonts w:ascii="Times New Roman" w:hAnsi="Times New Roman"/>
          <w:i/>
          <w:noProof/>
          <w:sz w:val="24"/>
          <w:szCs w:val="24"/>
          <w:u w:val="single"/>
        </w:rPr>
      </w:pPr>
      <w:r>
        <w:rPr>
          <w:rFonts w:ascii="Times New Roman" w:hAnsi="Times New Roman"/>
          <w:i/>
          <w:noProof/>
          <w:sz w:val="24"/>
          <w:u w:val="single"/>
        </w:rPr>
        <w:t>Jordanie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La populati</w:t>
      </w:r>
      <w:r>
        <w:rPr>
          <w:rFonts w:ascii="Times New Roman" w:hAnsi="Times New Roman"/>
          <w:noProof/>
          <w:sz w:val="24"/>
        </w:rPr>
        <w:t xml:space="preserve">on de la Jordanie est beaucoup plus homogène que celle du Liban, du moins sur le plan de l’appartenance religieuse. Mais la présence de plus de 600 000 réfugiés syriens dans le pays pèse lourdement sur la prestation de services et sur les rares ressources </w:t>
      </w:r>
      <w:r>
        <w:rPr>
          <w:rFonts w:ascii="Times New Roman" w:hAnsi="Times New Roman"/>
          <w:noProof/>
          <w:sz w:val="24"/>
        </w:rPr>
        <w:t xml:space="preserve">naturelles, l’eau en particulier. Tout comme au Liban, les problèmes de l’accès à l’éducation et des possibilités d’emploi comportent des risques pour l’avenir qui doivent être pris en compte. </w:t>
      </w:r>
    </w:p>
    <w:p w:rsidR="00C37BB1" w:rsidRDefault="007C505C">
      <w:pPr>
        <w:autoSpaceDE w:val="0"/>
        <w:autoSpaceDN w:val="0"/>
        <w:spacing w:after="120" w:line="240" w:lineRule="auto"/>
        <w:ind w:firstLine="360"/>
        <w:jc w:val="both"/>
        <w:rPr>
          <w:rFonts w:ascii="Times New Roman" w:hAnsi="Times New Roman"/>
          <w:i/>
          <w:noProof/>
          <w:sz w:val="24"/>
          <w:szCs w:val="24"/>
          <w:u w:val="single"/>
        </w:rPr>
      </w:pPr>
      <w:r>
        <w:rPr>
          <w:rFonts w:ascii="Times New Roman" w:hAnsi="Times New Roman"/>
          <w:i/>
          <w:noProof/>
          <w:sz w:val="24"/>
          <w:u w:val="single"/>
        </w:rPr>
        <w:t>Turquie</w:t>
      </w:r>
    </w:p>
    <w:p w:rsidR="00C37BB1" w:rsidRDefault="007C505C">
      <w:pPr>
        <w:spacing w:after="120"/>
        <w:jc w:val="both"/>
        <w:rPr>
          <w:rFonts w:ascii="Times New Roman" w:hAnsi="Times New Roman"/>
          <w:noProof/>
          <w:sz w:val="24"/>
          <w:szCs w:val="24"/>
        </w:rPr>
      </w:pPr>
      <w:r>
        <w:rPr>
          <w:rFonts w:ascii="Times New Roman" w:hAnsi="Times New Roman"/>
          <w:noProof/>
          <w:sz w:val="24"/>
        </w:rPr>
        <w:t>Avec plus de 1,65 million de réfugiés syriens sur le sol turc (chiffres officiels), la Turquie accueille actuellement la plus grande communauté de réfugiés en provenance de Syrie. Elle fournit également une aide humanitaire considérable (plus de 4 000 000 </w:t>
      </w:r>
      <w:r>
        <w:rPr>
          <w:rFonts w:ascii="Times New Roman" w:hAnsi="Times New Roman"/>
          <w:noProof/>
          <w:sz w:val="24"/>
        </w:rPr>
        <w:t xml:space="preserve">000 USD depuis 2011, selon les estimations des pouvoirs publics). La Turquie réclame un renforcement de l’aide internationale pour faire face aux conséquences de la crise. </w:t>
      </w:r>
    </w:p>
    <w:p w:rsidR="00C37BB1" w:rsidRDefault="007C505C">
      <w:pPr>
        <w:spacing w:after="120" w:line="240" w:lineRule="auto"/>
        <w:rPr>
          <w:rFonts w:ascii="Times New Roman" w:hAnsi="Times New Roman"/>
          <w:b/>
          <w:noProof/>
          <w:sz w:val="24"/>
          <w:szCs w:val="24"/>
          <w:u w:val="single"/>
        </w:rPr>
      </w:pPr>
      <w:r>
        <w:rPr>
          <w:rFonts w:ascii="Times New Roman" w:hAnsi="Times New Roman"/>
          <w:b/>
          <w:i/>
          <w:noProof/>
          <w:sz w:val="24"/>
          <w:u w:val="single"/>
        </w:rPr>
        <w:t>2</w:t>
      </w:r>
      <w:r>
        <w:rPr>
          <w:rFonts w:ascii="Times New Roman" w:hAnsi="Times New Roman"/>
          <w:b/>
          <w:noProof/>
          <w:sz w:val="24"/>
          <w:u w:val="single"/>
        </w:rPr>
        <w:t xml:space="preserve">- OBJECTIFS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Les objectifs généraux poursuivis par la présente stratégie consisten</w:t>
      </w:r>
      <w:r>
        <w:rPr>
          <w:rFonts w:ascii="Times New Roman" w:hAnsi="Times New Roman"/>
          <w:noProof/>
          <w:sz w:val="24"/>
        </w:rPr>
        <w:t xml:space="preserve">t à contrer la menace que font peser Daech et d'autres groupes terroristes sur la stabilité régionale et internationale, tout en créant les conditions nécessaires à une transition politique ouverte à tous en Syrie et à une stabilité durable en Syrie et en </w:t>
      </w:r>
      <w:r>
        <w:rPr>
          <w:rFonts w:ascii="Times New Roman" w:hAnsi="Times New Roman"/>
          <w:noProof/>
          <w:sz w:val="24"/>
        </w:rPr>
        <w:t xml:space="preserve">Iraq, ainsi que dans les pays de la région qui accueillent des réfugiés, et en soulageant les souffrances humaines causées par la violence et les déplacements de populations actuels. </w:t>
      </w:r>
    </w:p>
    <w:p w:rsidR="00C37BB1" w:rsidRDefault="007C505C">
      <w:pPr>
        <w:pStyle w:val="ListParagraph"/>
        <w:spacing w:after="120"/>
        <w:ind w:left="0"/>
        <w:contextualSpacing w:val="0"/>
        <w:jc w:val="both"/>
        <w:rPr>
          <w:rFonts w:ascii="Times New Roman" w:hAnsi="Times New Roman"/>
          <w:noProof/>
          <w:sz w:val="24"/>
          <w:szCs w:val="24"/>
        </w:rPr>
      </w:pPr>
      <w:r>
        <w:rPr>
          <w:rFonts w:ascii="Times New Roman" w:hAnsi="Times New Roman"/>
          <w:noProof/>
          <w:sz w:val="24"/>
        </w:rPr>
        <w:t xml:space="preserve">La stratégie prévoit une combinaison de démarches aux niveaux politique </w:t>
      </w:r>
      <w:r>
        <w:rPr>
          <w:rFonts w:ascii="Times New Roman" w:hAnsi="Times New Roman"/>
          <w:noProof/>
          <w:sz w:val="24"/>
        </w:rPr>
        <w:t>et diplomatique, d'actions de communication et de mesures de soutien pratiques. Pour atteindre ses objectifs et garantir l'efficacité de sa réaction, l'UE doit veiller à fournir un financement durable et prévisible, à la hauteur des besoins d'une ampleur s</w:t>
      </w:r>
      <w:r>
        <w:rPr>
          <w:rFonts w:ascii="Times New Roman" w:hAnsi="Times New Roman"/>
          <w:noProof/>
          <w:sz w:val="24"/>
        </w:rPr>
        <w:t>ans précédent de la région.</w:t>
      </w:r>
      <w:r>
        <w:rPr>
          <w:rFonts w:ascii="Times New Roman" w:hAnsi="Times New Roman"/>
          <w:i/>
          <w:noProof/>
          <w:sz w:val="24"/>
        </w:rPr>
        <w:t xml:space="preserve"> </w:t>
      </w:r>
      <w:r>
        <w:rPr>
          <w:rFonts w:ascii="Times New Roman" w:hAnsi="Times New Roman"/>
          <w:noProof/>
          <w:sz w:val="24"/>
        </w:rPr>
        <w:t>En conséquence, la Commission propose un ensemble de mesures d'aide d'une valeur de 1 000 000 000 EUR à partir du budget de l'UE pour les années 2015 et 2016. Les détails de cette proposition sont exposés dans la fiche financièr</w:t>
      </w:r>
      <w:r>
        <w:rPr>
          <w:rFonts w:ascii="Times New Roman" w:hAnsi="Times New Roman"/>
          <w:noProof/>
          <w:sz w:val="24"/>
        </w:rPr>
        <w:t>e jointe à la présente communication.</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Pour que la stratégie de l'UE porte ses fruits, il importe d'exploiter les synergies et la complémentarité entre les actions de l'UE et celles de ses États membres, tant au niveau politique qu'opérationnel. Au niveau p</w:t>
      </w:r>
      <w:r>
        <w:rPr>
          <w:rFonts w:ascii="Times New Roman" w:hAnsi="Times New Roman"/>
          <w:noProof/>
          <w:sz w:val="24"/>
        </w:rPr>
        <w:t>olitique, la présente stratégie devrait servir de cadre à une harmonisation accrue des efforts diplomatiques de l'UE et de ses États membres. Au niveau opérationnel, la stratégie devrait notamment fournir un cadre général à l'accroissement des financements</w:t>
      </w:r>
      <w:r>
        <w:rPr>
          <w:rFonts w:ascii="Times New Roman" w:hAnsi="Times New Roman"/>
          <w:noProof/>
          <w:sz w:val="24"/>
        </w:rPr>
        <w:t>, ainsi qu'au renforcement de la coordination des donateurs de l'UE et de la programmation conjointe (y compris par le truchement du fonds régional d'affectation spéciale de l'UE en réponse à la crise syrienne, le fonds «Hadad»). Les États membres sont ins</w:t>
      </w:r>
      <w:r>
        <w:rPr>
          <w:rFonts w:ascii="Times New Roman" w:hAnsi="Times New Roman"/>
          <w:noProof/>
          <w:sz w:val="24"/>
        </w:rPr>
        <w:t>tamment invités à continuer à apporter leur aide au niveau bilatéral afin de faire en sorte que leur réponse collective corresponde au moins à l'effort consenti au moyen du budget de l'UE.</w:t>
      </w:r>
    </w:p>
    <w:p w:rsidR="00C37BB1" w:rsidRDefault="007C505C">
      <w:pPr>
        <w:spacing w:after="120" w:line="240" w:lineRule="auto"/>
        <w:jc w:val="both"/>
        <w:rPr>
          <w:rFonts w:ascii="Times New Roman" w:hAnsi="Times New Roman"/>
          <w:iCs/>
          <w:noProof/>
          <w:sz w:val="24"/>
          <w:szCs w:val="24"/>
        </w:rPr>
      </w:pPr>
      <w:r>
        <w:rPr>
          <w:rFonts w:ascii="Times New Roman" w:hAnsi="Times New Roman"/>
          <w:noProof/>
          <w:sz w:val="24"/>
        </w:rPr>
        <w:t>Une aide humanitaire continuera d'être apportée aux populations vul</w:t>
      </w:r>
      <w:r>
        <w:rPr>
          <w:rFonts w:ascii="Times New Roman" w:hAnsi="Times New Roman"/>
          <w:noProof/>
          <w:sz w:val="24"/>
        </w:rPr>
        <w:t xml:space="preserve">nérables en fonction de leurs besoins et dans le plein respect des principes humanitaires d'humanité, de neutralité, d'impartialité et d'indépendance. </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OBJECTIFS COMMUNS POUR LA SYRIE, L'IRAQ ET LES AUTRES PAYS TOUCHÉS</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2.1.1</w:t>
      </w:r>
      <w:r>
        <w:rPr>
          <w:noProof/>
        </w:rPr>
        <w:tab/>
      </w:r>
      <w:r>
        <w:rPr>
          <w:rFonts w:ascii="Times New Roman" w:hAnsi="Times New Roman"/>
          <w:b/>
          <w:noProof/>
          <w:sz w:val="24"/>
        </w:rPr>
        <w:t>Promouvoir l'action région</w:t>
      </w:r>
      <w:r>
        <w:rPr>
          <w:rFonts w:ascii="Times New Roman" w:hAnsi="Times New Roman"/>
          <w:b/>
          <w:noProof/>
          <w:sz w:val="24"/>
        </w:rPr>
        <w:t xml:space="preserve">ale à l'appui de la sécurité et de la paix à long terme </w:t>
      </w:r>
    </w:p>
    <w:p w:rsidR="00C37BB1" w:rsidRDefault="007C505C">
      <w:pPr>
        <w:spacing w:after="120" w:line="240" w:lineRule="auto"/>
        <w:jc w:val="both"/>
        <w:rPr>
          <w:rFonts w:ascii="Times New Roman" w:hAnsi="Times New Roman"/>
          <w:b/>
          <w:noProof/>
          <w:sz w:val="24"/>
          <w:szCs w:val="24"/>
        </w:rPr>
      </w:pPr>
      <w:r>
        <w:rPr>
          <w:rFonts w:ascii="Times New Roman" w:hAnsi="Times New Roman"/>
          <w:noProof/>
          <w:sz w:val="24"/>
        </w:rPr>
        <w:t>Il est essentiel que l'UE entretienne une diplomatie de haut niveau dans la région pour contribuer à la réalisation des changements nécessaires. Pour l'opinion publique au Moyen-Orient, les pays de l</w:t>
      </w:r>
      <w:r>
        <w:rPr>
          <w:rFonts w:ascii="Times New Roman" w:hAnsi="Times New Roman"/>
          <w:noProof/>
          <w:sz w:val="24"/>
        </w:rPr>
        <w:t>a région, au premier rang desquels les États du Golfe, l'Égypte, la Turquie et l'Iran, sont, par bien des aspects, directement concernés et mieux placés pour contribuer à la lutte contre Daech que les pays de la communauté internationale au sens large. Les</w:t>
      </w:r>
      <w:r>
        <w:rPr>
          <w:rFonts w:ascii="Times New Roman" w:hAnsi="Times New Roman"/>
          <w:noProof/>
          <w:sz w:val="24"/>
        </w:rPr>
        <w:t xml:space="preserve"> pays de la région ont aussi un intérêt à agir, car les retombées de la crise en Syrie et en Iraq, quelles qu'elles soient, les menacent en premier lieu. Qui plus est, les rivalités entre grands acteurs régionaux font partie des facteurs de violence et de </w:t>
      </w:r>
      <w:r>
        <w:rPr>
          <w:rFonts w:ascii="Times New Roman" w:hAnsi="Times New Roman"/>
          <w:noProof/>
          <w:sz w:val="24"/>
        </w:rPr>
        <w:t>tensions confessionnelles dont Daech tire parti en Syrie, en Iraq et dans d'autres pays touchés. Pour toutes ces raisons, les acteurs régionaux doivent être vivement encouragés par l'UE à assumer une responsabilité particulière dans la lutte contre la mena</w:t>
      </w:r>
      <w:r>
        <w:rPr>
          <w:rFonts w:ascii="Times New Roman" w:hAnsi="Times New Roman"/>
          <w:noProof/>
          <w:sz w:val="24"/>
        </w:rPr>
        <w:t>ce que représente Daech et dans la promotion de la paix dans la région, en mettant l'accent sur les domaines dans lesquels leurs intérêts convergent. L'UE doit également encourager les voix modérées dans la région et leur donner plus de force, tout en prom</w:t>
      </w:r>
      <w:r>
        <w:rPr>
          <w:rFonts w:ascii="Times New Roman" w:hAnsi="Times New Roman"/>
          <w:noProof/>
          <w:sz w:val="24"/>
        </w:rPr>
        <w:t xml:space="preserve">ouvant une vision différente de celle des groupes terroristes. </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Moyens d'action de l'UE</w:t>
      </w:r>
      <w:r>
        <w:rPr>
          <w:rFonts w:ascii="Times New Roman" w:hAnsi="Times New Roman"/>
          <w:i/>
          <w:noProof/>
          <w:sz w:val="24"/>
        </w:rPr>
        <w:t xml:space="preserv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L'accent doit être mis sur une coopération politique et diplomatique accrue avec les pays de la région, tant bilatéralement que collectivement, par l'intermédiaire de la Ligue arabe, du Conseil de coopération du Golfe et de l'Organisation de la coopération</w:t>
      </w:r>
      <w:r>
        <w:rPr>
          <w:rFonts w:ascii="Times New Roman" w:hAnsi="Times New Roman"/>
          <w:noProof/>
          <w:sz w:val="24"/>
        </w:rPr>
        <w:t xml:space="preserve"> islamique, ainsi qu'avec d'autres pays et organisations apportant leur soutien. Au-delà d'une condamnation claire de Daech, cette coopération devrait comprendre un dialogue sur la diversité culturelle, la religion et l'idéologie, destiné à s'opposer à l'e</w:t>
      </w:r>
      <w:r>
        <w:rPr>
          <w:rFonts w:ascii="Times New Roman" w:hAnsi="Times New Roman"/>
          <w:noProof/>
          <w:sz w:val="24"/>
        </w:rPr>
        <w:t xml:space="preserve">xtrémisme violent, un soutien à la diplomatie scientifique et à d'autres formes de contacts interpersonnels, ainsi que des actions visant à réduire les malentendus au sein de l'UE quant à l'évolution de la situation dans la région. </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2.1.2</w:t>
      </w:r>
      <w:r>
        <w:rPr>
          <w:noProof/>
        </w:rPr>
        <w:tab/>
      </w:r>
      <w:r>
        <w:rPr>
          <w:rFonts w:ascii="Times New Roman" w:hAnsi="Times New Roman"/>
          <w:b/>
          <w:noProof/>
          <w:sz w:val="24"/>
        </w:rPr>
        <w:t>Isoler et vaincre</w:t>
      </w:r>
      <w:r>
        <w:rPr>
          <w:rFonts w:ascii="Times New Roman" w:hAnsi="Times New Roman"/>
          <w:b/>
          <w:noProof/>
          <w:sz w:val="24"/>
        </w:rPr>
        <w:t xml:space="preserve"> Daech en tant que force militaire et organisation terroriste et contrer son influence idéologique</w:t>
      </w:r>
    </w:p>
    <w:p w:rsidR="00C37BB1" w:rsidRDefault="007C505C">
      <w:pPr>
        <w:numPr>
          <w:ilvl w:val="1"/>
          <w:numId w:val="5"/>
        </w:numPr>
        <w:spacing w:after="120" w:line="240" w:lineRule="auto"/>
        <w:ind w:left="360"/>
        <w:jc w:val="both"/>
        <w:rPr>
          <w:rFonts w:ascii="Times New Roman" w:hAnsi="Times New Roman"/>
          <w:b/>
          <w:noProof/>
          <w:sz w:val="24"/>
          <w:szCs w:val="24"/>
        </w:rPr>
      </w:pPr>
      <w:r>
        <w:rPr>
          <w:rFonts w:ascii="Times New Roman" w:hAnsi="Times New Roman"/>
          <w:b/>
          <w:noProof/>
          <w:sz w:val="24"/>
        </w:rPr>
        <w:t xml:space="preserve">Soutenir et renforcer les forces opposées à Daech </w:t>
      </w:r>
    </w:p>
    <w:p w:rsidR="00C37BB1" w:rsidRDefault="007C505C">
      <w:pPr>
        <w:spacing w:after="120" w:line="240" w:lineRule="auto"/>
        <w:ind w:left="360"/>
        <w:jc w:val="both"/>
        <w:rPr>
          <w:rFonts w:ascii="Times New Roman" w:hAnsi="Times New Roman"/>
          <w:b/>
          <w:noProof/>
          <w:sz w:val="24"/>
          <w:szCs w:val="24"/>
        </w:rPr>
      </w:pPr>
      <w:r>
        <w:rPr>
          <w:rFonts w:ascii="Times New Roman" w:hAnsi="Times New Roman"/>
          <w:noProof/>
          <w:sz w:val="24"/>
        </w:rPr>
        <w:t>La réponse militaire de la coalition internationale mise sur pied pour combattre Daech</w:t>
      </w:r>
      <w:r>
        <w:rPr>
          <w:rStyle w:val="FootnoteReference"/>
          <w:rFonts w:ascii="Times New Roman" w:hAnsi="Times New Roman"/>
          <w:noProof/>
          <w:sz w:val="24"/>
        </w:rPr>
        <w:footnoteReference w:id="5"/>
      </w:r>
      <w:r>
        <w:rPr>
          <w:rFonts w:ascii="Times New Roman" w:hAnsi="Times New Roman"/>
          <w:noProof/>
          <w:sz w:val="24"/>
        </w:rPr>
        <w:t xml:space="preserve"> prévoit des frappe</w:t>
      </w:r>
      <w:r>
        <w:rPr>
          <w:rFonts w:ascii="Times New Roman" w:hAnsi="Times New Roman"/>
          <w:noProof/>
          <w:sz w:val="24"/>
        </w:rPr>
        <w:t>s aériennes contre les forces de Daech, ainsi que la fourniture de matériel meurtrier et non meurtrier, d'une formation et d'un soutien en matière de renseignement aux forces de sécurité iraquiennes (FSI), aux forces peshmergas kurdes et, dans la mesure du</w:t>
      </w:r>
      <w:r>
        <w:rPr>
          <w:rFonts w:ascii="Times New Roman" w:hAnsi="Times New Roman"/>
          <w:noProof/>
          <w:sz w:val="24"/>
        </w:rPr>
        <w:t xml:space="preserve"> possible, à l'opposition modérée en Syrie. Le Conseil n'a adopté aucune décision d'engagement de l'UE dans des opérations militaires à cette fin. L'UE n'a pas davantage été chargée de coordonner les informations sur la fourniture d'armes ou d'autres aides</w:t>
      </w:r>
      <w:r>
        <w:rPr>
          <w:rFonts w:ascii="Times New Roman" w:hAnsi="Times New Roman"/>
          <w:noProof/>
          <w:sz w:val="24"/>
        </w:rPr>
        <w:t xml:space="preserve"> militaires ni de faire office d'organisme centralisateur en la matière, même si cela pourrait être envisagé. L'UE doit, en outre, veiller à ce que ses propres lignes d'action restent suffisamment souples et tiennent compte des opérations militaires en cou</w:t>
      </w:r>
      <w:r>
        <w:rPr>
          <w:rFonts w:ascii="Times New Roman" w:hAnsi="Times New Roman"/>
          <w:noProof/>
          <w:sz w:val="24"/>
        </w:rPr>
        <w:t xml:space="preserve">rs. </w:t>
      </w:r>
    </w:p>
    <w:p w:rsidR="00C37BB1" w:rsidRDefault="007C505C">
      <w:pPr>
        <w:numPr>
          <w:ilvl w:val="0"/>
          <w:numId w:val="23"/>
        </w:numPr>
        <w:spacing w:after="120" w:line="240" w:lineRule="auto"/>
        <w:jc w:val="both"/>
        <w:rPr>
          <w:rFonts w:ascii="Times New Roman" w:hAnsi="Times New Roman"/>
          <w:b/>
          <w:noProof/>
          <w:sz w:val="24"/>
          <w:szCs w:val="24"/>
        </w:rPr>
      </w:pPr>
      <w:r>
        <w:rPr>
          <w:rFonts w:ascii="Times New Roman" w:hAnsi="Times New Roman"/>
          <w:b/>
          <w:noProof/>
          <w:sz w:val="24"/>
        </w:rPr>
        <w:t xml:space="preserve">Endiguer l'afflux de fonds, d'armes et de combattants terroristes étrangers au profit de Daech </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 xml:space="preserve">Conformément à sa </w:t>
      </w:r>
      <w:r>
        <w:rPr>
          <w:rFonts w:ascii="Times New Roman" w:hAnsi="Times New Roman"/>
          <w:i/>
          <w:noProof/>
          <w:sz w:val="24"/>
        </w:rPr>
        <w:t>stratégie concernant la lutte contre le terrorisme et les combattants étrangers</w:t>
      </w:r>
      <w:r>
        <w:rPr>
          <w:rFonts w:ascii="Times New Roman" w:hAnsi="Times New Roman"/>
          <w:noProof/>
          <w:sz w:val="24"/>
        </w:rPr>
        <w:t>, qui fait partie de cette stratégie régionale globale, l'</w:t>
      </w:r>
      <w:r>
        <w:rPr>
          <w:rFonts w:ascii="Times New Roman" w:hAnsi="Times New Roman"/>
          <w:noProof/>
          <w:sz w:val="24"/>
        </w:rPr>
        <w:t>UE intensifiera ses efforts en vue d'isoler Daech et de le priver des ressources lui permettant de mener à bien ses opérations, conformément aux résolutions prises en la matière par le Conseil de sécurité des Nations unies et dans le plein respect des norm</w:t>
      </w:r>
      <w:r>
        <w:rPr>
          <w:rFonts w:ascii="Times New Roman" w:hAnsi="Times New Roman"/>
          <w:noProof/>
          <w:sz w:val="24"/>
        </w:rPr>
        <w:t>es européennes et internationales en matière de droits de l'homme. Cela passe par un dialogue politique ouvert et renforcé avec la Turquie et les États du Golfe, mené en concertation avec d'autres partenaires (dont les États-Unis). Ce dialogue devrait alle</w:t>
      </w:r>
      <w:r>
        <w:rPr>
          <w:rFonts w:ascii="Times New Roman" w:hAnsi="Times New Roman"/>
          <w:noProof/>
          <w:sz w:val="24"/>
        </w:rPr>
        <w:t>r de pair avec un soutien pratique en matière de renforcement des capacités, de nature à permettre aux pays de la région de traiter efficacement la menace des combattants étrangers et à garantir que les sanctions et autres mesures contre Daech sont appliqu</w:t>
      </w:r>
      <w:r>
        <w:rPr>
          <w:rFonts w:ascii="Times New Roman" w:hAnsi="Times New Roman"/>
          <w:noProof/>
          <w:sz w:val="24"/>
        </w:rPr>
        <w:t>ées effectivement, au moyen d'un renforcement des contrôles aux frontières. Ces mesures ont également pour objectifs de traquer les individus impliqués dans des crimes contre l'humanité et des crimes de guerre, de lutter contre la corruption et la contreba</w:t>
      </w:r>
      <w:r>
        <w:rPr>
          <w:rFonts w:ascii="Times New Roman" w:hAnsi="Times New Roman"/>
          <w:noProof/>
          <w:sz w:val="24"/>
        </w:rPr>
        <w:t>nde, qui profitent à Daech, et de poursuivre en justice les personnes incriminées. Il importera, en outre, de renforcer le contrôle des flux financiers transitant par des institutions financières et des réseaux financiers traditionnels.</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L'UE s'emploiera au</w:t>
      </w:r>
      <w:r>
        <w:rPr>
          <w:rFonts w:ascii="Times New Roman" w:hAnsi="Times New Roman"/>
          <w:noProof/>
          <w:sz w:val="24"/>
        </w:rPr>
        <w:t>ssi à prévenir l'extrémisme violent dans les pays de la région, à mettre en place des programmes de dé radicalisation et à prévenir la radicalisation. Le soutien de l'UE en matière de renforcement des capacités dans la lutte contre le terrorisme et les com</w:t>
      </w:r>
      <w:r>
        <w:rPr>
          <w:rFonts w:ascii="Times New Roman" w:hAnsi="Times New Roman"/>
          <w:noProof/>
          <w:sz w:val="24"/>
        </w:rPr>
        <w:t xml:space="preserve">battants étrangers devra constituer une priorité, pour laquelle il sera tenu compte de la capacité des pays partenaires à respecter les critères de référence en matière de droits de l'homme et de libertés civiles et politiques. En tant que volet essentiel </w:t>
      </w:r>
      <w:r>
        <w:rPr>
          <w:rFonts w:ascii="Times New Roman" w:hAnsi="Times New Roman"/>
          <w:noProof/>
          <w:sz w:val="24"/>
        </w:rPr>
        <w:t>des réformes à entreprendre, la réforme des lois relatives à la lutte antiterroriste dans les pays de la région devrait recevoir l'appui de l'UE.</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 xml:space="preserve">Pour que la lutte contre le terrorisme soit crédible, il est fondamental d'opérer un distinguo entre Daech et </w:t>
      </w:r>
      <w:r>
        <w:rPr>
          <w:rFonts w:ascii="Times New Roman" w:hAnsi="Times New Roman"/>
          <w:noProof/>
          <w:sz w:val="24"/>
        </w:rPr>
        <w:t>les autres organisations terroristes, d'une part, et les groupes adhérant à des formes non violentes d'Islam politique, d'autre part. L'un des objectifs de la diplomatie de l'UE doit consister à mettre en garde contre le risque qui existe de pousser ces de</w:t>
      </w:r>
      <w:r>
        <w:rPr>
          <w:rFonts w:ascii="Times New Roman" w:hAnsi="Times New Roman"/>
          <w:noProof/>
          <w:sz w:val="24"/>
        </w:rPr>
        <w:t>rniers groupes, en les réprimant, à se radicaliser. Il importe de veiller à ce que les mesures répressives prises par les pays partenaires aient un caractère nécessaire et proportionné et à ce qu'elles ne tirent pas vers le bas les normes minimums en matiè</w:t>
      </w:r>
      <w:r>
        <w:rPr>
          <w:rFonts w:ascii="Times New Roman" w:hAnsi="Times New Roman"/>
          <w:noProof/>
          <w:sz w:val="24"/>
        </w:rPr>
        <w:t>re de protection des droits de l'homme.</w:t>
      </w:r>
    </w:p>
    <w:p w:rsidR="00C37BB1" w:rsidRDefault="007C505C">
      <w:pPr>
        <w:spacing w:after="120" w:line="240" w:lineRule="auto"/>
        <w:ind w:left="360"/>
        <w:jc w:val="both"/>
        <w:rPr>
          <w:rFonts w:ascii="Times New Roman" w:hAnsi="Times New Roman"/>
          <w:i/>
          <w:noProof/>
          <w:sz w:val="24"/>
          <w:szCs w:val="24"/>
        </w:rPr>
      </w:pPr>
      <w:r>
        <w:rPr>
          <w:rFonts w:ascii="Times New Roman" w:hAnsi="Times New Roman"/>
          <w:b/>
          <w:i/>
          <w:noProof/>
          <w:sz w:val="24"/>
        </w:rPr>
        <w:t>Moyens d'action de l'UE:</w:t>
      </w:r>
      <w:r>
        <w:rPr>
          <w:rFonts w:ascii="Times New Roman" w:hAnsi="Times New Roman"/>
          <w:i/>
          <w:noProof/>
          <w:sz w:val="24"/>
        </w:rPr>
        <w:t xml:space="preserve"> </w:t>
      </w:r>
      <w:r>
        <w:rPr>
          <w:rFonts w:ascii="Times New Roman" w:hAnsi="Times New Roman"/>
          <w:noProof/>
          <w:sz w:val="24"/>
        </w:rPr>
        <w:t>l'engagement de l'UE dans ce domaine consistera en des actions des États membres et de l'UE et sera fonction de l'évaluation de leur faisabilité et de priorités changeantes. Il devrait compor</w:t>
      </w:r>
      <w:r>
        <w:rPr>
          <w:rFonts w:ascii="Times New Roman" w:hAnsi="Times New Roman"/>
          <w:noProof/>
          <w:sz w:val="24"/>
        </w:rPr>
        <w:t xml:space="preserve">ter une coopération au niveau politique et au niveau des experts avec les institutions compétentes des pays de la région et bénéficier d'un appui financier des États membres de l'UE et d'un soutien au titre de </w:t>
      </w:r>
      <w:r>
        <w:rPr>
          <w:rFonts w:ascii="Times New Roman" w:hAnsi="Times New Roman"/>
          <w:i/>
          <w:noProof/>
          <w:sz w:val="24"/>
        </w:rPr>
        <w:t>l'instrument contribuant à la stabilité et à l</w:t>
      </w:r>
      <w:r>
        <w:rPr>
          <w:rFonts w:ascii="Times New Roman" w:hAnsi="Times New Roman"/>
          <w:i/>
          <w:noProof/>
          <w:sz w:val="24"/>
        </w:rPr>
        <w:t>a paix</w:t>
      </w:r>
      <w:r>
        <w:rPr>
          <w:rFonts w:ascii="Times New Roman" w:hAnsi="Times New Roman"/>
          <w:noProof/>
          <w:sz w:val="24"/>
        </w:rPr>
        <w:t xml:space="preserve">, ainsi que de </w:t>
      </w:r>
      <w:r>
        <w:rPr>
          <w:rFonts w:ascii="Times New Roman" w:hAnsi="Times New Roman"/>
          <w:i/>
          <w:noProof/>
          <w:sz w:val="24"/>
        </w:rPr>
        <w:t>l'instrument européen de voisinage</w:t>
      </w:r>
      <w:r>
        <w:rPr>
          <w:rFonts w:ascii="Times New Roman" w:hAnsi="Times New Roman"/>
          <w:noProof/>
          <w:sz w:val="24"/>
        </w:rPr>
        <w:t xml:space="preserve"> (IEV) et de la </w:t>
      </w:r>
      <w:r>
        <w:rPr>
          <w:rFonts w:ascii="Times New Roman" w:hAnsi="Times New Roman"/>
          <w:i/>
          <w:noProof/>
          <w:sz w:val="24"/>
        </w:rPr>
        <w:t>PESC</w:t>
      </w:r>
      <w:r>
        <w:rPr>
          <w:rFonts w:ascii="Times New Roman" w:hAnsi="Times New Roman"/>
          <w:noProof/>
          <w:sz w:val="24"/>
        </w:rPr>
        <w:t>, le cas échéant. Les actions de l'UE doivent être mises en œuvre en conformité avec la charte des droits fondamentaux de l'UE.</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i/>
          <w:noProof/>
          <w:sz w:val="24"/>
        </w:rPr>
        <w:t>Combattants étrangers</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 xml:space="preserve">Mener des actions visant à endiguer le flux de combattants étrangers vers la Syrie et l'Iraq et à s'occuper de ces combattants à leur retour dans leur pays d'origine (à définir plus en détail début 2015, conformément aux objectifs énoncés dans la </w:t>
      </w:r>
      <w:r>
        <w:rPr>
          <w:rFonts w:ascii="Times New Roman" w:hAnsi="Times New Roman"/>
          <w:i/>
          <w:noProof/>
          <w:sz w:val="24"/>
        </w:rPr>
        <w:t>stratégie</w:t>
      </w:r>
      <w:r>
        <w:rPr>
          <w:rFonts w:ascii="Times New Roman" w:hAnsi="Times New Roman"/>
          <w:i/>
          <w:noProof/>
          <w:sz w:val="24"/>
        </w:rPr>
        <w:t xml:space="preserve"> concernant la lutte contre le terrorisme et les combattants étrangers</w:t>
      </w:r>
      <w:r>
        <w:rPr>
          <w:rFonts w:ascii="Times New Roman" w:hAnsi="Times New Roman"/>
          <w:noProof/>
          <w:sz w:val="24"/>
        </w:rPr>
        <w:t>).</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 xml:space="preserve">Aider la Turquie, le Liban et la Jordanie à améliorer la sécurité des frontières. </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Renforcer les capacités dans la région en vue de mettre en œuvre la résolution n° 2178 du Conseil de</w:t>
      </w:r>
      <w:r>
        <w:rPr>
          <w:rFonts w:ascii="Times New Roman" w:hAnsi="Times New Roman"/>
          <w:noProof/>
          <w:sz w:val="24"/>
        </w:rPr>
        <w:t xml:space="preserve"> sécurité des Nations unies, ainsi que dans le domaine de la gestion et de la sécurité des frontières, en recourant notamment à la détection de traces d'explosifs et à la diffusion d'un savoir-faire en matière d'infrastructures et de configurations aéropor</w:t>
      </w:r>
      <w:r>
        <w:rPr>
          <w:rFonts w:ascii="Times New Roman" w:hAnsi="Times New Roman"/>
          <w:noProof/>
          <w:sz w:val="24"/>
        </w:rPr>
        <w:t>tuaires.</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Renforcer la coopération policière et judiciaire internationale en vue de soutenir les enquêtes et les poursuites lancées contre les combattants étrangers, de suivre et d'enregistrer les déplacements de ces derniers, y compris en adoptant une légi</w:t>
      </w:r>
      <w:r>
        <w:rPr>
          <w:rFonts w:ascii="Times New Roman" w:hAnsi="Times New Roman"/>
          <w:noProof/>
          <w:sz w:val="24"/>
        </w:rPr>
        <w:t>slation de l'UE sur l'échange de dossiers passagers avec les principaux partenaires de l'UE, tout en se conformant aux principes de proportionnalité à l'égard des restrictions des droits à la protection des données, de recenser les sources de financement d</w:t>
      </w:r>
      <w:r>
        <w:rPr>
          <w:rFonts w:ascii="Times New Roman" w:hAnsi="Times New Roman"/>
          <w:noProof/>
          <w:sz w:val="24"/>
        </w:rPr>
        <w:t xml:space="preserve">'origine criminelle, dont la traite d'êtres humains, de déstabiliser les filières d'approvisionnement illicites en armes et en munitions et de prévenir l'utilisation d'internet à des fins criminelles pour recruter des terroristes et diffuser des pratiques </w:t>
      </w:r>
      <w:r>
        <w:rPr>
          <w:rFonts w:ascii="Times New Roman" w:hAnsi="Times New Roman"/>
          <w:noProof/>
          <w:sz w:val="24"/>
        </w:rPr>
        <w:t>terroristes.</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Développer une approche commune en matière de sécurité intérieure et extérieure et mettre en place des réseaux d'experts dans ce domaine en vue de suivre l'évolution des méthodes de communication et de propagande de Daech.</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Coopérer avec la Cou</w:t>
      </w:r>
      <w:r>
        <w:rPr>
          <w:rFonts w:ascii="Times New Roman" w:hAnsi="Times New Roman"/>
          <w:noProof/>
          <w:sz w:val="24"/>
        </w:rPr>
        <w:t>r pénale internationale, notamment en collectant des éléments de preuve et des témoignages et en identifiant les criminels.</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i/>
          <w:noProof/>
          <w:sz w:val="24"/>
        </w:rPr>
        <w:t>Discours dissuasifs et lutte contre l'extrémisme violent</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Soutenir les campagnes de communication menées par des acteurs compétents e</w:t>
      </w:r>
      <w:r>
        <w:rPr>
          <w:rFonts w:ascii="Times New Roman" w:hAnsi="Times New Roman"/>
          <w:noProof/>
          <w:sz w:val="24"/>
        </w:rPr>
        <w:t>n Syrie, en Iraq et dans la région (y compris dans les pays d'origine des combattants étrangers) visant à discréditer l'idéologie de Daech, à dénoncer ses violations des droits de l'homme et à lutter contre l'extrémisme violent et les discours de haine lié</w:t>
      </w:r>
      <w:r>
        <w:rPr>
          <w:rFonts w:ascii="Times New Roman" w:hAnsi="Times New Roman"/>
          <w:noProof/>
          <w:sz w:val="24"/>
        </w:rPr>
        <w:t xml:space="preserve">s à d'autres groupes dans la région. </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 xml:space="preserve">Soutenir la lutte contre les projets d'extrémisme violent au Liban et en Jordanie, voire dans d'autres pays de la région, en ciblant les franges les plus exposées de la population, les jeunes en particulier. </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 xml:space="preserve">Prévenir </w:t>
      </w:r>
      <w:r>
        <w:rPr>
          <w:rFonts w:ascii="Times New Roman" w:hAnsi="Times New Roman"/>
          <w:noProof/>
          <w:sz w:val="24"/>
        </w:rPr>
        <w:t xml:space="preserve">la radicalisation dans les prisons au moyen d'un programme intégré de réinsertion ou de désengagement en faveur des détenus ou des membres de groupes terroristes de retour chez eux, dans la région et dans l'UE. </w:t>
      </w:r>
    </w:p>
    <w:p w:rsidR="00C37BB1" w:rsidRDefault="007C505C">
      <w:pPr>
        <w:numPr>
          <w:ilvl w:val="1"/>
          <w:numId w:val="7"/>
        </w:numPr>
        <w:spacing w:after="120" w:line="240" w:lineRule="auto"/>
        <w:ind w:left="720"/>
        <w:jc w:val="both"/>
        <w:rPr>
          <w:rFonts w:ascii="Times New Roman" w:hAnsi="Times New Roman"/>
          <w:noProof/>
          <w:sz w:val="24"/>
          <w:szCs w:val="24"/>
        </w:rPr>
      </w:pPr>
      <w:r>
        <w:rPr>
          <w:rFonts w:ascii="Times New Roman" w:hAnsi="Times New Roman"/>
          <w:noProof/>
          <w:sz w:val="24"/>
        </w:rPr>
        <w:t>Encourager les gouvernements et les acteurs compétents de la société dans la région à prendre des mesures ciblées pour prévenir la radicalisation et les incitations à la haine dans les lieux publics (y compris dans les universités) et lutter contre cette r</w:t>
      </w:r>
      <w:r>
        <w:rPr>
          <w:rFonts w:ascii="Times New Roman" w:hAnsi="Times New Roman"/>
          <w:noProof/>
          <w:sz w:val="24"/>
        </w:rPr>
        <w:t xml:space="preserve">adicalisation et ces incitations. </w:t>
      </w:r>
    </w:p>
    <w:p w:rsidR="00C37BB1" w:rsidRDefault="007C505C">
      <w:pPr>
        <w:pStyle w:val="ListParagraph"/>
        <w:spacing w:after="120"/>
        <w:ind w:left="360"/>
        <w:jc w:val="both"/>
        <w:rPr>
          <w:rFonts w:ascii="Times New Roman" w:hAnsi="Times New Roman"/>
          <w:i/>
          <w:noProof/>
          <w:sz w:val="24"/>
          <w:szCs w:val="24"/>
        </w:rPr>
      </w:pPr>
      <w:r>
        <w:rPr>
          <w:rFonts w:ascii="Times New Roman" w:hAnsi="Times New Roman"/>
          <w:i/>
          <w:noProof/>
          <w:sz w:val="24"/>
        </w:rPr>
        <w:t>Financement du terrorisme/sanctions</w:t>
      </w:r>
    </w:p>
    <w:p w:rsidR="00C37BB1" w:rsidRDefault="00C37BB1">
      <w:pPr>
        <w:pStyle w:val="ListParagraph"/>
        <w:spacing w:after="120"/>
        <w:ind w:left="360"/>
        <w:jc w:val="both"/>
        <w:rPr>
          <w:rFonts w:ascii="Times New Roman" w:hAnsi="Times New Roman"/>
          <w:noProof/>
          <w:sz w:val="24"/>
          <w:szCs w:val="24"/>
        </w:rPr>
      </w:pPr>
    </w:p>
    <w:p w:rsidR="00C37BB1" w:rsidRDefault="007C505C">
      <w:pPr>
        <w:pStyle w:val="ListParagraph"/>
        <w:numPr>
          <w:ilvl w:val="0"/>
          <w:numId w:val="8"/>
        </w:numPr>
        <w:spacing w:after="120"/>
        <w:ind w:left="720"/>
        <w:jc w:val="both"/>
        <w:rPr>
          <w:rFonts w:ascii="Times New Roman" w:hAnsi="Times New Roman"/>
          <w:noProof/>
          <w:sz w:val="24"/>
          <w:szCs w:val="24"/>
        </w:rPr>
      </w:pPr>
      <w:r>
        <w:rPr>
          <w:rFonts w:ascii="Times New Roman" w:hAnsi="Times New Roman"/>
          <w:noProof/>
          <w:sz w:val="24"/>
        </w:rPr>
        <w:t>Soutenir les sanctions des Nations unies, y compris en ce qui concerne les désignations et les mesures ciblant les finances de Daech. Veiller à leur mise en œuvre et à leur suivi en bo</w:t>
      </w:r>
      <w:r>
        <w:rPr>
          <w:rFonts w:ascii="Times New Roman" w:hAnsi="Times New Roman"/>
          <w:noProof/>
          <w:sz w:val="24"/>
        </w:rPr>
        <w:t xml:space="preserve">nne et due forme (au moyen de consultations internationales). </w:t>
      </w:r>
    </w:p>
    <w:p w:rsidR="00C37BB1" w:rsidRDefault="007C505C">
      <w:pPr>
        <w:numPr>
          <w:ilvl w:val="0"/>
          <w:numId w:val="8"/>
        </w:numPr>
        <w:spacing w:after="120" w:line="240" w:lineRule="auto"/>
        <w:ind w:left="720"/>
        <w:jc w:val="both"/>
        <w:rPr>
          <w:rFonts w:ascii="Times New Roman" w:hAnsi="Times New Roman"/>
          <w:noProof/>
          <w:sz w:val="24"/>
          <w:szCs w:val="24"/>
        </w:rPr>
      </w:pPr>
      <w:r>
        <w:rPr>
          <w:rFonts w:ascii="Times New Roman" w:hAnsi="Times New Roman"/>
          <w:noProof/>
          <w:sz w:val="24"/>
        </w:rPr>
        <w:t>Soutenir le renforcement des capacités des pays voisins en matière de lutte contre le financement du terrorisme et la corruption y afférente.</w:t>
      </w:r>
    </w:p>
    <w:p w:rsidR="00C37BB1" w:rsidRDefault="007C505C">
      <w:pPr>
        <w:numPr>
          <w:ilvl w:val="0"/>
          <w:numId w:val="8"/>
        </w:numPr>
        <w:spacing w:after="120" w:line="240" w:lineRule="auto"/>
        <w:ind w:left="720"/>
        <w:jc w:val="both"/>
        <w:rPr>
          <w:rFonts w:ascii="Times New Roman" w:hAnsi="Times New Roman"/>
          <w:noProof/>
          <w:sz w:val="24"/>
          <w:szCs w:val="24"/>
        </w:rPr>
      </w:pPr>
      <w:r>
        <w:rPr>
          <w:rFonts w:ascii="Times New Roman" w:hAnsi="Times New Roman"/>
          <w:noProof/>
          <w:sz w:val="24"/>
        </w:rPr>
        <w:t xml:space="preserve">Encourager les demandes d'inscription sur la liste </w:t>
      </w:r>
      <w:r>
        <w:rPr>
          <w:rFonts w:ascii="Times New Roman" w:hAnsi="Times New Roman"/>
          <w:noProof/>
          <w:sz w:val="24"/>
        </w:rPr>
        <w:t>du comité des sanctions des Nations unies contre Al-Qaida en vue de la désignation, par celui-ci, de personnes et entités soutenant Daech, comme, par exemple, des intermédiaires du marché noir du pétrole en Syrie et en Iraq, conformément à la résolution n°</w:t>
      </w:r>
      <w:r>
        <w:rPr>
          <w:rFonts w:ascii="Times New Roman" w:hAnsi="Times New Roman"/>
          <w:noProof/>
          <w:sz w:val="24"/>
        </w:rPr>
        <w:t> 2170 du Conseil de sécurité des Nations unies.</w:t>
      </w:r>
    </w:p>
    <w:p w:rsidR="00C37BB1" w:rsidRDefault="007C505C">
      <w:pPr>
        <w:numPr>
          <w:ilvl w:val="0"/>
          <w:numId w:val="8"/>
        </w:numPr>
        <w:spacing w:after="120" w:line="240" w:lineRule="auto"/>
        <w:ind w:left="720"/>
        <w:jc w:val="both"/>
        <w:rPr>
          <w:rFonts w:ascii="Times New Roman" w:hAnsi="Times New Roman"/>
          <w:iCs/>
          <w:noProof/>
          <w:sz w:val="24"/>
          <w:szCs w:val="24"/>
        </w:rPr>
      </w:pPr>
      <w:r>
        <w:rPr>
          <w:rFonts w:ascii="Times New Roman" w:hAnsi="Times New Roman"/>
          <w:noProof/>
          <w:sz w:val="24"/>
        </w:rPr>
        <w:t>Au besoin, l'UE pourrait créer un régime de sanctions autonome s'inscrivant en complément du régime de sanctions contre Al-Qaida mis en place par les Nations unies. Un tel régime de sanctions doit être confor</w:t>
      </w:r>
      <w:r>
        <w:rPr>
          <w:rFonts w:ascii="Times New Roman" w:hAnsi="Times New Roman"/>
          <w:noProof/>
          <w:sz w:val="24"/>
        </w:rPr>
        <w:t>me à la charte des droits fondamentaux de l'UE et à la jurisprudence de la Cour de justice de l'Union européenne dans l'affaire Kadi</w:t>
      </w:r>
      <w:r>
        <w:rPr>
          <w:rStyle w:val="FootnoteReference"/>
          <w:rFonts w:ascii="Times New Roman" w:hAnsi="Times New Roman"/>
          <w:noProof/>
          <w:sz w:val="24"/>
        </w:rPr>
        <w:footnoteReference w:id="6"/>
      </w:r>
      <w:r>
        <w:rPr>
          <w:rFonts w:ascii="Times New Roman" w:hAnsi="Times New Roman"/>
          <w:noProof/>
          <w:sz w:val="24"/>
        </w:rPr>
        <w:t>.</w:t>
      </w:r>
    </w:p>
    <w:p w:rsidR="00C37BB1" w:rsidRDefault="007C505C">
      <w:pPr>
        <w:numPr>
          <w:ilvl w:val="0"/>
          <w:numId w:val="8"/>
        </w:numPr>
        <w:spacing w:after="120" w:line="240" w:lineRule="auto"/>
        <w:ind w:left="720"/>
        <w:jc w:val="both"/>
        <w:rPr>
          <w:rFonts w:ascii="Times New Roman" w:hAnsi="Times New Roman"/>
          <w:iCs/>
          <w:noProof/>
          <w:sz w:val="24"/>
          <w:szCs w:val="24"/>
        </w:rPr>
      </w:pPr>
      <w:r>
        <w:rPr>
          <w:rFonts w:ascii="Times New Roman" w:hAnsi="Times New Roman"/>
          <w:noProof/>
          <w:sz w:val="24"/>
        </w:rPr>
        <w:t>Encourager les enquêtes pénales et la coopération judiciaire visant à poursuivre les combattants étrangers et les organis</w:t>
      </w:r>
      <w:r>
        <w:rPr>
          <w:rFonts w:ascii="Times New Roman" w:hAnsi="Times New Roman"/>
          <w:noProof/>
          <w:sz w:val="24"/>
        </w:rPr>
        <w:t xml:space="preserve">ations de recrutement de terroristes et promouvoir la confiscation et de leurs avoirs et outils criminels.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Un soutien continu de l'UE aux populations touchées par le conflit, réfugiées et déplacées (pour ce qui a trait aux moyens de subsistance et à l'édu</w:t>
      </w:r>
      <w:r>
        <w:rPr>
          <w:rFonts w:ascii="Times New Roman" w:hAnsi="Times New Roman"/>
          <w:noProof/>
          <w:sz w:val="24"/>
        </w:rPr>
        <w:t xml:space="preserve">cation en particulier) et des initiatives visant à renforcer la résilience collective tout en répondant aux besoins essentiels peuvent aussi constituer des moyens efficaces de réduire l'attrait des groupes terroristes. </w:t>
      </w:r>
    </w:p>
    <w:p w:rsidR="00C37BB1" w:rsidRDefault="007C505C">
      <w:pPr>
        <w:spacing w:after="120" w:line="240" w:lineRule="auto"/>
        <w:rPr>
          <w:rFonts w:ascii="Times New Roman" w:hAnsi="Times New Roman"/>
          <w:b/>
          <w:noProof/>
          <w:sz w:val="24"/>
          <w:szCs w:val="24"/>
        </w:rPr>
      </w:pPr>
      <w:r>
        <w:rPr>
          <w:rFonts w:ascii="Times New Roman" w:hAnsi="Times New Roman"/>
          <w:b/>
          <w:noProof/>
          <w:sz w:val="24"/>
        </w:rPr>
        <w:t>2.1.3</w:t>
      </w:r>
      <w:r>
        <w:rPr>
          <w:noProof/>
        </w:rPr>
        <w:tab/>
      </w:r>
      <w:r>
        <w:rPr>
          <w:rFonts w:ascii="Times New Roman" w:hAnsi="Times New Roman"/>
          <w:b/>
          <w:noProof/>
          <w:sz w:val="24"/>
        </w:rPr>
        <w:t xml:space="preserve">Prévenir la contagion </w:t>
      </w:r>
      <w:r>
        <w:rPr>
          <w:rFonts w:ascii="Times New Roman" w:hAnsi="Times New Roman"/>
          <w:b/>
          <w:noProof/>
          <w:sz w:val="24"/>
        </w:rPr>
        <w:t>régionale et renforcer la sécurité des frontières</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Il est primordial d'empêcher Daech de s'implanter dans les pays voisins, que ce soit ou non à visage découvert. Le Liban, en particulier, a souffert des attaques terroristes orchestrées par les alliés de Da</w:t>
      </w:r>
      <w:r>
        <w:rPr>
          <w:rFonts w:ascii="Times New Roman" w:hAnsi="Times New Roman"/>
          <w:noProof/>
          <w:sz w:val="24"/>
        </w:rPr>
        <w:t>ech sur son territoire. Si Daech a fait l'objet en Jordanie de marques de sympathie populaire, celles-ci demeurent limitées et localisées et le pays est parvenu à contenir toute forme de violence. La Turquie, qui est engagée dans un délicat processus de pa</w:t>
      </w:r>
      <w:r>
        <w:rPr>
          <w:rFonts w:ascii="Times New Roman" w:hAnsi="Times New Roman"/>
          <w:noProof/>
          <w:sz w:val="24"/>
        </w:rPr>
        <w:t xml:space="preserve">ix avec le Parti des travailleurs du Kurdistan (PKK), a été critiquée parce qu'elle ne donnait pas suffisamment la priorité à la lutte contre Daech. La Turquie risque également de faire l'objet d'infiltrations terroristes. Si l'on veut éviter que la crise </w:t>
      </w:r>
      <w:r>
        <w:rPr>
          <w:rFonts w:ascii="Times New Roman" w:hAnsi="Times New Roman"/>
          <w:noProof/>
          <w:sz w:val="24"/>
        </w:rPr>
        <w:t>en Syrie et en Iraq ne se propage à toute la région, il convient d'augmenter sensiblement le niveau de l'aide fournie aux pays voisins pour les aider à faire face à l'afflux de réfugiés (voir le point 2.1.5).</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Un soutien doit être apporté au Liban et à la J</w:t>
      </w:r>
      <w:r>
        <w:rPr>
          <w:rFonts w:ascii="Times New Roman" w:hAnsi="Times New Roman"/>
          <w:noProof/>
          <w:sz w:val="24"/>
        </w:rPr>
        <w:t>ordanie en matière de sécurité et de gestion des frontières. Un dialogue sur la migration, la mobilité et la sécurité a été engagé avec le Liban en décembre 2014, tandis qu'un partenariat pour la mobilité a été signé avec la Jordanie en octobre 2014. Les a</w:t>
      </w:r>
      <w:r>
        <w:rPr>
          <w:rFonts w:ascii="Times New Roman" w:hAnsi="Times New Roman"/>
          <w:noProof/>
          <w:sz w:val="24"/>
        </w:rPr>
        <w:t>ctions suivantes pourraient également être envisagées:</w:t>
      </w:r>
    </w:p>
    <w:p w:rsidR="00C37BB1" w:rsidRDefault="007C505C">
      <w:pPr>
        <w:numPr>
          <w:ilvl w:val="0"/>
          <w:numId w:val="9"/>
        </w:numPr>
        <w:spacing w:after="120" w:line="240" w:lineRule="auto"/>
        <w:jc w:val="both"/>
        <w:rPr>
          <w:rFonts w:ascii="Times New Roman" w:hAnsi="Times New Roman"/>
          <w:iCs/>
          <w:noProof/>
          <w:sz w:val="24"/>
          <w:szCs w:val="24"/>
        </w:rPr>
      </w:pPr>
      <w:r>
        <w:rPr>
          <w:rFonts w:ascii="Times New Roman" w:hAnsi="Times New Roman"/>
          <w:noProof/>
          <w:sz w:val="24"/>
        </w:rPr>
        <w:t>poursuivre l'appui de l'UE et de ses États membres à la réforme du secteur de la sécurité au Liban et la mise en œuvre de l'aide de l'UE aux forces armées libanaises dans des domaines tels que la coopé</w:t>
      </w:r>
      <w:r>
        <w:rPr>
          <w:rFonts w:ascii="Times New Roman" w:hAnsi="Times New Roman"/>
          <w:noProof/>
          <w:sz w:val="24"/>
        </w:rPr>
        <w:t>ration militaro-civile, la sécurité maritime, la sécurité des frontières, la lutte contre le terrorisme, ainsi que la formation et l'enseignement militaires;</w:t>
      </w:r>
    </w:p>
    <w:p w:rsidR="00C37BB1" w:rsidRDefault="007C505C">
      <w:pPr>
        <w:numPr>
          <w:ilvl w:val="0"/>
          <w:numId w:val="9"/>
        </w:numPr>
        <w:spacing w:after="120" w:line="240" w:lineRule="auto"/>
        <w:jc w:val="both"/>
        <w:rPr>
          <w:rFonts w:ascii="Times New Roman" w:hAnsi="Times New Roman"/>
          <w:b/>
          <w:iCs/>
          <w:noProof/>
          <w:sz w:val="24"/>
          <w:szCs w:val="24"/>
        </w:rPr>
      </w:pPr>
      <w:r>
        <w:rPr>
          <w:rFonts w:ascii="Times New Roman" w:hAnsi="Times New Roman"/>
          <w:noProof/>
          <w:sz w:val="24"/>
        </w:rPr>
        <w:t xml:space="preserve">continuer, s'il y a lieu, d'apporter un soutien en vue i) de renforcer la capacité à planifier et </w:t>
      </w:r>
      <w:r>
        <w:rPr>
          <w:rFonts w:ascii="Times New Roman" w:hAnsi="Times New Roman"/>
          <w:noProof/>
          <w:sz w:val="24"/>
        </w:rPr>
        <w:t>à mener des opérations, ii) d'améliorer le système logistique des forces armées libanaises, iii) de mettre sur pied un cycle de formation pour les forces armées libanaises, iv) d'aider les forces armées libanaises en matière de gestion et de sécurité des f</w:t>
      </w:r>
      <w:r>
        <w:rPr>
          <w:rFonts w:ascii="Times New Roman" w:hAnsi="Times New Roman"/>
          <w:noProof/>
          <w:sz w:val="24"/>
        </w:rPr>
        <w:t xml:space="preserve">rontières, v) de mettre au point un concept de sécurité orienté vers l'avenir pour les gardes-frontières appartenant aux forces armées libanaises, vi) d'améliorer le rôle des forces armées libanaises dans la lutte contre le terrorisme en insistant sur les </w:t>
      </w:r>
      <w:r>
        <w:rPr>
          <w:rFonts w:ascii="Times New Roman" w:hAnsi="Times New Roman"/>
          <w:noProof/>
          <w:sz w:val="24"/>
        </w:rPr>
        <w:t xml:space="preserve">aspects législatifs, stratégiques et institutionnels et vii) de revoir le système éducatif et de formation des forces armées libanaises; </w:t>
      </w:r>
    </w:p>
    <w:p w:rsidR="00C37BB1" w:rsidRDefault="007C505C">
      <w:pPr>
        <w:numPr>
          <w:ilvl w:val="0"/>
          <w:numId w:val="9"/>
        </w:numPr>
        <w:spacing w:after="120" w:line="240" w:lineRule="auto"/>
        <w:jc w:val="both"/>
        <w:rPr>
          <w:rFonts w:ascii="Times New Roman" w:hAnsi="Times New Roman"/>
          <w:noProof/>
          <w:sz w:val="24"/>
          <w:szCs w:val="24"/>
        </w:rPr>
      </w:pPr>
      <w:r>
        <w:rPr>
          <w:rFonts w:ascii="Times New Roman" w:hAnsi="Times New Roman"/>
          <w:noProof/>
          <w:sz w:val="24"/>
        </w:rPr>
        <w:t xml:space="preserve">instaurer avec la Jordanie un dialogue en matière de sécurité, pour examiner la situation sécuritaire de la région et </w:t>
      </w:r>
      <w:r>
        <w:rPr>
          <w:rFonts w:ascii="Times New Roman" w:hAnsi="Times New Roman"/>
          <w:noProof/>
          <w:sz w:val="24"/>
        </w:rPr>
        <w:t>contribuer à ouvrir la voie à une coopération renforcée en matière de sécurité et de lutte contre le terrorisme. Il convient d'évaluer les besoins des forces armées jordaniennes (y compris ceux des régiments de gardes-frontières terrestres) dans ce context</w:t>
      </w:r>
      <w:r>
        <w:rPr>
          <w:rFonts w:ascii="Times New Roman" w:hAnsi="Times New Roman"/>
          <w:noProof/>
          <w:sz w:val="24"/>
        </w:rPr>
        <w:t>e et d'examiner les options qui existent pour compléter l'aide que la Jordanie recevra au titre de l'initiative de l'OTAN en faveur du renforcement des capacités de défense.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Quant à la Turquie, les mesures suivantes sont envisagées:</w:t>
      </w:r>
    </w:p>
    <w:p w:rsidR="00C37BB1" w:rsidRDefault="007C505C">
      <w:pPr>
        <w:numPr>
          <w:ilvl w:val="0"/>
          <w:numId w:val="9"/>
        </w:numPr>
        <w:spacing w:after="120" w:line="240" w:lineRule="auto"/>
        <w:jc w:val="both"/>
        <w:rPr>
          <w:rFonts w:ascii="Times New Roman" w:hAnsi="Times New Roman"/>
          <w:noProof/>
          <w:sz w:val="24"/>
          <w:szCs w:val="24"/>
        </w:rPr>
      </w:pPr>
      <w:r>
        <w:rPr>
          <w:rFonts w:ascii="Times New Roman" w:hAnsi="Times New Roman"/>
          <w:noProof/>
          <w:sz w:val="24"/>
        </w:rPr>
        <w:t>poursuivre le soutien a</w:t>
      </w:r>
      <w:r>
        <w:rPr>
          <w:rFonts w:ascii="Times New Roman" w:hAnsi="Times New Roman"/>
          <w:noProof/>
          <w:sz w:val="24"/>
        </w:rPr>
        <w:t>pporté à la Turquie pour la mise en œuvre de son plan d'action national en faveur d'une gestion intégrée des frontières, y compris par la réforme et la modernisation des techniques de surveillance le long de ses frontières terrestres et par des contrôles a</w:t>
      </w:r>
      <w:r>
        <w:rPr>
          <w:rFonts w:ascii="Times New Roman" w:hAnsi="Times New Roman"/>
          <w:noProof/>
          <w:sz w:val="24"/>
        </w:rPr>
        <w:t>ux points de passage frontaliers;</w:t>
      </w:r>
    </w:p>
    <w:p w:rsidR="00C37BB1" w:rsidRDefault="007C505C">
      <w:pPr>
        <w:numPr>
          <w:ilvl w:val="0"/>
          <w:numId w:val="9"/>
        </w:numPr>
        <w:spacing w:after="120" w:line="240" w:lineRule="auto"/>
        <w:jc w:val="both"/>
        <w:rPr>
          <w:rFonts w:ascii="Times New Roman" w:hAnsi="Times New Roman"/>
          <w:noProof/>
          <w:sz w:val="24"/>
          <w:szCs w:val="24"/>
        </w:rPr>
      </w:pPr>
      <w:r>
        <w:rPr>
          <w:rFonts w:ascii="Times New Roman" w:hAnsi="Times New Roman"/>
          <w:noProof/>
          <w:sz w:val="24"/>
        </w:rPr>
        <w:t xml:space="preserve">le dialogue déjà entamé entre l'UE et la Turquie en matière de lutte contre le terrorisme pourrait contribuer à recenser les domaines dans lesquels un soutien spécifique de l'UE pourrait être apporté aux autorités turques </w:t>
      </w:r>
      <w:r>
        <w:rPr>
          <w:rFonts w:ascii="Times New Roman" w:hAnsi="Times New Roman"/>
          <w:noProof/>
          <w:sz w:val="24"/>
        </w:rPr>
        <w:t xml:space="preserve">dans le but de renforcer leur capacité à contrôler le flux de personnes et de matériels franchissant la frontière turque et à repérer les personnes requérant une surveillance étroite, les armes à feu, les explosifs et d'autres substances dangereuses. </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Moye</w:t>
      </w:r>
      <w:r>
        <w:rPr>
          <w:rFonts w:ascii="Times New Roman" w:hAnsi="Times New Roman"/>
          <w:b/>
          <w:i/>
          <w:noProof/>
          <w:sz w:val="24"/>
        </w:rPr>
        <w:t>ns d'action de l'UE:</w:t>
      </w:r>
      <w:r>
        <w:rPr>
          <w:rFonts w:ascii="Times New Roman" w:hAnsi="Times New Roman"/>
          <w:noProof/>
          <w:sz w:val="24"/>
        </w:rPr>
        <w:t xml:space="preserve"> l'instrument contribuant à la stabilité et à la paix, l'IEV, l'IAP et les contributions des États membres. </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2.1.4</w:t>
      </w:r>
      <w:r>
        <w:rPr>
          <w:noProof/>
        </w:rPr>
        <w:tab/>
      </w:r>
      <w:r>
        <w:rPr>
          <w:rFonts w:ascii="Times New Roman" w:hAnsi="Times New Roman"/>
          <w:b/>
          <w:noProof/>
          <w:sz w:val="24"/>
        </w:rPr>
        <w:t>Fournir une aide humanitaire vitale et une protection internationale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Avec plus de 3 300 000 000 EUR, dont plus de 2 000 000 000 EUR d'aide humanitaire, alloués aux populations touchées en Syrie, en Iraq et dans les pays voisins (plus particulièrement la Jordanie, le Liban, la Turquie et l'Égypte), l'UE est le principal dona</w:t>
      </w:r>
      <w:r>
        <w:rPr>
          <w:rFonts w:ascii="Times New Roman" w:hAnsi="Times New Roman"/>
          <w:noProof/>
          <w:sz w:val="24"/>
        </w:rPr>
        <w:t>teur international dans le cadre de la réponse apportée à la crise syrienne. Les besoins allant grandissant, l'UE et ses États membres devraient continuer à fournir une aide humanitaire et une protection internationale aux populations syriennes et iraquien</w:t>
      </w:r>
      <w:r>
        <w:rPr>
          <w:rFonts w:ascii="Times New Roman" w:hAnsi="Times New Roman"/>
          <w:noProof/>
          <w:sz w:val="24"/>
        </w:rPr>
        <w:t>nes touchées, y compris aux réfugiés et aux personnes déplacées pour une période prolongée à l'intérieur de leur propre pays (PDI), en Syrie et en Iraq, de même que dans les pays voisins et dans les pays de l'UE. Il est également essentiel de mieux coupler</w:t>
      </w:r>
      <w:r>
        <w:rPr>
          <w:rFonts w:ascii="Times New Roman" w:hAnsi="Times New Roman"/>
          <w:noProof/>
          <w:sz w:val="24"/>
        </w:rPr>
        <w:t xml:space="preserve"> les efforts humanitaires avec l'aide à moyen et long terme aux personnes déplacées, en particulier aux enfants et aux jeunes adultes, de manière à promouvoir la résilience, le redressement, ainsi que la réinsertion et le développement post-conflit et de c</w:t>
      </w:r>
      <w:r>
        <w:rPr>
          <w:rFonts w:ascii="Times New Roman" w:hAnsi="Times New Roman"/>
          <w:noProof/>
          <w:sz w:val="24"/>
        </w:rPr>
        <w:t xml:space="preserve">ontrer le risque de radicalisation au sein des populations réfugiées. Compte tenu des fortes restrictions budgétaires que connaît l'UE, d'autres modes de financement innovants devront être examinés de concert avec les États membres de l'UE. </w:t>
      </w:r>
    </w:p>
    <w:p w:rsidR="00C37BB1" w:rsidRDefault="007C505C">
      <w:pPr>
        <w:pStyle w:val="NoSpacing"/>
        <w:spacing w:after="120"/>
        <w:jc w:val="both"/>
        <w:rPr>
          <w:rFonts w:ascii="Times New Roman" w:hAnsi="Times New Roman"/>
          <w:noProof/>
          <w:sz w:val="24"/>
          <w:szCs w:val="24"/>
        </w:rPr>
      </w:pPr>
      <w:r>
        <w:rPr>
          <w:rFonts w:ascii="Times New Roman" w:hAnsi="Times New Roman"/>
          <w:b/>
          <w:i/>
          <w:noProof/>
          <w:sz w:val="24"/>
        </w:rPr>
        <w:t>Moyens d'actio</w:t>
      </w:r>
      <w:r>
        <w:rPr>
          <w:rFonts w:ascii="Times New Roman" w:hAnsi="Times New Roman"/>
          <w:b/>
          <w:i/>
          <w:noProof/>
          <w:sz w:val="24"/>
        </w:rPr>
        <w:t>n de l'UE:</w:t>
      </w:r>
      <w:r>
        <w:rPr>
          <w:rFonts w:ascii="Times New Roman" w:hAnsi="Times New Roman"/>
          <w:noProof/>
          <w:sz w:val="24"/>
        </w:rPr>
        <w:t xml:space="preserve"> </w:t>
      </w:r>
    </w:p>
    <w:p w:rsidR="00C37BB1" w:rsidRDefault="007C505C">
      <w:pPr>
        <w:pStyle w:val="NoSpacing"/>
        <w:spacing w:after="120"/>
        <w:jc w:val="both"/>
        <w:rPr>
          <w:rFonts w:ascii="Times New Roman" w:hAnsi="Times New Roman"/>
          <w:b/>
          <w:noProof/>
          <w:sz w:val="24"/>
          <w:szCs w:val="24"/>
        </w:rPr>
      </w:pPr>
      <w:r>
        <w:rPr>
          <w:rFonts w:ascii="Times New Roman" w:hAnsi="Times New Roman"/>
          <w:b/>
          <w:noProof/>
          <w:sz w:val="24"/>
        </w:rPr>
        <w:t>Coordination:</w:t>
      </w:r>
    </w:p>
    <w:p w:rsidR="00C37BB1" w:rsidRDefault="007C505C">
      <w:pPr>
        <w:pStyle w:val="NoSpacing"/>
        <w:jc w:val="both"/>
        <w:rPr>
          <w:rFonts w:ascii="Times New Roman" w:hAnsi="Times New Roman"/>
          <w:b/>
          <w:bCs/>
          <w:noProof/>
          <w:sz w:val="24"/>
          <w:szCs w:val="24"/>
        </w:rPr>
      </w:pPr>
      <w:r>
        <w:rPr>
          <w:rFonts w:ascii="Times New Roman" w:hAnsi="Times New Roman"/>
          <w:noProof/>
          <w:sz w:val="24"/>
        </w:rPr>
        <w:t>Continuer d'apporter un soutien au système de coordination des Nations unies, conformément au consensus de l'UE sur l'aide humanitaire et le droit humanitaire international.</w:t>
      </w:r>
    </w:p>
    <w:p w:rsidR="00C37BB1" w:rsidRDefault="00C37BB1">
      <w:pPr>
        <w:pStyle w:val="NoSpacing"/>
        <w:jc w:val="both"/>
        <w:rPr>
          <w:rFonts w:ascii="Times New Roman" w:hAnsi="Times New Roman"/>
          <w:b/>
          <w:bCs/>
          <w:noProof/>
          <w:sz w:val="24"/>
          <w:szCs w:val="24"/>
        </w:rPr>
      </w:pPr>
    </w:p>
    <w:p w:rsidR="00C37BB1" w:rsidRDefault="007C505C">
      <w:pPr>
        <w:pStyle w:val="NoSpacing"/>
        <w:spacing w:after="120"/>
        <w:jc w:val="both"/>
        <w:rPr>
          <w:rFonts w:ascii="Times New Roman" w:hAnsi="Times New Roman"/>
          <w:noProof/>
          <w:sz w:val="24"/>
          <w:szCs w:val="24"/>
        </w:rPr>
      </w:pPr>
      <w:r>
        <w:rPr>
          <w:rFonts w:ascii="Times New Roman" w:hAnsi="Times New Roman"/>
          <w:b/>
          <w:noProof/>
          <w:sz w:val="24"/>
        </w:rPr>
        <w:t>Accès</w:t>
      </w:r>
      <w:r>
        <w:rPr>
          <w:rFonts w:ascii="Times New Roman" w:hAnsi="Times New Roman"/>
          <w:noProof/>
          <w:sz w:val="24"/>
        </w:rPr>
        <w:t xml:space="preserve">: </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utiliser tous les modes d'acheminement possible</w:t>
      </w:r>
      <w:r>
        <w:rPr>
          <w:rFonts w:ascii="Times New Roman" w:hAnsi="Times New Roman"/>
          <w:noProof/>
          <w:sz w:val="24"/>
        </w:rPr>
        <w:t>s (y compris les routes franchissant les lignes de conflit et les frontières) pour être en mesure d'atteindre toutes les personnes dans le besoin, y compris celles vivant dans des zones difficiles d'accès (4,8 millions de personnes en Syrie, 3,6 millions e</w:t>
      </w:r>
      <w:r>
        <w:rPr>
          <w:rFonts w:ascii="Times New Roman" w:hAnsi="Times New Roman"/>
          <w:noProof/>
          <w:sz w:val="24"/>
        </w:rPr>
        <w:t>n Iraq à la mi-janvier 2015);</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engager un dialogue proactif avec l'ensemble des parties au conflit pour accroître l'espace humanitaire en Syrie et en Iraq et avoir accès à toutes les personnes dans le besoin;</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renforcer la capacité des Nations unies à négoci</w:t>
      </w:r>
      <w:r>
        <w:rPr>
          <w:rFonts w:ascii="Times New Roman" w:hAnsi="Times New Roman"/>
          <w:noProof/>
          <w:sz w:val="24"/>
        </w:rPr>
        <w:t>er un accès, en particulier en Syrie et en Iraq, par l'intermédiaire du Bureau de la coordination des affaires humanitaires (OCHA), et garantir une meilleure coordination, notamment entre les opérations impliquant le franchissement des frontières et des li</w:t>
      </w:r>
      <w:r>
        <w:rPr>
          <w:rFonts w:ascii="Times New Roman" w:hAnsi="Times New Roman"/>
          <w:noProof/>
          <w:sz w:val="24"/>
        </w:rPr>
        <w:t>gnes de conflit;</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renforcer les capacités des ONG locales à fournir une aide.</w:t>
      </w:r>
    </w:p>
    <w:p w:rsidR="00C37BB1" w:rsidRDefault="007C505C">
      <w:pPr>
        <w:pStyle w:val="NoSpacing"/>
        <w:spacing w:after="120"/>
        <w:jc w:val="both"/>
        <w:rPr>
          <w:rFonts w:ascii="Times New Roman" w:hAnsi="Times New Roman"/>
          <w:noProof/>
          <w:sz w:val="24"/>
          <w:szCs w:val="24"/>
        </w:rPr>
      </w:pPr>
      <w:r>
        <w:rPr>
          <w:rFonts w:ascii="Times New Roman" w:hAnsi="Times New Roman"/>
          <w:b/>
          <w:noProof/>
          <w:sz w:val="24"/>
        </w:rPr>
        <w:t>Protection</w:t>
      </w:r>
      <w:r>
        <w:rPr>
          <w:rFonts w:ascii="Times New Roman" w:hAnsi="Times New Roman"/>
          <w:noProof/>
          <w:sz w:val="24"/>
        </w:rPr>
        <w:t xml:space="preserve">: </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 xml:space="preserve">assurer la protection des populations touchées et promouvoir le respect du droit international en matière de réfugiés et d'aide humanitaire; </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 xml:space="preserve">insister auprès des </w:t>
      </w:r>
      <w:r>
        <w:rPr>
          <w:rFonts w:ascii="Times New Roman" w:hAnsi="Times New Roman"/>
          <w:noProof/>
          <w:sz w:val="24"/>
        </w:rPr>
        <w:t>autorités des pays touchés pour que les politiques gouvernementales se conforment au droit humanitaire international, de manière à éviter que les réfugiés ne soient refoulés et que des camps de fortune ne bénéficiant d'aucune protection ne soient érigés da</w:t>
      </w:r>
      <w:r>
        <w:rPr>
          <w:rFonts w:ascii="Times New Roman" w:hAnsi="Times New Roman"/>
          <w:noProof/>
          <w:sz w:val="24"/>
        </w:rPr>
        <w:t>ns des «no man's land», veiller à ce que des mécanismes appropriés d'enregistrement et de documentation soient mis en place pour les PDI et les réfugiés et que les personnes déplacées et les réfugiés vulnérables, les femmes et les enfants en particulier, p</w:t>
      </w:r>
      <w:r>
        <w:rPr>
          <w:rFonts w:ascii="Times New Roman" w:hAnsi="Times New Roman"/>
          <w:noProof/>
          <w:sz w:val="24"/>
        </w:rPr>
        <w:t>uissent bénéficier de conseils juridiques et d'une protection adéquate. Il convient, en outre, de soutenir les efforts déployés par le HCR et d'autres intervenants pour s'assurer que les politiques gouvernementales se conforment à ces normes;</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 xml:space="preserve">continuer de </w:t>
      </w:r>
      <w:r>
        <w:rPr>
          <w:rFonts w:ascii="Times New Roman" w:hAnsi="Times New Roman"/>
          <w:noProof/>
          <w:sz w:val="24"/>
        </w:rPr>
        <w:t xml:space="preserve">plaider en faveur de la sécurité et de la protection des travailleurs humanitaires, ainsi que de l'inviolabilité des établissements sanitaires et scolaires. </w:t>
      </w:r>
    </w:p>
    <w:p w:rsidR="00C37BB1" w:rsidRDefault="007C505C">
      <w:pPr>
        <w:pStyle w:val="NoSpacing"/>
        <w:spacing w:after="120"/>
        <w:jc w:val="both"/>
        <w:rPr>
          <w:rFonts w:ascii="Times New Roman" w:hAnsi="Times New Roman"/>
          <w:b/>
          <w:noProof/>
          <w:sz w:val="24"/>
          <w:szCs w:val="24"/>
        </w:rPr>
      </w:pPr>
      <w:r>
        <w:rPr>
          <w:rFonts w:ascii="Times New Roman" w:hAnsi="Times New Roman"/>
          <w:b/>
          <w:noProof/>
          <w:sz w:val="24"/>
        </w:rPr>
        <w:t>Relations entre la société civile et l'armée</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renforcer la coordination et les contacts entre la so</w:t>
      </w:r>
      <w:r>
        <w:rPr>
          <w:rFonts w:ascii="Times New Roman" w:hAnsi="Times New Roman"/>
          <w:noProof/>
          <w:sz w:val="24"/>
        </w:rPr>
        <w:t>ciété civile et l'armée, une initiative placée sous l'égide des Nations unies, afin de garantir le respect du droit humanitaire international et des principes humanitaires, tout en limitant les risques encourus par les acteurs humanitaires et en améliorant</w:t>
      </w:r>
      <w:r>
        <w:rPr>
          <w:rFonts w:ascii="Times New Roman" w:hAnsi="Times New Roman"/>
          <w:noProof/>
          <w:sz w:val="24"/>
        </w:rPr>
        <w:t xml:space="preserve"> l'accès aux populations dans le besoin.</w:t>
      </w:r>
    </w:p>
    <w:p w:rsidR="00C37BB1" w:rsidRDefault="007C505C">
      <w:pPr>
        <w:pStyle w:val="NoSpacing"/>
        <w:spacing w:after="120"/>
        <w:jc w:val="both"/>
        <w:rPr>
          <w:rFonts w:ascii="Times New Roman" w:hAnsi="Times New Roman"/>
          <w:b/>
          <w:noProof/>
          <w:sz w:val="24"/>
          <w:szCs w:val="24"/>
        </w:rPr>
      </w:pPr>
      <w:r>
        <w:rPr>
          <w:rFonts w:ascii="Times New Roman" w:hAnsi="Times New Roman"/>
          <w:b/>
          <w:noProof/>
          <w:sz w:val="24"/>
        </w:rPr>
        <w:t>Approches par pays</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 xml:space="preserve">encourager les Nations unies à rechercher des modes d'action non discriminatoires, ouverts à tous et propres à chaque pays («Pour l'ensemble de la Syrie» et «Pour l'ensemble de l'Iraq»); </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continue</w:t>
      </w:r>
      <w:r>
        <w:rPr>
          <w:rFonts w:ascii="Times New Roman" w:hAnsi="Times New Roman"/>
          <w:noProof/>
          <w:sz w:val="24"/>
        </w:rPr>
        <w:t>r à plaider en faveur d'actions intégrées et prioritaires sollicitées dans les domaines humanitaire et du développement et d'une analyse conjointe des lacunes, ainsi qu'en faveur de la mise en œuvre du plan régional de résilience pour les réfugiés par l'in</w:t>
      </w:r>
      <w:r>
        <w:rPr>
          <w:rFonts w:ascii="Times New Roman" w:hAnsi="Times New Roman"/>
          <w:noProof/>
          <w:sz w:val="24"/>
        </w:rPr>
        <w:t>termédiaire de plans de réaction nationaux dans les pays voisins.</w:t>
      </w:r>
    </w:p>
    <w:p w:rsidR="00C37BB1" w:rsidRDefault="007C505C">
      <w:pPr>
        <w:pStyle w:val="NoSpacing"/>
        <w:spacing w:after="120"/>
        <w:jc w:val="both"/>
        <w:rPr>
          <w:rFonts w:ascii="Times New Roman" w:hAnsi="Times New Roman"/>
          <w:b/>
          <w:noProof/>
          <w:sz w:val="24"/>
          <w:szCs w:val="24"/>
        </w:rPr>
      </w:pPr>
      <w:r>
        <w:rPr>
          <w:rFonts w:ascii="Times New Roman" w:hAnsi="Times New Roman"/>
          <w:b/>
          <w:noProof/>
          <w:sz w:val="24"/>
        </w:rPr>
        <w:t>Capacité de réaction rapide et suivi</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renforcer un système d'alerte précoce multisectoriel à l'échelle nationale;</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 xml:space="preserve">intensifier les capacités en matière de préparation et de réaction rapide en </w:t>
      </w:r>
      <w:r>
        <w:rPr>
          <w:rFonts w:ascii="Times New Roman" w:hAnsi="Times New Roman"/>
          <w:noProof/>
          <w:sz w:val="24"/>
        </w:rPr>
        <w:t>introduisant davantage de souplesse dans les accords existant avec les partenaires, afin de mieux répondre aux besoins émergents, s'entendre sur la constitution de stocks stratégiques et envisager des contributions aux fonds actuels d'intervention pour les</w:t>
      </w:r>
      <w:r>
        <w:rPr>
          <w:rFonts w:ascii="Times New Roman" w:hAnsi="Times New Roman"/>
          <w:noProof/>
          <w:sz w:val="24"/>
        </w:rPr>
        <w:t xml:space="preserve"> urgences humanitaires. </w:t>
      </w:r>
    </w:p>
    <w:p w:rsidR="00C37BB1" w:rsidRDefault="007C505C">
      <w:pPr>
        <w:pStyle w:val="NoSpacing"/>
        <w:spacing w:after="120"/>
        <w:jc w:val="both"/>
        <w:rPr>
          <w:rFonts w:ascii="Times New Roman" w:hAnsi="Times New Roman"/>
          <w:b/>
          <w:noProof/>
          <w:sz w:val="24"/>
          <w:szCs w:val="24"/>
        </w:rPr>
      </w:pPr>
      <w:r>
        <w:rPr>
          <w:rFonts w:ascii="Times New Roman" w:hAnsi="Times New Roman"/>
          <w:b/>
          <w:noProof/>
          <w:sz w:val="24"/>
        </w:rPr>
        <w:t>Diplomatie publique et visibilité de l'aide</w:t>
      </w:r>
    </w:p>
    <w:p w:rsidR="00C37BB1" w:rsidRDefault="007C505C">
      <w:pPr>
        <w:numPr>
          <w:ilvl w:val="0"/>
          <w:numId w:val="10"/>
        </w:numPr>
        <w:spacing w:after="120"/>
        <w:jc w:val="both"/>
        <w:rPr>
          <w:rFonts w:ascii="Times New Roman" w:hAnsi="Times New Roman"/>
          <w:noProof/>
          <w:sz w:val="24"/>
          <w:szCs w:val="24"/>
        </w:rPr>
      </w:pPr>
      <w:r>
        <w:rPr>
          <w:rFonts w:ascii="Times New Roman" w:hAnsi="Times New Roman"/>
          <w:noProof/>
          <w:sz w:val="24"/>
        </w:rPr>
        <w:t>renforcer la communication sur l'aide humanitaire et au développement de l'UE, tant dans la région que dans l'UE, en se fondant au besoin sur des lignes directrices révisées en matière de</w:t>
      </w:r>
      <w:r>
        <w:rPr>
          <w:rFonts w:ascii="Times New Roman" w:hAnsi="Times New Roman"/>
          <w:noProof/>
          <w:sz w:val="24"/>
        </w:rPr>
        <w:t xml:space="preserve"> communication et de visibilité. </w:t>
      </w:r>
    </w:p>
    <w:p w:rsidR="007C505C" w:rsidRDefault="007C505C">
      <w:pPr>
        <w:pStyle w:val="NoSpacing"/>
        <w:spacing w:after="120"/>
        <w:jc w:val="both"/>
        <w:rPr>
          <w:rFonts w:ascii="Times New Roman" w:hAnsi="Times New Roman"/>
          <w:b/>
          <w:noProof/>
          <w:sz w:val="24"/>
        </w:rPr>
      </w:pPr>
    </w:p>
    <w:p w:rsidR="00C37BB1" w:rsidRDefault="007C505C">
      <w:pPr>
        <w:pStyle w:val="NoSpacing"/>
        <w:spacing w:after="120"/>
        <w:jc w:val="both"/>
        <w:rPr>
          <w:rFonts w:ascii="Times New Roman" w:hAnsi="Times New Roman"/>
          <w:b/>
          <w:noProof/>
          <w:sz w:val="24"/>
          <w:szCs w:val="24"/>
        </w:rPr>
      </w:pPr>
      <w:bookmarkStart w:id="1" w:name="_GoBack"/>
      <w:bookmarkEnd w:id="1"/>
      <w:r>
        <w:rPr>
          <w:rFonts w:ascii="Times New Roman" w:hAnsi="Times New Roman"/>
          <w:b/>
          <w:noProof/>
          <w:sz w:val="24"/>
        </w:rPr>
        <w:t>Répondre aux besoins de développement à long terme des personnes déplacées</w:t>
      </w:r>
    </w:p>
    <w:p w:rsidR="00C37BB1" w:rsidRDefault="007C505C">
      <w:pPr>
        <w:pStyle w:val="NoSpacing"/>
        <w:numPr>
          <w:ilvl w:val="0"/>
          <w:numId w:val="10"/>
        </w:numPr>
        <w:spacing w:after="120"/>
        <w:jc w:val="both"/>
        <w:rPr>
          <w:rFonts w:ascii="Times New Roman" w:hAnsi="Times New Roman"/>
          <w:noProof/>
          <w:sz w:val="24"/>
          <w:szCs w:val="24"/>
        </w:rPr>
      </w:pPr>
      <w:r>
        <w:rPr>
          <w:rFonts w:ascii="Times New Roman" w:hAnsi="Times New Roman"/>
          <w:noProof/>
          <w:sz w:val="24"/>
        </w:rPr>
        <w:t>orienter une partie de l'aide au développement de l'UE en Syrie, en Iraq et dans les pays voisins vers les besoins des personnes déplacées, notamme</w:t>
      </w:r>
      <w:r>
        <w:rPr>
          <w:rFonts w:ascii="Times New Roman" w:hAnsi="Times New Roman"/>
          <w:noProof/>
          <w:sz w:val="24"/>
        </w:rPr>
        <w:t>nt pour ce qui est de l'éducation des enfants et des actions de formation et de reconversion professionnelles des adultes, en mettant l'accent sur les emplois recherchés dans un contexte d'après-conflit. Cette formation professionnelle devrait comprendre u</w:t>
      </w:r>
      <w:r>
        <w:rPr>
          <w:rFonts w:ascii="Times New Roman" w:hAnsi="Times New Roman"/>
          <w:noProof/>
          <w:sz w:val="24"/>
        </w:rPr>
        <w:t>ne formation destinée aux femmes qui vise à stimuler leur rôle socioéconomique dans la reconstruction d'après-conflit.</w:t>
      </w:r>
    </w:p>
    <w:p w:rsidR="00C37BB1" w:rsidRDefault="007C505C">
      <w:pPr>
        <w:pStyle w:val="NoSpacing"/>
        <w:spacing w:after="120"/>
        <w:jc w:val="both"/>
        <w:rPr>
          <w:rFonts w:ascii="Times New Roman" w:hAnsi="Times New Roman"/>
          <w:b/>
          <w:noProof/>
          <w:sz w:val="24"/>
          <w:szCs w:val="24"/>
        </w:rPr>
      </w:pPr>
      <w:r>
        <w:rPr>
          <w:rFonts w:ascii="Times New Roman" w:hAnsi="Times New Roman"/>
          <w:b/>
          <w:noProof/>
          <w:sz w:val="24"/>
        </w:rPr>
        <w:t>Réinstallation et asile</w:t>
      </w:r>
    </w:p>
    <w:p w:rsidR="00C37BB1" w:rsidRDefault="007C505C">
      <w:pPr>
        <w:numPr>
          <w:ilvl w:val="0"/>
          <w:numId w:val="10"/>
        </w:numPr>
        <w:spacing w:after="120" w:line="240" w:lineRule="auto"/>
        <w:jc w:val="both"/>
        <w:rPr>
          <w:rFonts w:ascii="Times New Roman" w:hAnsi="Times New Roman"/>
          <w:iCs/>
          <w:noProof/>
          <w:sz w:val="24"/>
          <w:szCs w:val="24"/>
        </w:rPr>
      </w:pPr>
      <w:r>
        <w:rPr>
          <w:rFonts w:ascii="Times New Roman" w:hAnsi="Times New Roman"/>
          <w:noProof/>
          <w:sz w:val="24"/>
        </w:rPr>
        <w:t>continuer à soutenir les capacités à long terme des pays d'accueil à faire face aux flux de réfugiés, notamment grâce aux programmes régionaux de développement et de protection en Jordanie, au Liban et en Iraq, ainsi qu'en aidant la Turquie à fournir une a</w:t>
      </w:r>
      <w:r>
        <w:rPr>
          <w:rFonts w:ascii="Times New Roman" w:hAnsi="Times New Roman"/>
          <w:noProof/>
          <w:sz w:val="24"/>
        </w:rPr>
        <w:t xml:space="preserve">ide humanitaire aux réfugiés syriens et en la soutenant dans la mise en place et l'exploitation d'un système d'asile moderne et stable; </w:t>
      </w:r>
    </w:p>
    <w:p w:rsidR="00C37BB1" w:rsidRDefault="007C505C">
      <w:pPr>
        <w:numPr>
          <w:ilvl w:val="0"/>
          <w:numId w:val="10"/>
        </w:numPr>
        <w:spacing w:after="120" w:line="240" w:lineRule="auto"/>
        <w:jc w:val="both"/>
        <w:rPr>
          <w:rFonts w:ascii="Times New Roman" w:hAnsi="Times New Roman"/>
          <w:noProof/>
          <w:sz w:val="24"/>
          <w:szCs w:val="24"/>
        </w:rPr>
      </w:pPr>
      <w:r>
        <w:rPr>
          <w:rFonts w:ascii="Times New Roman" w:hAnsi="Times New Roman"/>
          <w:noProof/>
          <w:sz w:val="24"/>
        </w:rPr>
        <w:t>continuer à offrir aux réfugiés syriens (et iraquiens, le cas échéant) des perspectives de réinstallation dans l'UE. Le</w:t>
      </w:r>
      <w:r>
        <w:rPr>
          <w:rFonts w:ascii="Times New Roman" w:hAnsi="Times New Roman"/>
          <w:noProof/>
          <w:sz w:val="24"/>
        </w:rPr>
        <w:t xml:space="preserve"> HCR a appelé la communauté internationale à prévoir la réinstallation/l'admission pour motifs humanitaires d'au moins 130 000 Syriens, en particulier des plus vulnérables. Les États membres de l'UE ont promis quelque 36 000 places, ce qui en fait la prome</w:t>
      </w:r>
      <w:r>
        <w:rPr>
          <w:rFonts w:ascii="Times New Roman" w:hAnsi="Times New Roman"/>
          <w:noProof/>
          <w:sz w:val="24"/>
        </w:rPr>
        <w:t xml:space="preserve">sse la plus importante dans l'histoire des efforts de réinstallation déployés par l'UE. La Commission soutient les efforts de réinstallation dans le cadre du Fonds «Asile, migration et intégration». </w:t>
      </w:r>
    </w:p>
    <w:p w:rsidR="00C37BB1" w:rsidRDefault="007C505C">
      <w:pPr>
        <w:spacing w:after="120" w:line="240" w:lineRule="auto"/>
        <w:rPr>
          <w:rFonts w:ascii="Times New Roman" w:hAnsi="Times New Roman"/>
          <w:b/>
          <w:bCs/>
          <w:noProof/>
          <w:sz w:val="24"/>
          <w:szCs w:val="24"/>
        </w:rPr>
      </w:pPr>
      <w:r>
        <w:rPr>
          <w:rFonts w:ascii="Times New Roman" w:hAnsi="Times New Roman"/>
          <w:b/>
          <w:noProof/>
          <w:sz w:val="24"/>
        </w:rPr>
        <w:t>2.1.5</w:t>
      </w:r>
      <w:r>
        <w:rPr>
          <w:noProof/>
        </w:rPr>
        <w:tab/>
      </w:r>
      <w:r>
        <w:rPr>
          <w:rFonts w:ascii="Times New Roman" w:hAnsi="Times New Roman"/>
          <w:b/>
          <w:noProof/>
          <w:sz w:val="24"/>
        </w:rPr>
        <w:t>Renforcer les capacités locales de résilience en S</w:t>
      </w:r>
      <w:r>
        <w:rPr>
          <w:rFonts w:ascii="Times New Roman" w:hAnsi="Times New Roman"/>
          <w:b/>
          <w:noProof/>
          <w:sz w:val="24"/>
        </w:rPr>
        <w:t>yrie, en Iraq et dans les pays voisins touchés</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Pour couper court à tout recrutement supplémentaire par Daech, ainsi qu'à toute violence future parmi les populations déplacées et les communautés d'accueil et entre elles, il est essentiel de fournir une aide</w:t>
      </w:r>
      <w:r>
        <w:rPr>
          <w:rFonts w:ascii="Times New Roman" w:hAnsi="Times New Roman"/>
          <w:noProof/>
          <w:sz w:val="24"/>
        </w:rPr>
        <w:t xml:space="preserve"> à ces populations, de même que des perspectives d'un avenir meilleur. Les efforts humanitaires doivent tenir compte des besoins de développement à long terme des personnes touchées, afin de promouvoir la réinsertion et le développement après le conflit et</w:t>
      </w:r>
      <w:r>
        <w:rPr>
          <w:rFonts w:ascii="Times New Roman" w:hAnsi="Times New Roman"/>
          <w:noProof/>
          <w:sz w:val="24"/>
        </w:rPr>
        <w:t xml:space="preserve"> de lutter contre l'extrémisme potentiel parmi les populations réfugiées et les communautés d'accueil. Il importe de restaurer rapidement la primauté du droit, ainsi que la prestation de services de base et l'activité économique dans les zones libérées du </w:t>
      </w:r>
      <w:r>
        <w:rPr>
          <w:rFonts w:ascii="Times New Roman" w:hAnsi="Times New Roman"/>
          <w:noProof/>
          <w:sz w:val="24"/>
        </w:rPr>
        <w:t>joug de Daech, tant en Syrie qu'en Iraq, pour empêcher ce dernier d'accroître encore son pouvoir d'attraction, et créer des conditions minimums pour faire en sorte que le retour volontaire des PDI et des réfugiés s'effectue en toute sécurité et dans la dig</w:t>
      </w:r>
      <w:r>
        <w:rPr>
          <w:rFonts w:ascii="Times New Roman" w:hAnsi="Times New Roman"/>
          <w:noProof/>
          <w:sz w:val="24"/>
        </w:rPr>
        <w:t>nité.</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Ces actions devraient avoir pour but de soutenir la résilience des personnes, des communautés et des institutions face aux effets de la crise.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Parallèlement à ce soutien, un dialogue politique à haut niveau devrait être mis en place, tant collective</w:t>
      </w:r>
      <w:r>
        <w:rPr>
          <w:rFonts w:ascii="Times New Roman" w:hAnsi="Times New Roman"/>
          <w:noProof/>
          <w:sz w:val="24"/>
        </w:rPr>
        <w:t xml:space="preserve">ment que bilatéralement, avec les pays hébergeant des réfugiés syriens, afin de garantir qu'une protection et des perspectives seront offertes aux réfugiés (notamment en ce qui concerne l'accès à l'éducation, au marché du travail, etc.). </w:t>
      </w:r>
    </w:p>
    <w:p w:rsidR="00C37BB1" w:rsidRDefault="007C505C">
      <w:pPr>
        <w:spacing w:after="120" w:line="240" w:lineRule="auto"/>
        <w:rPr>
          <w:rFonts w:ascii="Times New Roman" w:hAnsi="Times New Roman"/>
          <w:b/>
          <w:bCs/>
          <w:noProof/>
          <w:sz w:val="24"/>
          <w:szCs w:val="24"/>
        </w:rPr>
      </w:pPr>
      <w:r>
        <w:rPr>
          <w:rFonts w:ascii="Times New Roman" w:hAnsi="Times New Roman"/>
          <w:b/>
          <w:noProof/>
          <w:sz w:val="24"/>
        </w:rPr>
        <w:t>Moyens d'action d</w:t>
      </w:r>
      <w:r>
        <w:rPr>
          <w:rFonts w:ascii="Times New Roman" w:hAnsi="Times New Roman"/>
          <w:b/>
          <w:noProof/>
          <w:sz w:val="24"/>
        </w:rPr>
        <w:t xml:space="preserve">e l'UE: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Apporter une aide en matière de résilience et de redressement et un soutien aux communautés locales et aux acteurs sociaux en Syrie, en Iraq et dans les pays voisins par l'intermédiaire du fonds «Hadad», de l'instrument contribuant à la stabilité </w:t>
      </w:r>
      <w:r>
        <w:rPr>
          <w:rFonts w:ascii="Times New Roman" w:hAnsi="Times New Roman"/>
          <w:noProof/>
          <w:sz w:val="24"/>
        </w:rPr>
        <w:t>et à la paix et des contributions directes des États membres, et notamment:</w:t>
      </w:r>
    </w:p>
    <w:p w:rsidR="00C37BB1" w:rsidRDefault="007C505C">
      <w:pPr>
        <w:numPr>
          <w:ilvl w:val="0"/>
          <w:numId w:val="10"/>
        </w:numPr>
        <w:spacing w:after="120" w:line="240" w:lineRule="auto"/>
        <w:jc w:val="both"/>
        <w:rPr>
          <w:rFonts w:ascii="Times New Roman" w:hAnsi="Times New Roman"/>
          <w:bCs/>
          <w:noProof/>
          <w:sz w:val="24"/>
          <w:szCs w:val="24"/>
        </w:rPr>
      </w:pPr>
      <w:r>
        <w:rPr>
          <w:rFonts w:ascii="Times New Roman" w:hAnsi="Times New Roman"/>
          <w:noProof/>
          <w:sz w:val="24"/>
        </w:rPr>
        <w:t xml:space="preserve">s'appuyer sur les cadres communs qui existent en matière d'aide humanitaire et de développement sur le terrain et élaborer une programmation conjointe en Syrie, en Iraq, en </w:t>
      </w:r>
      <w:r>
        <w:rPr>
          <w:rFonts w:ascii="Times New Roman" w:hAnsi="Times New Roman"/>
          <w:noProof/>
          <w:sz w:val="24"/>
        </w:rPr>
        <w:t>Jordanie, au Liban et en Turquie;</w:t>
      </w:r>
    </w:p>
    <w:p w:rsidR="00C37BB1" w:rsidRDefault="007C505C">
      <w:pPr>
        <w:numPr>
          <w:ilvl w:val="0"/>
          <w:numId w:val="10"/>
        </w:numPr>
        <w:spacing w:after="120" w:line="240" w:lineRule="auto"/>
        <w:jc w:val="both"/>
        <w:rPr>
          <w:rFonts w:ascii="Times New Roman" w:hAnsi="Times New Roman"/>
          <w:bCs/>
          <w:noProof/>
          <w:sz w:val="24"/>
          <w:szCs w:val="24"/>
        </w:rPr>
      </w:pPr>
      <w:r>
        <w:rPr>
          <w:rFonts w:ascii="Times New Roman" w:hAnsi="Times New Roman"/>
          <w:noProof/>
          <w:sz w:val="24"/>
        </w:rPr>
        <w:t>utiliser le fonds «Hadad» pour l'aide à la stabilisation et à la résilience en faveur des réfugiés et des communautés d'accueil en Iraq, au Liban, en Jordanie, en Turquie et en Égypte. Cette aide doit être apportée dans le</w:t>
      </w:r>
      <w:r>
        <w:rPr>
          <w:rFonts w:ascii="Times New Roman" w:hAnsi="Times New Roman"/>
          <w:noProof/>
          <w:sz w:val="24"/>
        </w:rPr>
        <w:t xml:space="preserve"> cadre d'une approche globale, en assurant la coordination avec les mécanismes de financement existants et en tenant compte des plans en cours des gouvernements nationaux, ainsi que de l'approche suivie par les Nations unies dans le plan régional pour les </w:t>
      </w:r>
      <w:r>
        <w:rPr>
          <w:rFonts w:ascii="Times New Roman" w:hAnsi="Times New Roman"/>
          <w:noProof/>
          <w:sz w:val="24"/>
        </w:rPr>
        <w:t xml:space="preserve">réfugiés et la résilience; </w:t>
      </w:r>
    </w:p>
    <w:p w:rsidR="00C37BB1" w:rsidRDefault="007C505C">
      <w:pPr>
        <w:numPr>
          <w:ilvl w:val="0"/>
          <w:numId w:val="10"/>
        </w:numPr>
        <w:spacing w:after="120" w:line="240" w:lineRule="auto"/>
        <w:jc w:val="both"/>
        <w:rPr>
          <w:rFonts w:ascii="Times New Roman" w:hAnsi="Times New Roman"/>
          <w:noProof/>
          <w:sz w:val="24"/>
          <w:szCs w:val="24"/>
        </w:rPr>
      </w:pPr>
      <w:r>
        <w:rPr>
          <w:rFonts w:ascii="Times New Roman" w:hAnsi="Times New Roman"/>
          <w:noProof/>
          <w:sz w:val="24"/>
        </w:rPr>
        <w:t>aider les gouvernements de la région à mener des politiques de nature à renforcer la résilience économique parmi les réfugiés et les communautés d'accueil, promouvoir les perspectives pour les jeunes et respecter l'égalité homme</w:t>
      </w:r>
      <w:r>
        <w:rPr>
          <w:rFonts w:ascii="Times New Roman" w:hAnsi="Times New Roman"/>
          <w:noProof/>
          <w:sz w:val="24"/>
        </w:rPr>
        <w:t>s-femmes;</w:t>
      </w:r>
    </w:p>
    <w:p w:rsidR="00C37BB1" w:rsidRDefault="007C505C">
      <w:pPr>
        <w:pStyle w:val="ListParagraph"/>
        <w:numPr>
          <w:ilvl w:val="0"/>
          <w:numId w:val="10"/>
        </w:numPr>
        <w:spacing w:after="120"/>
        <w:contextualSpacing w:val="0"/>
        <w:jc w:val="both"/>
        <w:rPr>
          <w:rFonts w:ascii="Times New Roman" w:hAnsi="Times New Roman"/>
          <w:noProof/>
          <w:sz w:val="24"/>
          <w:szCs w:val="24"/>
        </w:rPr>
      </w:pPr>
      <w:r>
        <w:rPr>
          <w:rFonts w:ascii="Times New Roman" w:hAnsi="Times New Roman"/>
          <w:noProof/>
          <w:sz w:val="24"/>
        </w:rPr>
        <w:t>mettre en œuvre le programme d'aide supplémentaire à la Turquie annoncé au lendemain de la crise de Kouban, qui vise à soutenir les efforts des autorités turques pour garantir hospitalité et assistance à long terme aux réfugiés syriens réfugiés e</w:t>
      </w:r>
      <w:r>
        <w:rPr>
          <w:rFonts w:ascii="Times New Roman" w:hAnsi="Times New Roman"/>
          <w:noProof/>
          <w:sz w:val="24"/>
        </w:rPr>
        <w:t xml:space="preserve">n Turquie. </w:t>
      </w:r>
    </w:p>
    <w:p w:rsidR="00C37BB1" w:rsidRDefault="007C505C">
      <w:pPr>
        <w:pStyle w:val="ListParagraph"/>
        <w:spacing w:after="120"/>
        <w:ind w:left="0"/>
        <w:contextualSpacing w:val="0"/>
        <w:jc w:val="both"/>
        <w:rPr>
          <w:rFonts w:ascii="Times New Roman" w:hAnsi="Times New Roman"/>
          <w:noProof/>
          <w:sz w:val="24"/>
          <w:szCs w:val="24"/>
        </w:rPr>
      </w:pPr>
      <w:r>
        <w:rPr>
          <w:rFonts w:ascii="Times New Roman" w:hAnsi="Times New Roman"/>
          <w:noProof/>
          <w:sz w:val="24"/>
        </w:rPr>
        <w:t>Plus généralement, il conviendrait d'envisager d'associer les organisations de la diaspora en Europe afin de renforcer l'influence de l'UE et de rendre ses actions plus efficaces.</w:t>
      </w:r>
    </w:p>
    <w:p w:rsidR="00C37BB1" w:rsidRDefault="007C505C">
      <w:pPr>
        <w:pStyle w:val="ListParagraph"/>
        <w:spacing w:after="120"/>
        <w:ind w:left="0"/>
        <w:contextualSpacing w:val="0"/>
        <w:jc w:val="both"/>
        <w:rPr>
          <w:rFonts w:ascii="Times New Roman" w:hAnsi="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OBJECTIFS PAR PAYS - SYRIE</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2.2.1</w:t>
      </w:r>
      <w:r>
        <w:rPr>
          <w:noProof/>
        </w:rPr>
        <w:tab/>
      </w:r>
      <w:r>
        <w:rPr>
          <w:rFonts w:ascii="Times New Roman" w:hAnsi="Times New Roman"/>
          <w:b/>
          <w:noProof/>
          <w:sz w:val="24"/>
        </w:rPr>
        <w:t>Œuvrer à une transition po</w:t>
      </w:r>
      <w:r>
        <w:rPr>
          <w:rFonts w:ascii="Times New Roman" w:hAnsi="Times New Roman"/>
          <w:b/>
          <w:noProof/>
          <w:sz w:val="24"/>
        </w:rPr>
        <w:t xml:space="preserve">litique </w:t>
      </w:r>
    </w:p>
    <w:p w:rsidR="00C37BB1" w:rsidRDefault="007C505C">
      <w:pPr>
        <w:spacing w:after="120" w:line="240" w:lineRule="auto"/>
        <w:jc w:val="both"/>
        <w:rPr>
          <w:rFonts w:ascii="Times New Roman" w:hAnsi="Times New Roman"/>
          <w:noProof/>
          <w:sz w:val="24"/>
          <w:szCs w:val="24"/>
          <w:u w:val="single"/>
        </w:rPr>
      </w:pPr>
      <w:r>
        <w:rPr>
          <w:rFonts w:ascii="Times New Roman" w:hAnsi="Times New Roman"/>
          <w:noProof/>
          <w:sz w:val="24"/>
        </w:rPr>
        <w:t>Conformément aux objectifs et aux actions définis dans la communication conjointe intitulée «V</w:t>
      </w:r>
      <w:r>
        <w:rPr>
          <w:rFonts w:ascii="Times New Roman" w:hAnsi="Times New Roman"/>
          <w:i/>
          <w:noProof/>
          <w:sz w:val="24"/>
        </w:rPr>
        <w:t>ers une approche globale de l'UE face à la crise syrienne</w:t>
      </w:r>
      <w:r>
        <w:rPr>
          <w:rFonts w:ascii="Times New Roman" w:hAnsi="Times New Roman"/>
          <w:noProof/>
          <w:sz w:val="24"/>
        </w:rPr>
        <w:t>», l'UE continuera d'examiner toutes les possibilités de reprise du processus politique, en conc</w:t>
      </w:r>
      <w:r>
        <w:rPr>
          <w:rFonts w:ascii="Times New Roman" w:hAnsi="Times New Roman"/>
          <w:noProof/>
          <w:sz w:val="24"/>
        </w:rPr>
        <w:t xml:space="preserve">ertation avec les partenaires régionaux et internationaux, en vue de l'avènement d'une transition sous impulsion syrienne. En particulier, l'UE devrait: </w:t>
      </w:r>
    </w:p>
    <w:p w:rsidR="00C37BB1" w:rsidRDefault="007C505C">
      <w:pPr>
        <w:numPr>
          <w:ilvl w:val="0"/>
          <w:numId w:val="12"/>
        </w:numPr>
        <w:spacing w:after="120" w:line="240" w:lineRule="auto"/>
        <w:jc w:val="both"/>
        <w:rPr>
          <w:rFonts w:ascii="Times New Roman" w:hAnsi="Times New Roman"/>
          <w:noProof/>
          <w:sz w:val="24"/>
          <w:szCs w:val="24"/>
        </w:rPr>
      </w:pPr>
      <w:r>
        <w:rPr>
          <w:rFonts w:ascii="Times New Roman" w:hAnsi="Times New Roman"/>
          <w:noProof/>
          <w:sz w:val="24"/>
        </w:rPr>
        <w:t>soutenir pleinement les efforts déployés par Staffan de Mistura, envoyé spécial des Nations unies en S</w:t>
      </w:r>
      <w:r>
        <w:rPr>
          <w:rFonts w:ascii="Times New Roman" w:hAnsi="Times New Roman"/>
          <w:noProof/>
          <w:sz w:val="24"/>
        </w:rPr>
        <w:t>yrie, pour parvenir à une désescalade stratégique de la violence devant servir de base à un processus politique durable de plus grande ampleur; appuyer concrètement ses propositions, notamment celle visant à tirer parti de gels localisés des hostilités con</w:t>
      </w:r>
      <w:r>
        <w:rPr>
          <w:rFonts w:ascii="Times New Roman" w:hAnsi="Times New Roman"/>
          <w:noProof/>
          <w:sz w:val="24"/>
        </w:rPr>
        <w:t>formément au droit humanitaire international; dans le cadre de cette approche, l'action humanitaire et l'action en faveur de la résilience, fondées sur des principes, devraient être distinctes des négociations politiques et sécuritaires;</w:t>
      </w:r>
    </w:p>
    <w:p w:rsidR="00C37BB1" w:rsidRDefault="007C505C">
      <w:pPr>
        <w:numPr>
          <w:ilvl w:val="0"/>
          <w:numId w:val="12"/>
        </w:numPr>
        <w:spacing w:after="120" w:line="240" w:lineRule="auto"/>
        <w:jc w:val="both"/>
        <w:rPr>
          <w:rFonts w:ascii="Times New Roman" w:hAnsi="Times New Roman"/>
          <w:noProof/>
          <w:sz w:val="24"/>
          <w:szCs w:val="24"/>
        </w:rPr>
      </w:pPr>
      <w:r>
        <w:rPr>
          <w:rFonts w:ascii="Times New Roman" w:hAnsi="Times New Roman"/>
          <w:noProof/>
          <w:sz w:val="24"/>
        </w:rPr>
        <w:t>soutenir les effor</w:t>
      </w:r>
      <w:r>
        <w:rPr>
          <w:rFonts w:ascii="Times New Roman" w:hAnsi="Times New Roman"/>
          <w:noProof/>
          <w:sz w:val="24"/>
        </w:rPr>
        <w:t>ts de médiation et de dialogue aux niveaux local et international, dont les initiatives visant à promouvoir les accords au niveau local et d'autres initiatives locales de consolidation de la paix, dont pourraient faire partie des initiatives de coopération</w:t>
      </w:r>
      <w:r>
        <w:rPr>
          <w:rFonts w:ascii="Times New Roman" w:hAnsi="Times New Roman"/>
          <w:noProof/>
          <w:sz w:val="24"/>
        </w:rPr>
        <w:t xml:space="preserve"> de part et d'autre de la ligne de front, en tenant dûment compte de la participation des femmes;</w:t>
      </w:r>
    </w:p>
    <w:p w:rsidR="00C37BB1" w:rsidRDefault="007C505C">
      <w:pPr>
        <w:numPr>
          <w:ilvl w:val="0"/>
          <w:numId w:val="12"/>
        </w:numPr>
        <w:spacing w:after="120" w:line="240" w:lineRule="auto"/>
        <w:jc w:val="both"/>
        <w:rPr>
          <w:rFonts w:ascii="Times New Roman" w:hAnsi="Times New Roman"/>
          <w:noProof/>
          <w:sz w:val="24"/>
          <w:szCs w:val="24"/>
        </w:rPr>
      </w:pPr>
      <w:r>
        <w:rPr>
          <w:rFonts w:ascii="Times New Roman" w:hAnsi="Times New Roman"/>
          <w:noProof/>
          <w:sz w:val="24"/>
        </w:rPr>
        <w:t xml:space="preserve">rechercher un consensus international, au niveau du Conseil de sécurité des Nations unies, un consensus régional (nous avons notamment en commun une </w:t>
      </w:r>
      <w:r>
        <w:rPr>
          <w:rFonts w:ascii="Times New Roman" w:hAnsi="Times New Roman"/>
          <w:noProof/>
          <w:sz w:val="24"/>
        </w:rPr>
        <w:t>détermination à protéger l'unité, l'intégrité territoriale et la souveraineté de la Syrie et à lutter contre le terrorisme) et un soutien régional en faveur d'un processus politique de transition, conduit par la Syrie, conformément aux résolutions du Conse</w:t>
      </w:r>
      <w:r>
        <w:rPr>
          <w:rFonts w:ascii="Times New Roman" w:hAnsi="Times New Roman"/>
          <w:noProof/>
          <w:sz w:val="24"/>
        </w:rPr>
        <w:t>il de sécurité des Nations unies et du communiqué de Genève du 30 juin 2012;</w:t>
      </w:r>
    </w:p>
    <w:p w:rsidR="00C37BB1" w:rsidRDefault="007C505C">
      <w:pPr>
        <w:numPr>
          <w:ilvl w:val="0"/>
          <w:numId w:val="12"/>
        </w:numPr>
        <w:spacing w:after="120" w:line="240" w:lineRule="auto"/>
        <w:jc w:val="both"/>
        <w:outlineLvl w:val="0"/>
        <w:rPr>
          <w:rFonts w:ascii="Times New Roman" w:hAnsi="Times New Roman"/>
          <w:b/>
          <w:i/>
          <w:noProof/>
          <w:sz w:val="24"/>
          <w:szCs w:val="24"/>
        </w:rPr>
      </w:pPr>
      <w:r>
        <w:rPr>
          <w:rFonts w:ascii="Times New Roman" w:hAnsi="Times New Roman"/>
          <w:noProof/>
          <w:sz w:val="24"/>
        </w:rPr>
        <w:t>encourager, dans cet esprit, la constitution d'un groupe de soutien au Secrétaire général des Nations unies ou à l'envoyé spécial des Nations unies en Syrie dans les efforts qu'il</w:t>
      </w:r>
      <w:r>
        <w:rPr>
          <w:rFonts w:ascii="Times New Roman" w:hAnsi="Times New Roman"/>
          <w:noProof/>
          <w:sz w:val="24"/>
        </w:rPr>
        <w:t xml:space="preserve">s consentent en vue de forger un consensus plus large en faveur d'un processus politique national. </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Moyens d'action de l'UE</w:t>
      </w:r>
      <w:r>
        <w:rPr>
          <w:rFonts w:ascii="Times New Roman" w:hAnsi="Times New Roman"/>
          <w:i/>
          <w:noProof/>
          <w:sz w:val="24"/>
        </w:rPr>
        <w:t xml:space="preserve">: </w:t>
      </w:r>
      <w:r>
        <w:rPr>
          <w:rFonts w:ascii="Times New Roman" w:hAnsi="Times New Roman"/>
          <w:noProof/>
          <w:sz w:val="24"/>
        </w:rPr>
        <w:t>démarches politiques et diplomatiques auprès des pays de la région et des partenaires internationaux visant à désamorcer les tensio</w:t>
      </w:r>
      <w:r>
        <w:rPr>
          <w:rFonts w:ascii="Times New Roman" w:hAnsi="Times New Roman"/>
          <w:noProof/>
          <w:sz w:val="24"/>
        </w:rPr>
        <w:t>ns régionales, d'une part, et la guerre entre le régime Assad et l'opposition armée, d'autre part, tout en encourageant une transition reposant sur une large assise en Syrie, fondée sur le communiqué de Genève. Accentuer les pressions à l'encontre du régim</w:t>
      </w:r>
      <w:r>
        <w:rPr>
          <w:rFonts w:ascii="Times New Roman" w:hAnsi="Times New Roman"/>
          <w:noProof/>
          <w:sz w:val="24"/>
        </w:rPr>
        <w:t>e du président Assad, au moyen notamment de nouvelles sanctions ciblées et d'autres mesures restrictives appropriées ayant une incidence limitée sur la population civile. Mettre en œuvre des sanctions vigoureuses de l'UE à l'égard du pétrole syrien et fair</w:t>
      </w:r>
      <w:r>
        <w:rPr>
          <w:rFonts w:ascii="Times New Roman" w:hAnsi="Times New Roman"/>
          <w:noProof/>
          <w:sz w:val="24"/>
        </w:rPr>
        <w:t xml:space="preserve">e pression sur les pays tiers pour qu'ils en fassent autant. Renforcer le dialogue avec les partenaires, en particulier dans la région. </w:t>
      </w:r>
    </w:p>
    <w:p w:rsidR="00C37BB1" w:rsidRDefault="007C505C">
      <w:pPr>
        <w:spacing w:after="120" w:line="240" w:lineRule="auto"/>
        <w:jc w:val="both"/>
        <w:rPr>
          <w:rFonts w:ascii="Times New Roman" w:hAnsi="Times New Roman"/>
          <w:iCs/>
          <w:noProof/>
          <w:sz w:val="24"/>
          <w:szCs w:val="24"/>
        </w:rPr>
      </w:pPr>
      <w:r>
        <w:rPr>
          <w:rFonts w:ascii="Times New Roman" w:hAnsi="Times New Roman"/>
          <w:noProof/>
          <w:sz w:val="24"/>
        </w:rPr>
        <w:t>Renforcer le personnel politique de la délégation de l'UE pour la Syrie (qui restera dans les locaux de la délégation d</w:t>
      </w:r>
      <w:r>
        <w:rPr>
          <w:rFonts w:ascii="Times New Roman" w:hAnsi="Times New Roman"/>
          <w:noProof/>
          <w:sz w:val="24"/>
        </w:rPr>
        <w:t>e l'UE à Beyrouth). Tant que les conditions pour la réouverture de la délégation de l'UE à Damas ne seront pas remplies, des déplacements réguliers vers la Syrie continueront d'avoir lieu.</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2.2.2</w:t>
      </w:r>
      <w:r>
        <w:rPr>
          <w:noProof/>
        </w:rPr>
        <w:tab/>
      </w:r>
      <w:r>
        <w:rPr>
          <w:rFonts w:ascii="Times New Roman" w:hAnsi="Times New Roman"/>
          <w:b/>
          <w:noProof/>
          <w:sz w:val="24"/>
        </w:rPr>
        <w:t>Renforcer l'opposition modérée et les acteurs de la société c</w:t>
      </w:r>
      <w:r>
        <w:rPr>
          <w:rFonts w:ascii="Times New Roman" w:hAnsi="Times New Roman"/>
          <w:b/>
          <w:noProof/>
          <w:sz w:val="24"/>
        </w:rPr>
        <w:t>ivile</w:t>
      </w:r>
    </w:p>
    <w:p w:rsidR="00C37BB1" w:rsidRDefault="007C505C">
      <w:pPr>
        <w:numPr>
          <w:ilvl w:val="0"/>
          <w:numId w:val="13"/>
        </w:numPr>
        <w:spacing w:after="120" w:line="240" w:lineRule="auto"/>
        <w:jc w:val="both"/>
        <w:rPr>
          <w:rFonts w:ascii="Times New Roman" w:hAnsi="Times New Roman"/>
          <w:noProof/>
          <w:sz w:val="24"/>
          <w:szCs w:val="24"/>
        </w:rPr>
      </w:pPr>
      <w:r>
        <w:rPr>
          <w:rFonts w:ascii="Times New Roman" w:hAnsi="Times New Roman"/>
          <w:noProof/>
          <w:sz w:val="24"/>
        </w:rPr>
        <w:t xml:space="preserve">Continuer d'apporter un soutien à l'opposition modérée, notamment à la Coalition nationale des forces de la révolution et de l'opposition syriennes, mais sans exclure les autres forces nationales constructives, qu'elles relèvent de la société civile </w:t>
      </w:r>
      <w:r>
        <w:rPr>
          <w:rFonts w:ascii="Times New Roman" w:hAnsi="Times New Roman"/>
          <w:noProof/>
          <w:sz w:val="24"/>
        </w:rPr>
        <w:t>ou de la sphère politique, dans l'optique de favoriser son ouverture (à l'égard des minorités religieuses et ethniques) et son efficacité et de promouvoir l'égalité des chances. Il ne saurait y avoir de paix durable en Syrie si on ne répond pas aux revendi</w:t>
      </w:r>
      <w:r>
        <w:rPr>
          <w:rFonts w:ascii="Times New Roman" w:hAnsi="Times New Roman"/>
          <w:noProof/>
          <w:sz w:val="24"/>
        </w:rPr>
        <w:t>cations propres aux différents groupes ethniques et religieux et si le caractère pluriethnique et multiconfessionnel du pays n'est pas préservé;</w:t>
      </w:r>
    </w:p>
    <w:p w:rsidR="00C37BB1" w:rsidRDefault="007C505C">
      <w:pPr>
        <w:numPr>
          <w:ilvl w:val="0"/>
          <w:numId w:val="13"/>
        </w:numPr>
        <w:spacing w:after="120" w:line="240" w:lineRule="auto"/>
        <w:jc w:val="both"/>
        <w:rPr>
          <w:rFonts w:ascii="Times New Roman" w:hAnsi="Times New Roman"/>
          <w:noProof/>
          <w:sz w:val="24"/>
          <w:szCs w:val="24"/>
        </w:rPr>
      </w:pPr>
      <w:r>
        <w:rPr>
          <w:rFonts w:ascii="Times New Roman" w:hAnsi="Times New Roman"/>
          <w:noProof/>
          <w:sz w:val="24"/>
        </w:rPr>
        <w:t>continuer d'explorer et d'appuyer, le cas échéant, les initiatives informelles («track 2» et «track 3») suscept</w:t>
      </w:r>
      <w:r>
        <w:rPr>
          <w:rFonts w:ascii="Times New Roman" w:hAnsi="Times New Roman"/>
          <w:noProof/>
          <w:sz w:val="24"/>
        </w:rPr>
        <w:t>ibles d'aider à façonner un modèle de transition basé sur l'intégration d'opposants crédibles dans un nouveau gouvernement de transition, ainsi qu'un processus de stabilisation aux niveaux local et national. La participation des femmes à ces initiatives de</w:t>
      </w:r>
      <w:r>
        <w:rPr>
          <w:rFonts w:ascii="Times New Roman" w:hAnsi="Times New Roman"/>
          <w:noProof/>
          <w:sz w:val="24"/>
        </w:rPr>
        <w:t xml:space="preserve">vra faire l'objet d'une attention particulière; </w:t>
      </w:r>
    </w:p>
    <w:p w:rsidR="00C37BB1" w:rsidRDefault="007C505C">
      <w:pPr>
        <w:numPr>
          <w:ilvl w:val="0"/>
          <w:numId w:val="13"/>
        </w:numPr>
        <w:spacing w:after="120" w:line="240" w:lineRule="auto"/>
        <w:jc w:val="both"/>
        <w:rPr>
          <w:rFonts w:ascii="Times New Roman" w:hAnsi="Times New Roman"/>
          <w:noProof/>
          <w:sz w:val="24"/>
          <w:szCs w:val="24"/>
        </w:rPr>
      </w:pPr>
      <w:r>
        <w:rPr>
          <w:rFonts w:ascii="Times New Roman" w:hAnsi="Times New Roman"/>
          <w:noProof/>
          <w:sz w:val="24"/>
        </w:rPr>
        <w:t>continuer de soutenir le renforcement des capacités des organisations de la société civile syriennes.</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Moyens d'action de l'UE</w:t>
      </w:r>
      <w:r>
        <w:rPr>
          <w:rFonts w:ascii="Times New Roman" w:hAnsi="Times New Roman"/>
          <w:i/>
          <w:noProof/>
          <w:sz w:val="24"/>
        </w:rPr>
        <w:t xml:space="preserve">: </w:t>
      </w:r>
      <w:r>
        <w:rPr>
          <w:rFonts w:ascii="Times New Roman" w:hAnsi="Times New Roman"/>
          <w:noProof/>
          <w:sz w:val="24"/>
        </w:rPr>
        <w:t>soutien continu aux efforts de consolidation de la paix et aux efforts de médiat</w:t>
      </w:r>
      <w:r>
        <w:rPr>
          <w:rFonts w:ascii="Times New Roman" w:hAnsi="Times New Roman"/>
          <w:noProof/>
          <w:sz w:val="24"/>
        </w:rPr>
        <w:t xml:space="preserve">ion, en particulier au renforcement des capacités des acteurs de la société civile interne et aux actions destinées à renforcer la résilience, au titre de l'IEV et de l'instrument contribuant à la stabilité et à la paix. </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2.2.3</w:t>
      </w:r>
      <w:r>
        <w:rPr>
          <w:noProof/>
        </w:rPr>
        <w:tab/>
      </w:r>
      <w:r>
        <w:rPr>
          <w:rFonts w:ascii="Times New Roman" w:hAnsi="Times New Roman"/>
          <w:b/>
          <w:noProof/>
          <w:sz w:val="24"/>
        </w:rPr>
        <w:t>Fournir des services de base</w:t>
      </w:r>
      <w:r>
        <w:rPr>
          <w:rFonts w:ascii="Times New Roman" w:hAnsi="Times New Roman"/>
          <w:b/>
          <w:noProof/>
          <w:sz w:val="24"/>
        </w:rPr>
        <w:t xml:space="preserve"> et contribuer au rétablissement d'une administration dans les zones où la violence a diminué</w:t>
      </w:r>
    </w:p>
    <w:p w:rsidR="00C37BB1" w:rsidRDefault="007C505C">
      <w:pPr>
        <w:numPr>
          <w:ilvl w:val="0"/>
          <w:numId w:val="16"/>
        </w:numPr>
        <w:spacing w:after="120" w:line="240" w:lineRule="auto"/>
        <w:jc w:val="both"/>
        <w:rPr>
          <w:rFonts w:ascii="Times New Roman" w:hAnsi="Times New Roman"/>
          <w:noProof/>
          <w:sz w:val="24"/>
          <w:szCs w:val="24"/>
        </w:rPr>
      </w:pPr>
      <w:r>
        <w:rPr>
          <w:rFonts w:ascii="Times New Roman" w:hAnsi="Times New Roman"/>
          <w:noProof/>
          <w:sz w:val="24"/>
        </w:rPr>
        <w:t>Renforcer la fourniture d'aide non humanitaire à la Syrie impliquant le franchissement des frontières et des lignes de conflit;</w:t>
      </w:r>
    </w:p>
    <w:p w:rsidR="00C37BB1" w:rsidRDefault="007C505C">
      <w:pPr>
        <w:numPr>
          <w:ilvl w:val="0"/>
          <w:numId w:val="16"/>
        </w:numPr>
        <w:spacing w:after="120" w:line="240" w:lineRule="auto"/>
        <w:jc w:val="both"/>
        <w:rPr>
          <w:rFonts w:ascii="Times New Roman" w:hAnsi="Times New Roman"/>
          <w:noProof/>
          <w:sz w:val="24"/>
          <w:szCs w:val="24"/>
        </w:rPr>
      </w:pPr>
      <w:r>
        <w:rPr>
          <w:rFonts w:ascii="Times New Roman" w:hAnsi="Times New Roman"/>
          <w:noProof/>
          <w:sz w:val="24"/>
        </w:rPr>
        <w:t xml:space="preserve">aider l'opposition modérée et les </w:t>
      </w:r>
      <w:r>
        <w:rPr>
          <w:rFonts w:ascii="Times New Roman" w:hAnsi="Times New Roman"/>
          <w:noProof/>
          <w:sz w:val="24"/>
        </w:rPr>
        <w:t>entités de la société civile à rétablir une administration et des services publics (notamment en matière de protection civile, de santé et d'éducation), ainsi qu'une activité économique générale dans les zones où la violence a diminué, dans les zones précé</w:t>
      </w:r>
      <w:r>
        <w:rPr>
          <w:rFonts w:ascii="Times New Roman" w:hAnsi="Times New Roman"/>
          <w:noProof/>
          <w:sz w:val="24"/>
        </w:rPr>
        <w:t xml:space="preserve">demment occupées par Daech et dans les régions du nord de la Syrie essentiellement peuplées de Kurdes syriens; </w:t>
      </w:r>
    </w:p>
    <w:p w:rsidR="00C37BB1" w:rsidRDefault="007C505C">
      <w:pPr>
        <w:numPr>
          <w:ilvl w:val="0"/>
          <w:numId w:val="16"/>
        </w:numPr>
        <w:spacing w:after="120" w:line="240" w:lineRule="auto"/>
        <w:jc w:val="both"/>
        <w:rPr>
          <w:rFonts w:ascii="Times New Roman" w:hAnsi="Times New Roman"/>
          <w:noProof/>
          <w:sz w:val="24"/>
          <w:szCs w:val="24"/>
        </w:rPr>
      </w:pPr>
      <w:r>
        <w:rPr>
          <w:rFonts w:ascii="Times New Roman" w:hAnsi="Times New Roman"/>
          <w:noProof/>
          <w:sz w:val="24"/>
        </w:rPr>
        <w:t>soutenir la prestation de services de base dans des domaines essentiels, en se fondant sur les principes de l'ouverture à tous, de la bonne gouv</w:t>
      </w:r>
      <w:r>
        <w:rPr>
          <w:rFonts w:ascii="Times New Roman" w:hAnsi="Times New Roman"/>
          <w:noProof/>
          <w:sz w:val="24"/>
        </w:rPr>
        <w:t>ernance et de la consultation des communautés, tout en appuyant les activités destinées à renforcer la résilience, notamment la gestion durable et la protection des ressources naturelles.</w:t>
      </w:r>
    </w:p>
    <w:p w:rsidR="00C37BB1" w:rsidRDefault="007C505C">
      <w:pPr>
        <w:spacing w:after="120" w:line="240" w:lineRule="auto"/>
        <w:jc w:val="both"/>
        <w:rPr>
          <w:rFonts w:ascii="Times New Roman" w:hAnsi="Times New Roman"/>
          <w:i/>
          <w:noProof/>
          <w:sz w:val="24"/>
          <w:szCs w:val="24"/>
        </w:rPr>
      </w:pPr>
      <w:r>
        <w:rPr>
          <w:rFonts w:ascii="Times New Roman" w:hAnsi="Times New Roman"/>
          <w:b/>
          <w:i/>
          <w:noProof/>
          <w:sz w:val="24"/>
        </w:rPr>
        <w:t>Moyens d'action de l'UE</w:t>
      </w:r>
      <w:r>
        <w:rPr>
          <w:rFonts w:ascii="Times New Roman" w:hAnsi="Times New Roman"/>
          <w:i/>
          <w:noProof/>
          <w:sz w:val="24"/>
        </w:rPr>
        <w:t xml:space="preserv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Renforcement de l'aide en matière de résil</w:t>
      </w:r>
      <w:r>
        <w:rPr>
          <w:rFonts w:ascii="Times New Roman" w:hAnsi="Times New Roman"/>
          <w:noProof/>
          <w:sz w:val="24"/>
        </w:rPr>
        <w:t>ience et de redressement, sous la forme notamment d'activités ciblées, financées par l'UE ou par un État membre, soutenant communautés locales et acteurs sociaux locaux (y compris les opérations gérées depuis Gaziantep avec la participation de plusieurs Ét</w:t>
      </w:r>
      <w:r>
        <w:rPr>
          <w:rFonts w:ascii="Times New Roman" w:hAnsi="Times New Roman"/>
          <w:noProof/>
          <w:sz w:val="24"/>
        </w:rPr>
        <w:t>ats membres), avec l'appui du fonds «Hadad», de l'instrument contribuant à la stabilité et à la paix ou de l'IEV.</w:t>
      </w:r>
    </w:p>
    <w:p w:rsidR="00C37BB1" w:rsidRDefault="007C505C">
      <w:pPr>
        <w:pStyle w:val="ListParagraph"/>
        <w:spacing w:after="120"/>
        <w:ind w:left="0"/>
        <w:jc w:val="both"/>
        <w:rPr>
          <w:rFonts w:ascii="Times New Roman" w:hAnsi="Times New Roman"/>
          <w:noProof/>
          <w:sz w:val="24"/>
          <w:szCs w:val="24"/>
        </w:rPr>
      </w:pPr>
      <w:r>
        <w:rPr>
          <w:rFonts w:ascii="Times New Roman" w:hAnsi="Times New Roman"/>
          <w:noProof/>
          <w:sz w:val="24"/>
        </w:rPr>
        <w:t>À court terme, des projets de l'UE en faveur de la société civile financés par l'IEV (17 000 000 EUR) et par l'instrument contribuant à la sta</w:t>
      </w:r>
      <w:r>
        <w:rPr>
          <w:rFonts w:ascii="Times New Roman" w:hAnsi="Times New Roman"/>
          <w:noProof/>
          <w:sz w:val="24"/>
        </w:rPr>
        <w:t>bilité et à la paix (12 000 000 EUR) contribueront au renforcement des capacités d'organisations de la société civile syriennes, à la prestation de services de base, à l'adoption de mesures en faveur de l'État de droit, ainsi qu'à la mise en place d'un env</w:t>
      </w:r>
      <w:r>
        <w:rPr>
          <w:rFonts w:ascii="Times New Roman" w:hAnsi="Times New Roman"/>
          <w:noProof/>
          <w:sz w:val="24"/>
        </w:rPr>
        <w:t>ironnement politique ouvert et participatif à l'échelon local. Des programmes ciblés en faveur des minorités pourraient aussi être envisagés, afin de garantir la sécurité de l'ensemble des communautés ethniques et religieuses, d'assurer une transition sans</w:t>
      </w:r>
      <w:r>
        <w:rPr>
          <w:rFonts w:ascii="Times New Roman" w:hAnsi="Times New Roman"/>
          <w:noProof/>
          <w:sz w:val="24"/>
        </w:rPr>
        <w:t xml:space="preserve"> exclusive, de satisfaire des besoins spécifiques et de soutenir la réintégration de ces communautés dans la société. </w:t>
      </w:r>
    </w:p>
    <w:p w:rsidR="00C37BB1" w:rsidRDefault="007C505C">
      <w:pPr>
        <w:spacing w:after="120" w:line="240" w:lineRule="auto"/>
        <w:jc w:val="both"/>
        <w:rPr>
          <w:rFonts w:ascii="Times New Roman" w:hAnsi="Times New Roman"/>
          <w:noProof/>
          <w:sz w:val="24"/>
          <w:szCs w:val="24"/>
        </w:rPr>
      </w:pPr>
      <w:r>
        <w:rPr>
          <w:rFonts w:ascii="Times New Roman" w:hAnsi="Times New Roman"/>
          <w:b/>
          <w:noProof/>
          <w:sz w:val="24"/>
        </w:rPr>
        <w:t>2.2.4</w:t>
      </w:r>
      <w:r>
        <w:rPr>
          <w:noProof/>
        </w:rPr>
        <w:tab/>
      </w:r>
      <w:r>
        <w:rPr>
          <w:rFonts w:ascii="Times New Roman" w:hAnsi="Times New Roman"/>
          <w:b/>
          <w:noProof/>
          <w:sz w:val="24"/>
        </w:rPr>
        <w:t>Promouvoir les droits de l'homme et le droit humanitaire international et veiller au respect de l'obligation de rendre des comptes</w:t>
      </w:r>
    </w:p>
    <w:p w:rsidR="00C37BB1" w:rsidRDefault="007C505C">
      <w:pPr>
        <w:numPr>
          <w:ilvl w:val="0"/>
          <w:numId w:val="15"/>
        </w:numPr>
        <w:spacing w:after="120" w:line="240" w:lineRule="auto"/>
        <w:jc w:val="both"/>
        <w:rPr>
          <w:rFonts w:ascii="Times New Roman" w:hAnsi="Times New Roman"/>
          <w:noProof/>
          <w:sz w:val="24"/>
          <w:szCs w:val="24"/>
        </w:rPr>
      </w:pPr>
      <w:r>
        <w:rPr>
          <w:rFonts w:ascii="Times New Roman" w:hAnsi="Times New Roman"/>
          <w:noProof/>
          <w:sz w:val="24"/>
        </w:rPr>
        <w:t>Continuer d'enquêter et de recueillir des informations sur les crimes de guerre et les crimes contre l'humanité, notamment dans la perspective d'une éventuelle responsabilité pénale à l'avenir;</w:t>
      </w:r>
    </w:p>
    <w:p w:rsidR="00C37BB1" w:rsidRDefault="007C505C">
      <w:pPr>
        <w:numPr>
          <w:ilvl w:val="0"/>
          <w:numId w:val="15"/>
        </w:numPr>
        <w:spacing w:after="120" w:line="240" w:lineRule="auto"/>
        <w:jc w:val="both"/>
        <w:rPr>
          <w:rFonts w:ascii="Times New Roman" w:hAnsi="Times New Roman"/>
          <w:noProof/>
          <w:sz w:val="24"/>
          <w:szCs w:val="24"/>
        </w:rPr>
      </w:pPr>
      <w:r>
        <w:rPr>
          <w:rFonts w:ascii="Times New Roman" w:hAnsi="Times New Roman"/>
          <w:noProof/>
          <w:sz w:val="24"/>
        </w:rPr>
        <w:t xml:space="preserve">soutenir, avec nos partenaires, l'action de la commission d'enquête des Nations unies et d'autres initiatives en faveur de la responsabilisation visant à élaborer un processus de responsabilisation et à remettre en cause le sentiment d'impunité; </w:t>
      </w:r>
    </w:p>
    <w:p w:rsidR="00C37BB1" w:rsidRDefault="007C505C">
      <w:pPr>
        <w:numPr>
          <w:ilvl w:val="0"/>
          <w:numId w:val="15"/>
        </w:numPr>
        <w:spacing w:after="120" w:line="240" w:lineRule="auto"/>
        <w:jc w:val="both"/>
        <w:rPr>
          <w:rFonts w:ascii="Times New Roman" w:hAnsi="Times New Roman"/>
          <w:noProof/>
          <w:color w:val="000000"/>
          <w:sz w:val="24"/>
          <w:szCs w:val="24"/>
        </w:rPr>
      </w:pPr>
      <w:r>
        <w:rPr>
          <w:rFonts w:ascii="Times New Roman" w:hAnsi="Times New Roman"/>
          <w:noProof/>
          <w:sz w:val="24"/>
        </w:rPr>
        <w:t>continuer</w:t>
      </w:r>
      <w:r>
        <w:rPr>
          <w:rFonts w:ascii="Times New Roman" w:hAnsi="Times New Roman"/>
          <w:noProof/>
          <w:sz w:val="24"/>
        </w:rPr>
        <w:t xml:space="preserve"> d'apporter une aide aux activités de l'Organisation pour l'interdiction des armes chimiques (OIAC), en particulier à la mission de vérification et à la destruction de l'arsenal chimique syrien et des installations syriennes de fabrication d'armes chimique</w:t>
      </w:r>
      <w:r>
        <w:rPr>
          <w:rFonts w:ascii="Times New Roman" w:hAnsi="Times New Roman"/>
          <w:noProof/>
          <w:sz w:val="24"/>
        </w:rPr>
        <w:t>s;</w:t>
      </w:r>
      <w:r>
        <w:rPr>
          <w:rFonts w:ascii="Times New Roman" w:hAnsi="Times New Roman"/>
          <w:noProof/>
          <w:color w:val="000000"/>
          <w:sz w:val="24"/>
        </w:rPr>
        <w:t xml:space="preserve"> </w:t>
      </w:r>
    </w:p>
    <w:p w:rsidR="00C37BB1" w:rsidRDefault="007C505C">
      <w:pPr>
        <w:numPr>
          <w:ilvl w:val="0"/>
          <w:numId w:val="15"/>
        </w:numPr>
        <w:spacing w:after="120" w:line="240" w:lineRule="auto"/>
        <w:jc w:val="both"/>
        <w:rPr>
          <w:rFonts w:ascii="Times New Roman" w:hAnsi="Times New Roman"/>
          <w:noProof/>
          <w:sz w:val="24"/>
          <w:szCs w:val="24"/>
        </w:rPr>
      </w:pPr>
      <w:r>
        <w:rPr>
          <w:rFonts w:ascii="Times New Roman" w:hAnsi="Times New Roman"/>
          <w:noProof/>
          <w:sz w:val="24"/>
        </w:rPr>
        <w:t>continuer de rechercher des moyens permettant de saisir la Cour pénale internationale (CPI) du dossier syrien et soutenir des mécanismes complémentaires de responsabilisation, y compris au niveau national.</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Moyens d'action de l'UE</w:t>
      </w:r>
      <w:r>
        <w:rPr>
          <w:rFonts w:ascii="Times New Roman" w:hAnsi="Times New Roman"/>
          <w:i/>
          <w:noProof/>
          <w:sz w:val="24"/>
        </w:rPr>
        <w:t xml:space="preserve">: </w:t>
      </w:r>
      <w:r>
        <w:rPr>
          <w:rFonts w:ascii="Times New Roman" w:hAnsi="Times New Roman"/>
          <w:noProof/>
          <w:sz w:val="24"/>
        </w:rPr>
        <w:t xml:space="preserve">action diplomatique, </w:t>
      </w:r>
      <w:r>
        <w:rPr>
          <w:rFonts w:ascii="Times New Roman" w:hAnsi="Times New Roman"/>
          <w:noProof/>
          <w:sz w:val="24"/>
        </w:rPr>
        <w:t xml:space="preserve">notamment au niveau du Conseil de sécurité des Nations unies, soutien pratique aux défenseurs des droits de l'homme par l'intermédiaire de l'instrument contribuant à la stabilité et à la paix et de </w:t>
      </w:r>
      <w:r>
        <w:rPr>
          <w:rFonts w:ascii="Times New Roman" w:hAnsi="Times New Roman"/>
          <w:i/>
          <w:noProof/>
          <w:sz w:val="24"/>
        </w:rPr>
        <w:t xml:space="preserve">l'instrument européen pour la démocratie et les droits de </w:t>
      </w:r>
      <w:r>
        <w:rPr>
          <w:rFonts w:ascii="Times New Roman" w:hAnsi="Times New Roman"/>
          <w:i/>
          <w:noProof/>
          <w:sz w:val="24"/>
        </w:rPr>
        <w:t>l'homme</w:t>
      </w:r>
      <w:r>
        <w:rPr>
          <w:rFonts w:ascii="Times New Roman" w:hAnsi="Times New Roman"/>
          <w:noProof/>
          <w:sz w:val="24"/>
        </w:rPr>
        <w:t xml:space="preserve"> (IEDDH) et coopération judiciaire.</w:t>
      </w:r>
    </w:p>
    <w:p w:rsidR="00C37BB1" w:rsidRDefault="00C37BB1">
      <w:pPr>
        <w:spacing w:after="120" w:line="240" w:lineRule="auto"/>
        <w:jc w:val="both"/>
        <w:rPr>
          <w:rFonts w:ascii="Times New Roman" w:hAnsi="Times New Roman"/>
          <w:b/>
          <w:noProof/>
          <w:sz w:val="24"/>
          <w:szCs w:val="24"/>
        </w:rPr>
      </w:pPr>
    </w:p>
    <w:p w:rsidR="00C37BB1" w:rsidRDefault="00C37BB1">
      <w:pPr>
        <w:spacing w:after="120" w:line="240" w:lineRule="auto"/>
        <w:jc w:val="both"/>
        <w:rPr>
          <w:rFonts w:ascii="Times New Roman" w:hAnsi="Times New Roman"/>
          <w:b/>
          <w:noProof/>
          <w:sz w:val="24"/>
          <w:szCs w:val="24"/>
        </w:rPr>
      </w:pPr>
    </w:p>
    <w:p w:rsidR="00C37BB1" w:rsidRDefault="007C505C">
      <w:pPr>
        <w:spacing w:after="120" w:line="240" w:lineRule="auto"/>
        <w:jc w:val="both"/>
        <w:rPr>
          <w:rFonts w:ascii="Times New Roman" w:hAnsi="Times New Roman"/>
          <w:noProof/>
          <w:sz w:val="24"/>
          <w:szCs w:val="24"/>
        </w:rPr>
      </w:pPr>
      <w:r>
        <w:rPr>
          <w:rFonts w:ascii="Times New Roman" w:hAnsi="Times New Roman"/>
          <w:b/>
          <w:noProof/>
          <w:sz w:val="24"/>
        </w:rPr>
        <w:t>2.2.5</w:t>
      </w:r>
      <w:r>
        <w:rPr>
          <w:noProof/>
        </w:rPr>
        <w:tab/>
      </w:r>
      <w:r>
        <w:rPr>
          <w:rFonts w:ascii="Times New Roman" w:hAnsi="Times New Roman"/>
          <w:b/>
          <w:noProof/>
          <w:sz w:val="24"/>
        </w:rPr>
        <w:t>Préparer l'avenir</w:t>
      </w:r>
    </w:p>
    <w:p w:rsidR="00C37BB1" w:rsidRDefault="007C505C">
      <w:pPr>
        <w:numPr>
          <w:ilvl w:val="0"/>
          <w:numId w:val="14"/>
        </w:numPr>
        <w:spacing w:after="120" w:line="240" w:lineRule="auto"/>
        <w:jc w:val="both"/>
        <w:rPr>
          <w:rFonts w:ascii="Times New Roman" w:hAnsi="Times New Roman"/>
          <w:noProof/>
          <w:sz w:val="24"/>
          <w:szCs w:val="24"/>
        </w:rPr>
      </w:pPr>
      <w:r>
        <w:rPr>
          <w:rFonts w:ascii="Times New Roman" w:hAnsi="Times New Roman"/>
          <w:noProof/>
          <w:sz w:val="24"/>
        </w:rPr>
        <w:t>Continuer de planifier le redressement à long terme et la reconstruction de la Syrie et ouvrir la voie au retour et à la réintégration des réfugiés et des personnes déplacées dans le pays</w:t>
      </w:r>
      <w:r>
        <w:rPr>
          <w:rFonts w:ascii="Times New Roman" w:hAnsi="Times New Roman"/>
          <w:noProof/>
          <w:sz w:val="24"/>
        </w:rPr>
        <w:t>, au moyen notamment d'évaluations régulières des dommages et besoins en Syrie;</w:t>
      </w:r>
    </w:p>
    <w:p w:rsidR="00C37BB1" w:rsidRDefault="007C505C">
      <w:pPr>
        <w:numPr>
          <w:ilvl w:val="0"/>
          <w:numId w:val="14"/>
        </w:numPr>
        <w:spacing w:after="120" w:line="240" w:lineRule="auto"/>
        <w:jc w:val="both"/>
        <w:rPr>
          <w:rFonts w:ascii="Times New Roman" w:hAnsi="Times New Roman"/>
          <w:noProof/>
          <w:sz w:val="24"/>
          <w:szCs w:val="24"/>
        </w:rPr>
      </w:pPr>
      <w:r>
        <w:rPr>
          <w:rFonts w:ascii="Times New Roman" w:hAnsi="Times New Roman"/>
          <w:noProof/>
          <w:sz w:val="24"/>
        </w:rPr>
        <w:t>continuer de renforcer les capacités des citoyens syriens et de la société civile syrienne, y compris des organisations faisant la promotion de l'égalité hommes-femmes et de l'</w:t>
      </w:r>
      <w:r>
        <w:rPr>
          <w:rFonts w:ascii="Times New Roman" w:hAnsi="Times New Roman"/>
          <w:noProof/>
          <w:sz w:val="24"/>
        </w:rPr>
        <w:t xml:space="preserve">émancipation de ces dernières, afin de permettre aux Syriens ordinaires de jouer un rôle actif dans la reconstruction de leur pays; </w:t>
      </w:r>
    </w:p>
    <w:p w:rsidR="00C37BB1" w:rsidRDefault="007C505C">
      <w:pPr>
        <w:numPr>
          <w:ilvl w:val="0"/>
          <w:numId w:val="14"/>
        </w:numPr>
        <w:spacing w:after="120" w:line="240" w:lineRule="auto"/>
        <w:jc w:val="both"/>
        <w:rPr>
          <w:rFonts w:ascii="Times New Roman" w:hAnsi="Times New Roman"/>
          <w:noProof/>
          <w:sz w:val="24"/>
          <w:szCs w:val="24"/>
        </w:rPr>
      </w:pPr>
      <w:r>
        <w:rPr>
          <w:rFonts w:ascii="Times New Roman" w:hAnsi="Times New Roman"/>
          <w:noProof/>
          <w:sz w:val="24"/>
        </w:rPr>
        <w:t>explorer plus avant les possibilités qui peuvent être offertes aux étudiants et chercheurs syriens sous la forme de bourses</w:t>
      </w:r>
      <w:r>
        <w:rPr>
          <w:rFonts w:ascii="Times New Roman" w:hAnsi="Times New Roman"/>
          <w:noProof/>
          <w:sz w:val="24"/>
        </w:rPr>
        <w:t xml:space="preserve"> en Europe et de formations professionnelles dans la région; </w:t>
      </w:r>
    </w:p>
    <w:p w:rsidR="00C37BB1" w:rsidRDefault="007C505C">
      <w:pPr>
        <w:numPr>
          <w:ilvl w:val="0"/>
          <w:numId w:val="14"/>
        </w:numPr>
        <w:spacing w:after="120" w:line="240" w:lineRule="auto"/>
        <w:jc w:val="both"/>
        <w:rPr>
          <w:rFonts w:ascii="Times New Roman" w:hAnsi="Times New Roman"/>
          <w:b/>
          <w:iCs/>
          <w:noProof/>
          <w:sz w:val="24"/>
          <w:szCs w:val="24"/>
        </w:rPr>
      </w:pPr>
      <w:r>
        <w:rPr>
          <w:rFonts w:ascii="Times New Roman" w:hAnsi="Times New Roman"/>
          <w:noProof/>
          <w:sz w:val="24"/>
        </w:rPr>
        <w:t xml:space="preserve">continuer de recenser les possibilités de renforcer les capacités et les aptitudes des Syriens à piloter la transition (dans des domaines tels que la régulation des médias, la décentralisation, </w:t>
      </w:r>
      <w:r>
        <w:rPr>
          <w:rFonts w:ascii="Times New Roman" w:hAnsi="Times New Roman"/>
          <w:noProof/>
          <w:sz w:val="24"/>
        </w:rPr>
        <w:t>la gestion des municipalités, l'élaboration de la Constitution, etc.), en tenant dûment compte des besoins et du rôle des femmes;</w:t>
      </w:r>
    </w:p>
    <w:p w:rsidR="00C37BB1" w:rsidRDefault="007C505C">
      <w:pPr>
        <w:numPr>
          <w:ilvl w:val="0"/>
          <w:numId w:val="14"/>
        </w:numPr>
        <w:spacing w:after="120" w:line="240" w:lineRule="auto"/>
        <w:jc w:val="both"/>
        <w:rPr>
          <w:rFonts w:ascii="Times New Roman" w:hAnsi="Times New Roman"/>
          <w:b/>
          <w:iCs/>
          <w:noProof/>
          <w:sz w:val="24"/>
          <w:szCs w:val="24"/>
        </w:rPr>
      </w:pPr>
      <w:r>
        <w:rPr>
          <w:rFonts w:ascii="Times New Roman" w:hAnsi="Times New Roman"/>
          <w:noProof/>
          <w:sz w:val="24"/>
        </w:rPr>
        <w:t>continuer de planifier soigneusement le processus de désarmement, de démobilisation et de réintégration dans le cadre d'une ré</w:t>
      </w:r>
      <w:r>
        <w:rPr>
          <w:rFonts w:ascii="Times New Roman" w:hAnsi="Times New Roman"/>
          <w:noProof/>
          <w:sz w:val="24"/>
        </w:rPr>
        <w:t>forme du secteur de la sécurité;</w:t>
      </w:r>
    </w:p>
    <w:p w:rsidR="00C37BB1" w:rsidRDefault="007C505C">
      <w:pPr>
        <w:numPr>
          <w:ilvl w:val="0"/>
          <w:numId w:val="14"/>
        </w:numPr>
        <w:spacing w:after="120" w:line="240" w:lineRule="auto"/>
        <w:jc w:val="both"/>
        <w:rPr>
          <w:rFonts w:ascii="Times New Roman" w:hAnsi="Times New Roman"/>
          <w:b/>
          <w:iCs/>
          <w:noProof/>
          <w:sz w:val="24"/>
          <w:szCs w:val="24"/>
        </w:rPr>
      </w:pPr>
      <w:r>
        <w:rPr>
          <w:rFonts w:ascii="Times New Roman" w:hAnsi="Times New Roman"/>
          <w:noProof/>
          <w:sz w:val="24"/>
        </w:rPr>
        <w:t xml:space="preserve">continuer d'examiner régulièrement les conditions actuelles pour s'assurer qu'elles se prêtent à l'élaboration et à la mise en œuvre de mesures de justice transitionnelle visant à promouvoir la réconciliation, à nourrir la </w:t>
      </w:r>
      <w:r>
        <w:rPr>
          <w:rFonts w:ascii="Times New Roman" w:hAnsi="Times New Roman"/>
          <w:noProof/>
          <w:sz w:val="24"/>
        </w:rPr>
        <w:t>confiance et à consolider l'État de droit;</w:t>
      </w:r>
    </w:p>
    <w:p w:rsidR="00C37BB1" w:rsidRDefault="007C505C">
      <w:pPr>
        <w:numPr>
          <w:ilvl w:val="0"/>
          <w:numId w:val="14"/>
        </w:numPr>
        <w:spacing w:after="120" w:line="240" w:lineRule="auto"/>
        <w:jc w:val="both"/>
        <w:rPr>
          <w:rFonts w:ascii="Times New Roman" w:hAnsi="Times New Roman"/>
          <w:b/>
          <w:iCs/>
          <w:noProof/>
          <w:sz w:val="24"/>
          <w:szCs w:val="24"/>
        </w:rPr>
      </w:pPr>
      <w:r>
        <w:rPr>
          <w:rFonts w:ascii="Times New Roman" w:hAnsi="Times New Roman"/>
          <w:noProof/>
          <w:sz w:val="24"/>
        </w:rPr>
        <w:t>préparer méticuleusement le terrain pour la réforme électorale et de la Constitution, y compris la réforme de la loi sur les partis politiques;</w:t>
      </w:r>
    </w:p>
    <w:p w:rsidR="00C37BB1" w:rsidRDefault="007C505C">
      <w:pPr>
        <w:numPr>
          <w:ilvl w:val="0"/>
          <w:numId w:val="14"/>
        </w:numPr>
        <w:spacing w:after="120" w:line="240" w:lineRule="auto"/>
        <w:jc w:val="both"/>
        <w:rPr>
          <w:rFonts w:ascii="Times New Roman" w:hAnsi="Times New Roman"/>
          <w:iCs/>
          <w:noProof/>
          <w:sz w:val="24"/>
          <w:szCs w:val="24"/>
        </w:rPr>
      </w:pPr>
      <w:r>
        <w:rPr>
          <w:rFonts w:ascii="Times New Roman" w:hAnsi="Times New Roman"/>
          <w:noProof/>
          <w:sz w:val="24"/>
        </w:rPr>
        <w:t>examiner les moyens de protéger le patrimoine culturel non détruit et</w:t>
      </w:r>
      <w:r>
        <w:rPr>
          <w:rFonts w:ascii="Times New Roman" w:hAnsi="Times New Roman"/>
          <w:noProof/>
          <w:sz w:val="24"/>
        </w:rPr>
        <w:t xml:space="preserve"> de promouvoir la diversité culturelle, notamment au moyen de campagnes d'éducation et de sensibilisation;</w:t>
      </w:r>
    </w:p>
    <w:p w:rsidR="00C37BB1" w:rsidRDefault="007C505C">
      <w:pPr>
        <w:numPr>
          <w:ilvl w:val="0"/>
          <w:numId w:val="14"/>
        </w:numPr>
        <w:spacing w:after="120" w:line="240" w:lineRule="auto"/>
        <w:jc w:val="both"/>
        <w:rPr>
          <w:rFonts w:ascii="Times New Roman" w:hAnsi="Times New Roman"/>
          <w:b/>
          <w:iCs/>
          <w:noProof/>
          <w:sz w:val="24"/>
          <w:szCs w:val="24"/>
        </w:rPr>
      </w:pPr>
      <w:r>
        <w:rPr>
          <w:rFonts w:ascii="Times New Roman" w:hAnsi="Times New Roman"/>
          <w:noProof/>
          <w:sz w:val="24"/>
        </w:rPr>
        <w:t xml:space="preserve">conserver à l'UE son rôle de chef de file dans la coordination des donateurs, afin de renforcer la cohérence, la coordination et la prévisibilité de </w:t>
      </w:r>
      <w:r>
        <w:rPr>
          <w:rFonts w:ascii="Times New Roman" w:hAnsi="Times New Roman"/>
          <w:noProof/>
          <w:sz w:val="24"/>
        </w:rPr>
        <w:t>l'aide internationale apportée à la reconstruction de la Syrie;</w:t>
      </w:r>
    </w:p>
    <w:p w:rsidR="00C37BB1" w:rsidRDefault="007C505C">
      <w:pPr>
        <w:numPr>
          <w:ilvl w:val="0"/>
          <w:numId w:val="14"/>
        </w:numPr>
        <w:spacing w:after="120" w:line="240" w:lineRule="auto"/>
        <w:jc w:val="both"/>
        <w:rPr>
          <w:rFonts w:ascii="Times New Roman" w:hAnsi="Times New Roman"/>
          <w:iCs/>
          <w:noProof/>
          <w:sz w:val="24"/>
          <w:szCs w:val="24"/>
        </w:rPr>
      </w:pPr>
      <w:r>
        <w:rPr>
          <w:rFonts w:ascii="Times New Roman" w:hAnsi="Times New Roman"/>
          <w:noProof/>
          <w:sz w:val="24"/>
        </w:rPr>
        <w:t>utiliser pleinement le potentiel du programme Erasmus+ qui finance des bourses favorisant la mobilité des étudiants syriens et des projets de coopération visant à moderniser les établissements</w:t>
      </w:r>
      <w:r>
        <w:rPr>
          <w:rFonts w:ascii="Times New Roman" w:hAnsi="Times New Roman"/>
          <w:noProof/>
          <w:sz w:val="24"/>
        </w:rPr>
        <w:t xml:space="preserve"> d'enseignement supérieur syriens participants. Explorer plus avant les possibilités d'aider les pays voisins et leurs universités à fournir des services d'enseignement supérieur aux étudiants syriens.</w:t>
      </w:r>
    </w:p>
    <w:p w:rsidR="00C37BB1" w:rsidRDefault="007C505C">
      <w:pPr>
        <w:spacing w:after="120" w:line="240" w:lineRule="auto"/>
        <w:jc w:val="both"/>
        <w:rPr>
          <w:rFonts w:ascii="Times New Roman" w:hAnsi="Times New Roman"/>
          <w:b/>
          <w:iCs/>
          <w:noProof/>
          <w:sz w:val="24"/>
          <w:szCs w:val="24"/>
        </w:rPr>
      </w:pPr>
      <w:r>
        <w:rPr>
          <w:rFonts w:ascii="Times New Roman" w:hAnsi="Times New Roman"/>
          <w:noProof/>
          <w:sz w:val="24"/>
        </w:rPr>
        <w:t>L'UE poursuivra ces efforts, en ayant à l'esprit la né</w:t>
      </w:r>
      <w:r>
        <w:rPr>
          <w:rFonts w:ascii="Times New Roman" w:hAnsi="Times New Roman"/>
          <w:noProof/>
          <w:sz w:val="24"/>
        </w:rPr>
        <w:t>cessité d'éviter l'effondrement des institutions étatiques syriennes.</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Moyens d'action de l'UE</w:t>
      </w:r>
      <w:r>
        <w:rPr>
          <w:rFonts w:ascii="Times New Roman" w:hAnsi="Times New Roman"/>
          <w:i/>
          <w:noProof/>
          <w:sz w:val="24"/>
        </w:rPr>
        <w:t xml:space="preserve">: </w:t>
      </w:r>
      <w:r>
        <w:rPr>
          <w:rFonts w:ascii="Times New Roman" w:hAnsi="Times New Roman"/>
          <w:noProof/>
          <w:sz w:val="24"/>
        </w:rPr>
        <w:t>IEV, fonds «Hadad», instrument contribuant à la stabilité et à la paix («Programme Tahdir: préparer la transition en Syrie»), accord trilatéral entre les Nations unies, la Banque mondiale et l'UE sur l'évaluation des besoins au lendemain du conflit, Erasmu</w:t>
      </w:r>
      <w:r>
        <w:rPr>
          <w:rFonts w:ascii="Times New Roman" w:hAnsi="Times New Roman"/>
          <w:noProof/>
          <w:sz w:val="24"/>
        </w:rPr>
        <w:t xml:space="preserve">s+. </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OBJECTIFS PAR PAYS - IRAQ</w:t>
      </w: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2.3.1</w:t>
      </w:r>
      <w:r>
        <w:rPr>
          <w:noProof/>
        </w:rPr>
        <w:tab/>
      </w:r>
      <w:r>
        <w:rPr>
          <w:rFonts w:ascii="Times New Roman" w:hAnsi="Times New Roman"/>
          <w:b/>
          <w:noProof/>
          <w:sz w:val="24"/>
        </w:rPr>
        <w:t xml:space="preserve">Aider le gouvernement iraquien à faire de l'ouverture une réalité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En ce qui concerne l'Iraq, l'UE doit avoir pour principal objectif de soutenir un gouvernement iraquien non exclusif dans les efforts qu'il déploie</w:t>
      </w:r>
      <w:r>
        <w:rPr>
          <w:rFonts w:ascii="Times New Roman" w:hAnsi="Times New Roman"/>
          <w:noProof/>
          <w:sz w:val="24"/>
        </w:rPr>
        <w:t xml:space="preserve"> pour répondre aux revendications légitimes des citoyens iraquiens et promouvoir un processus à long terme de construction de l'État et de réconciliation nationale, en se fondant sur les dispositions de la Constitution iraquienne. Le programme du gouvernem</w:t>
      </w:r>
      <w:r>
        <w:rPr>
          <w:rFonts w:ascii="Times New Roman" w:hAnsi="Times New Roman"/>
          <w:noProof/>
          <w:sz w:val="24"/>
        </w:rPr>
        <w:t>ent (2014-2018) et le plan national de développement iraquien (2014-2017) sont une bonne base pour ce faire, tandis que l'accord de partenariat et de coopération (APC) UE-Iraq, dont certaines parties sont déjà appliquées à titre provisoire, sert de cadre à</w:t>
      </w:r>
      <w:r>
        <w:rPr>
          <w:rFonts w:ascii="Times New Roman" w:hAnsi="Times New Roman"/>
          <w:noProof/>
          <w:sz w:val="24"/>
        </w:rPr>
        <w:t xml:space="preserve"> la coopération sur un large éventail de questions. S'il est nécessaire de répondre aux revendications des Sunnites, il convient aussi d'apporter une réponse globale, dans l'ensemble du pays, à la montée du sectarisme et à la radicalisation dans la plupart</w:t>
      </w:r>
      <w:r>
        <w:rPr>
          <w:rFonts w:ascii="Times New Roman" w:hAnsi="Times New Roman"/>
          <w:noProof/>
          <w:sz w:val="24"/>
        </w:rPr>
        <w:t xml:space="preserve"> des communautés iraquiennes. L'UE s'emploiera à coopérer aussi étroitement que possible avec la Mission d'assistance des Nations unies pour l'Iraq (MANUI) et avec les agences des Nations unies présentes dans le pays.</w:t>
      </w:r>
    </w:p>
    <w:p w:rsidR="00C37BB1" w:rsidRDefault="007C505C">
      <w:pPr>
        <w:numPr>
          <w:ilvl w:val="0"/>
          <w:numId w:val="6"/>
        </w:numPr>
        <w:spacing w:after="120" w:line="240" w:lineRule="auto"/>
        <w:ind w:left="360"/>
        <w:rPr>
          <w:rFonts w:ascii="Times New Roman" w:hAnsi="Times New Roman"/>
          <w:b/>
          <w:noProof/>
          <w:sz w:val="24"/>
          <w:szCs w:val="24"/>
        </w:rPr>
      </w:pPr>
      <w:r>
        <w:rPr>
          <w:rFonts w:ascii="Times New Roman" w:hAnsi="Times New Roman"/>
          <w:b/>
          <w:noProof/>
          <w:sz w:val="24"/>
        </w:rPr>
        <w:t>Nouer le dialogue avec les groupes sun</w:t>
      </w:r>
      <w:r>
        <w:rPr>
          <w:rFonts w:ascii="Times New Roman" w:hAnsi="Times New Roman"/>
          <w:b/>
          <w:noProof/>
          <w:sz w:val="24"/>
        </w:rPr>
        <w:t>nites modérés marginalisés</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Il conviendrait d'épauler le gouvernement iraquien dans sa démarche visant à nouer le dialogue avec l'ensemble des composantes de la société iraquienne, en particulier avec les groupes religieux et politiques modérés, afin qu'ils</w:t>
      </w:r>
      <w:r>
        <w:rPr>
          <w:rFonts w:ascii="Times New Roman" w:hAnsi="Times New Roman"/>
          <w:noProof/>
          <w:sz w:val="24"/>
        </w:rPr>
        <w:t xml:space="preserve"> soient parties prenantes dans l'avenir de l'Iraq. Une attention particulière doit néanmoins être accordée à la communauté sunnite, afin de la désengager de tout soutien à Daech. Une telle démarche devrait être entreprise parallèlement à tout appel à la ré</w:t>
      </w:r>
      <w:r>
        <w:rPr>
          <w:rFonts w:ascii="Times New Roman" w:hAnsi="Times New Roman"/>
          <w:noProof/>
          <w:sz w:val="24"/>
        </w:rPr>
        <w:t>sistance armée contre Daech susceptible d'être lancé à ces groupes. Le fait de tendre la main à la communauté sunnite devrait aller de pair avec des mesures visant à répondre à ses revendications connues et à promouvoir la réconciliation, à garantir la séc</w:t>
      </w:r>
      <w:r>
        <w:rPr>
          <w:rFonts w:ascii="Times New Roman" w:hAnsi="Times New Roman"/>
          <w:noProof/>
          <w:sz w:val="24"/>
        </w:rPr>
        <w:t>urité des populations (en particulier des groupes rejoignant la lutte contre Daech) et à donner des gages quant à une consultation future sur l'élaboration des politiques. Dans le même temps, il importe de soutenir les communautés chiites modérées et les g</w:t>
      </w:r>
      <w:r>
        <w:rPr>
          <w:rFonts w:ascii="Times New Roman" w:hAnsi="Times New Roman"/>
          <w:noProof/>
          <w:sz w:val="24"/>
        </w:rPr>
        <w:t>roupes de la société civile pour lutter contre la stigmatisation de la communauté sunnite et l'hostilité à son égard.</w:t>
      </w:r>
    </w:p>
    <w:p w:rsidR="00C37BB1" w:rsidRDefault="007C505C">
      <w:pPr>
        <w:numPr>
          <w:ilvl w:val="0"/>
          <w:numId w:val="6"/>
        </w:numPr>
        <w:spacing w:after="120" w:line="240" w:lineRule="auto"/>
        <w:ind w:left="360"/>
        <w:rPr>
          <w:rFonts w:ascii="Times New Roman" w:hAnsi="Times New Roman"/>
          <w:b/>
          <w:noProof/>
          <w:sz w:val="24"/>
          <w:szCs w:val="24"/>
        </w:rPr>
      </w:pPr>
      <w:r>
        <w:rPr>
          <w:rFonts w:ascii="Times New Roman" w:hAnsi="Times New Roman"/>
          <w:b/>
          <w:noProof/>
          <w:sz w:val="24"/>
        </w:rPr>
        <w:t>Nouer le dialogue avec la région du Kurdistan iraquien</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La résolution des différends entre le gouvernement fédéral et celui de la région du</w:t>
      </w:r>
      <w:r>
        <w:rPr>
          <w:rFonts w:ascii="Times New Roman" w:hAnsi="Times New Roman"/>
          <w:noProof/>
          <w:sz w:val="24"/>
        </w:rPr>
        <w:t xml:space="preserve"> Kurdistan, portant notamment sur un règlement définitif et durable des questions du transfert des revenus du pétrole et des territoires disputés, est une priorité essentielle qui devrait améliorer sensiblement le climat politique en Iraq. L'UE devrait enc</w:t>
      </w:r>
      <w:r>
        <w:rPr>
          <w:rFonts w:ascii="Times New Roman" w:hAnsi="Times New Roman"/>
          <w:noProof/>
          <w:sz w:val="24"/>
        </w:rPr>
        <w:t xml:space="preserve">ourager le gouvernement fédéral et le gouvernement régional du Kurdistan à s'entendre sur une feuille de route claire, assortie d'échéances, pour la résolution des différends sur la base de dispositions constitutionnelles. </w:t>
      </w:r>
    </w:p>
    <w:p w:rsidR="00C37BB1" w:rsidRDefault="007C505C">
      <w:pPr>
        <w:numPr>
          <w:ilvl w:val="0"/>
          <w:numId w:val="6"/>
        </w:numPr>
        <w:spacing w:after="120" w:line="240" w:lineRule="auto"/>
        <w:ind w:left="360"/>
        <w:jc w:val="both"/>
        <w:rPr>
          <w:rFonts w:ascii="Times New Roman" w:hAnsi="Times New Roman"/>
          <w:b/>
          <w:noProof/>
          <w:sz w:val="24"/>
          <w:szCs w:val="24"/>
        </w:rPr>
      </w:pPr>
      <w:r>
        <w:rPr>
          <w:rFonts w:ascii="Times New Roman" w:hAnsi="Times New Roman"/>
          <w:b/>
          <w:noProof/>
          <w:sz w:val="24"/>
        </w:rPr>
        <w:t>Consolider des institutions état</w:t>
      </w:r>
      <w:r>
        <w:rPr>
          <w:rFonts w:ascii="Times New Roman" w:hAnsi="Times New Roman"/>
          <w:b/>
          <w:noProof/>
          <w:sz w:val="24"/>
        </w:rPr>
        <w:t xml:space="preserve">iques gérées de manière démocratique et appuyer la réforme politique et législative </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 xml:space="preserve">L'UE et ses États membres devraient soutenir les efforts du gouvernement iraquien en vue de lancer un programme exhaustif de réforme administrative destiné à renforcer la </w:t>
      </w:r>
      <w:r>
        <w:rPr>
          <w:rFonts w:ascii="Times New Roman" w:hAnsi="Times New Roman"/>
          <w:noProof/>
          <w:sz w:val="24"/>
        </w:rPr>
        <w:t>capacité des entités du gouvernement civil sur la base de principes modernes d'administration et de gestion financière. Les principes fondamentaux d'une telle réforme devraient être la séparation des postes politiques et administratifs, la création d'un se</w:t>
      </w:r>
      <w:r>
        <w:rPr>
          <w:rFonts w:ascii="Times New Roman" w:hAnsi="Times New Roman"/>
          <w:noProof/>
          <w:sz w:val="24"/>
        </w:rPr>
        <w:t xml:space="preserve">rvice public indépendant et l'application d'une politique d'égalité des chances dénuée de toute considération d'ordre confessionnel et basée sur les qualifications et les compétences. </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Un soutien aux initiatives en faveur de réformes politiques et législat</w:t>
      </w:r>
      <w:r>
        <w:rPr>
          <w:rFonts w:ascii="Times New Roman" w:hAnsi="Times New Roman"/>
          <w:noProof/>
          <w:sz w:val="24"/>
        </w:rPr>
        <w:t>ives mises en avant par le gouvernement, la société civile et d'autres parties dans le cadre de la Constitution iraquienne devrait être envisagé, pour autant que ces initiatives fassent progresser la réconciliation nationale et le développement du pays.</w:t>
      </w:r>
    </w:p>
    <w:p w:rsidR="00C37BB1" w:rsidRDefault="007C505C">
      <w:pPr>
        <w:numPr>
          <w:ilvl w:val="0"/>
          <w:numId w:val="6"/>
        </w:numPr>
        <w:spacing w:after="120" w:line="240" w:lineRule="auto"/>
        <w:ind w:left="360"/>
        <w:jc w:val="both"/>
        <w:rPr>
          <w:rFonts w:ascii="Times New Roman" w:hAnsi="Times New Roman"/>
          <w:b/>
          <w:noProof/>
          <w:sz w:val="24"/>
          <w:szCs w:val="24"/>
        </w:rPr>
      </w:pPr>
      <w:r>
        <w:rPr>
          <w:rFonts w:ascii="Times New Roman" w:hAnsi="Times New Roman"/>
          <w:b/>
          <w:noProof/>
          <w:sz w:val="24"/>
        </w:rPr>
        <w:t>Re</w:t>
      </w:r>
      <w:r>
        <w:rPr>
          <w:rFonts w:ascii="Times New Roman" w:hAnsi="Times New Roman"/>
          <w:b/>
          <w:noProof/>
          <w:sz w:val="24"/>
        </w:rPr>
        <w:t>structurer le secteur de la sécurité</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La réforme du secteur de la sécurité couvre un large éventail d'activités, allant de l'appui aux forces militaires aux réformes du cadre juridique. Toute activité future de l'UE dans ce domaine doit prendre en compte le</w:t>
      </w:r>
      <w:r>
        <w:rPr>
          <w:rFonts w:ascii="Times New Roman" w:hAnsi="Times New Roman"/>
          <w:noProof/>
          <w:sz w:val="24"/>
        </w:rPr>
        <w:t>s mesures adoptées par la coalition internationale pour lutter contre Daech, ainsi que les efforts bilatéraux des États membres de l'UE, pour parvenir à une certaine complémentarité. Des États membres ont engagé des actions visant à restructurer et à forme</w:t>
      </w:r>
      <w:r>
        <w:rPr>
          <w:rFonts w:ascii="Times New Roman" w:hAnsi="Times New Roman"/>
          <w:noProof/>
          <w:sz w:val="24"/>
        </w:rPr>
        <w:t>r les forces de sécurité iraquiennes. La faiblesse des forces de sécurité iraquiennes a entraîné la réapparition de milices irrégulières qui, tout en renforçant l'action des forces de sécurité, sont aussi à l'origine d'un grand nombre d'atrocités et de vio</w:t>
      </w:r>
      <w:r>
        <w:rPr>
          <w:rFonts w:ascii="Times New Roman" w:hAnsi="Times New Roman"/>
          <w:noProof/>
          <w:sz w:val="24"/>
        </w:rPr>
        <w:t>lations des droits de l'homme. La démobilisation progressive des milices chiites et d'autres groupes armés et leur remplacement par des forces de sécurité iraquiennes compétentes et non confessionnelles sont essentiels à la réconciliation nationale. Le gou</w:t>
      </w:r>
      <w:r>
        <w:rPr>
          <w:rFonts w:ascii="Times New Roman" w:hAnsi="Times New Roman"/>
          <w:noProof/>
          <w:sz w:val="24"/>
        </w:rPr>
        <w:t>vernement iraquien devra s'assurer que ses forces de sécurité seront les seules à détenir des armes et devra prohiber toute formation armée non régie par le cadre gouvernemental, conformément à ce que prévoit la Constitution iraquienne. Dans le même temps,</w:t>
      </w:r>
      <w:r>
        <w:rPr>
          <w:rFonts w:ascii="Times New Roman" w:hAnsi="Times New Roman"/>
          <w:noProof/>
          <w:sz w:val="24"/>
        </w:rPr>
        <w:t xml:space="preserve"> il convient de renforcer la présence et les compétences des forces de police civiles.</w:t>
      </w:r>
    </w:p>
    <w:p w:rsidR="00C37BB1" w:rsidRDefault="007C505C">
      <w:pPr>
        <w:numPr>
          <w:ilvl w:val="0"/>
          <w:numId w:val="6"/>
        </w:numPr>
        <w:spacing w:after="120" w:line="240" w:lineRule="auto"/>
        <w:ind w:left="360"/>
        <w:jc w:val="both"/>
        <w:rPr>
          <w:rFonts w:ascii="Times New Roman" w:hAnsi="Times New Roman"/>
          <w:b/>
          <w:noProof/>
          <w:sz w:val="24"/>
          <w:szCs w:val="24"/>
        </w:rPr>
      </w:pPr>
      <w:r>
        <w:rPr>
          <w:rFonts w:ascii="Times New Roman" w:hAnsi="Times New Roman"/>
          <w:b/>
          <w:noProof/>
          <w:sz w:val="24"/>
        </w:rPr>
        <w:t>Réformes judiciaires et prise en compte du respect des droits de l'homme</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Les manquements à l'État de droit sont au cœur de la crise en Iraq. L'UE et ses États membres de</w:t>
      </w:r>
      <w:r>
        <w:rPr>
          <w:rFonts w:ascii="Times New Roman" w:hAnsi="Times New Roman"/>
          <w:noProof/>
          <w:sz w:val="24"/>
        </w:rPr>
        <w:t>vraient envisager de renforcer leur soutien au gouvernement iraquien afin de l'aider à prendre des mesures de consolidation de l'État de droit et de protection des droits de l'homme dans tous les compartiments de la vie publique iraquienne. Ces mesures doi</w:t>
      </w:r>
      <w:r>
        <w:rPr>
          <w:rFonts w:ascii="Times New Roman" w:hAnsi="Times New Roman"/>
          <w:noProof/>
          <w:sz w:val="24"/>
        </w:rPr>
        <w:t>vent comprendre la réforme de la législation controversée existante et de sa mise en œuvre, qui ont été des vecteurs de la radicalisation et de la résistance au gouvernement iraquien. Un effort résolu doit être engagé afin de renforcer l'indépendance des i</w:t>
      </w:r>
      <w:r>
        <w:rPr>
          <w:rFonts w:ascii="Times New Roman" w:hAnsi="Times New Roman"/>
          <w:noProof/>
          <w:sz w:val="24"/>
        </w:rPr>
        <w:t>nstitutions, du judiciaire en particulier. La formation aux droits de l'homme doit se voir accorder une place importante dans les programmes d'enseignement des forces de sécurité civiles et militaires, et la coopération des forces de sécurité avec les inst</w:t>
      </w:r>
      <w:r>
        <w:rPr>
          <w:rFonts w:ascii="Times New Roman" w:hAnsi="Times New Roman"/>
          <w:noProof/>
          <w:sz w:val="24"/>
        </w:rPr>
        <w:t>itutions juridiques, ainsi qu'avec les organes de surveillance de la police doit être améliorée. Il convient d'améliorer le statut et les capacités de la Commission des droits de l'homme. Un respect accru des droits de l'homme dans le système pénitentiaire</w:t>
      </w:r>
      <w:r>
        <w:rPr>
          <w:rFonts w:ascii="Times New Roman" w:hAnsi="Times New Roman"/>
          <w:noProof/>
          <w:sz w:val="24"/>
        </w:rPr>
        <w:t xml:space="preserve"> contribuera à résister à la radicalisation.</w:t>
      </w:r>
      <w:r>
        <w:rPr>
          <w:rFonts w:ascii="Times New Roman" w:hAnsi="Times New Roman"/>
          <w:noProof/>
          <w:color w:val="FF0000"/>
          <w:sz w:val="24"/>
        </w:rPr>
        <w:t xml:space="preserve"> </w:t>
      </w:r>
      <w:r>
        <w:rPr>
          <w:rFonts w:ascii="Times New Roman" w:hAnsi="Times New Roman"/>
          <w:noProof/>
          <w:sz w:val="24"/>
        </w:rPr>
        <w:t>Les capacités judiciaires de lutte contre les organisations terroristes devraient être renforcées.</w:t>
      </w:r>
      <w:r>
        <w:rPr>
          <w:rFonts w:ascii="Times New Roman" w:hAnsi="Times New Roman"/>
          <w:noProof/>
          <w:color w:val="FF0000"/>
          <w:sz w:val="24"/>
        </w:rPr>
        <w:t xml:space="preserve"> </w:t>
      </w:r>
      <w:r>
        <w:rPr>
          <w:rFonts w:ascii="Times New Roman" w:hAnsi="Times New Roman"/>
          <w:noProof/>
          <w:sz w:val="24"/>
        </w:rPr>
        <w:t>L'UE devrait encourager l'adhésion de l'Iraq au statut de Rome, de manière à permettre des poursuites internatio</w:t>
      </w:r>
      <w:r>
        <w:rPr>
          <w:rFonts w:ascii="Times New Roman" w:hAnsi="Times New Roman"/>
          <w:noProof/>
          <w:sz w:val="24"/>
        </w:rPr>
        <w:t>nales à l'avenir. Il est essentiel, pour tous les efforts déployés, de tirer des enseignements du soutien apporté par l'UE dans le passé aux efforts en matière de réforme de la justice dans le cadre de la mission EUJUSTLEX. À plus long terme, l'Iraq devrai</w:t>
      </w:r>
      <w:r>
        <w:rPr>
          <w:rFonts w:ascii="Times New Roman" w:hAnsi="Times New Roman"/>
          <w:noProof/>
          <w:sz w:val="24"/>
        </w:rPr>
        <w:t>t être encouragé à élaborer un plan d'abolition progressive de la peine de mort, compte tenu de son inefficacité et de son rôle potentiel dans la radicalisation.</w:t>
      </w:r>
    </w:p>
    <w:p w:rsidR="00C37BB1" w:rsidRDefault="007C505C">
      <w:pPr>
        <w:numPr>
          <w:ilvl w:val="0"/>
          <w:numId w:val="6"/>
        </w:numPr>
        <w:spacing w:after="120" w:line="240" w:lineRule="auto"/>
        <w:ind w:left="360"/>
        <w:jc w:val="both"/>
        <w:rPr>
          <w:rFonts w:ascii="Times New Roman" w:hAnsi="Times New Roman"/>
          <w:b/>
          <w:noProof/>
          <w:sz w:val="24"/>
          <w:szCs w:val="24"/>
        </w:rPr>
      </w:pPr>
      <w:r>
        <w:rPr>
          <w:rFonts w:ascii="Times New Roman" w:hAnsi="Times New Roman"/>
          <w:b/>
          <w:noProof/>
          <w:sz w:val="24"/>
        </w:rPr>
        <w:t>Renforcer l'administration régionale et locale</w:t>
      </w:r>
    </w:p>
    <w:p w:rsidR="00C37BB1" w:rsidRDefault="007C505C">
      <w:pPr>
        <w:spacing w:after="120" w:line="240" w:lineRule="auto"/>
        <w:ind w:left="360"/>
        <w:jc w:val="both"/>
        <w:rPr>
          <w:rFonts w:ascii="Times New Roman" w:hAnsi="Times New Roman"/>
          <w:noProof/>
          <w:sz w:val="24"/>
          <w:szCs w:val="24"/>
        </w:rPr>
      </w:pPr>
      <w:r>
        <w:rPr>
          <w:rFonts w:ascii="Times New Roman" w:hAnsi="Times New Roman"/>
          <w:noProof/>
          <w:sz w:val="24"/>
        </w:rPr>
        <w:t xml:space="preserve">La Constitution iraquienne prévoit la </w:t>
      </w:r>
      <w:r>
        <w:rPr>
          <w:rFonts w:ascii="Times New Roman" w:hAnsi="Times New Roman"/>
          <w:noProof/>
          <w:sz w:val="24"/>
        </w:rPr>
        <w:t>possibilité d'une plus grande autonomie régionale et locale, le gouvernement iraquien indiquant lui-même dans son programme que la décentralisation est une option envisageable. Davantage d'autonomie politique et financière dans la conduite des affaires pro</w:t>
      </w:r>
      <w:r>
        <w:rPr>
          <w:rFonts w:ascii="Times New Roman" w:hAnsi="Times New Roman"/>
          <w:noProof/>
          <w:sz w:val="24"/>
        </w:rPr>
        <w:t>vinciales et locales, dont le contrôle local des services de sécurité locaux, et une plus grande proximité du processus décisionnel pourraient contribuer à donner satisfaction aux revendications locales. Cela doit toutefois aller de pair avec un système co</w:t>
      </w:r>
      <w:r>
        <w:rPr>
          <w:rFonts w:ascii="Times New Roman" w:hAnsi="Times New Roman"/>
          <w:noProof/>
          <w:sz w:val="24"/>
        </w:rPr>
        <w:t>ntribuant à une distribution équitable des ressources entre les localités et avec des mesures interconfessionnelles de restauration de la confiance entre entités, au moyen, par exemple, de projets régionaux d'infrastructure et d'autres projets de coopérati</w:t>
      </w:r>
      <w:r>
        <w:rPr>
          <w:rFonts w:ascii="Times New Roman" w:hAnsi="Times New Roman"/>
          <w:noProof/>
          <w:sz w:val="24"/>
        </w:rPr>
        <w:t>on.</w:t>
      </w:r>
    </w:p>
    <w:p w:rsidR="00C37BB1" w:rsidRDefault="007C505C">
      <w:pPr>
        <w:spacing w:after="120" w:line="240" w:lineRule="auto"/>
        <w:rPr>
          <w:rFonts w:ascii="Times New Roman" w:hAnsi="Times New Roman"/>
          <w:b/>
          <w:i/>
          <w:iCs/>
          <w:noProof/>
          <w:sz w:val="24"/>
          <w:szCs w:val="24"/>
        </w:rPr>
      </w:pPr>
      <w:r>
        <w:rPr>
          <w:rFonts w:ascii="Times New Roman" w:hAnsi="Times New Roman"/>
          <w:b/>
          <w:i/>
          <w:noProof/>
          <w:sz w:val="24"/>
        </w:rPr>
        <w:t>Moyens d'action de l'UE:</w:t>
      </w:r>
    </w:p>
    <w:p w:rsidR="00C37BB1" w:rsidRDefault="007C505C">
      <w:pPr>
        <w:spacing w:after="120" w:line="240" w:lineRule="auto"/>
        <w:rPr>
          <w:rFonts w:ascii="Times New Roman" w:hAnsi="Times New Roman"/>
          <w:i/>
          <w:iCs/>
          <w:noProof/>
          <w:sz w:val="24"/>
          <w:szCs w:val="24"/>
        </w:rPr>
      </w:pPr>
      <w:r>
        <w:rPr>
          <w:rFonts w:ascii="Times New Roman" w:hAnsi="Times New Roman"/>
          <w:i/>
          <w:noProof/>
          <w:sz w:val="24"/>
        </w:rPr>
        <w:t>Questions institutionnelles</w:t>
      </w:r>
    </w:p>
    <w:p w:rsidR="00C37BB1" w:rsidRDefault="007C505C">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Contacts au niveau politique et au niveau des administrations, notamment dans le cadre de l'APC. À cet égard, la ratification rapide de l'APC par les États membres de l'UE enverrait un signal fort de</w:t>
      </w:r>
      <w:r>
        <w:rPr>
          <w:rFonts w:ascii="Times New Roman" w:hAnsi="Times New Roman"/>
          <w:noProof/>
          <w:sz w:val="24"/>
        </w:rPr>
        <w:t xml:space="preserve"> l'engagement de l'UE.</w:t>
      </w:r>
    </w:p>
    <w:p w:rsidR="00C37BB1" w:rsidRDefault="007C505C">
      <w:pPr>
        <w:numPr>
          <w:ilvl w:val="0"/>
          <w:numId w:val="11"/>
        </w:numPr>
        <w:spacing w:after="120" w:line="240" w:lineRule="auto"/>
        <w:jc w:val="both"/>
        <w:rPr>
          <w:rFonts w:ascii="Times New Roman" w:hAnsi="Times New Roman"/>
          <w:b/>
          <w:noProof/>
          <w:sz w:val="24"/>
          <w:szCs w:val="24"/>
        </w:rPr>
      </w:pPr>
      <w:r>
        <w:rPr>
          <w:rFonts w:ascii="Times New Roman" w:hAnsi="Times New Roman"/>
          <w:noProof/>
          <w:sz w:val="24"/>
        </w:rPr>
        <w:t>Compte tenu du rôle clé joué par la région du Kurdistan dans la lutte contre Daech et dans la résolution de la crise politique en Iraq, l'UE s'emploiera à renforcer sa présence à Erbil, en respectant pleinement l'ordre constitutionne</w:t>
      </w:r>
      <w:r>
        <w:rPr>
          <w:rFonts w:ascii="Times New Roman" w:hAnsi="Times New Roman"/>
          <w:noProof/>
          <w:sz w:val="24"/>
        </w:rPr>
        <w:t xml:space="preserve">l iraquien. Sous réserve de l'accord du gouvernement central et des contraintes budgétaires, une antenne de la délégation de l'UE pour l'Iraq sera établie à Erbil. L'UE s'efforcera de favoriser la circulation des informations entre Bagdad et Erbil. S'il y </w:t>
      </w:r>
      <w:r>
        <w:rPr>
          <w:rFonts w:ascii="Times New Roman" w:hAnsi="Times New Roman"/>
          <w:noProof/>
          <w:sz w:val="24"/>
        </w:rPr>
        <w:t xml:space="preserve">a lieu, elle encouragera également la participation du gouvernement de la région du Kurdistan à la mise en œuvre de l'APC UE-Iraq. </w:t>
      </w:r>
    </w:p>
    <w:p w:rsidR="00C37BB1" w:rsidRDefault="007C505C">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 xml:space="preserve">Il conviendrait d'examiner la possibilité de soutenir les démarches entreprises par la diplomatie iraquienne pour nouer des </w:t>
      </w:r>
      <w:r>
        <w:rPr>
          <w:rFonts w:ascii="Times New Roman" w:hAnsi="Times New Roman"/>
          <w:noProof/>
          <w:sz w:val="24"/>
        </w:rPr>
        <w:t>relations dans la région et au-delà, en se fondant sur l'expérience et le savoir-faire acquis par l'Iraq dans ses efforts de réhabilitation internationale entrepris entre 2003 et 2010.</w:t>
      </w:r>
    </w:p>
    <w:p w:rsidR="00C37BB1" w:rsidRDefault="007C505C">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La délégation de l'UE en Iraq devrait être renforcée, entre autres, par</w:t>
      </w:r>
      <w:r>
        <w:rPr>
          <w:rFonts w:ascii="Times New Roman" w:hAnsi="Times New Roman"/>
          <w:noProof/>
          <w:sz w:val="24"/>
        </w:rPr>
        <w:t xml:space="preserve"> des experts en matière de sécurité détachés des États membres.</w:t>
      </w:r>
    </w:p>
    <w:p w:rsidR="00C37BB1" w:rsidRDefault="007C505C">
      <w:pPr>
        <w:spacing w:after="120" w:line="240" w:lineRule="auto"/>
        <w:jc w:val="both"/>
        <w:rPr>
          <w:rFonts w:ascii="Times New Roman" w:hAnsi="Times New Roman"/>
          <w:i/>
          <w:iCs/>
          <w:noProof/>
          <w:sz w:val="24"/>
          <w:szCs w:val="24"/>
        </w:rPr>
      </w:pPr>
      <w:r>
        <w:rPr>
          <w:rFonts w:ascii="Times New Roman" w:hAnsi="Times New Roman"/>
          <w:i/>
          <w:noProof/>
          <w:sz w:val="24"/>
        </w:rPr>
        <w:t>Assistance technique</w:t>
      </w:r>
    </w:p>
    <w:p w:rsidR="00C37BB1" w:rsidRDefault="007C505C">
      <w:pPr>
        <w:numPr>
          <w:ilvl w:val="0"/>
          <w:numId w:val="11"/>
        </w:numPr>
        <w:spacing w:after="120" w:line="240" w:lineRule="auto"/>
        <w:jc w:val="both"/>
        <w:rPr>
          <w:rFonts w:ascii="Times New Roman" w:hAnsi="Times New Roman"/>
          <w:iCs/>
          <w:noProof/>
          <w:sz w:val="24"/>
          <w:szCs w:val="24"/>
        </w:rPr>
      </w:pPr>
      <w:r>
        <w:rPr>
          <w:rFonts w:ascii="Times New Roman" w:hAnsi="Times New Roman"/>
          <w:noProof/>
          <w:sz w:val="24"/>
        </w:rPr>
        <w:t>L'UE peut mobiliser l'expertise disponible dans les États membres en vue de former et de conseiller les institutions étatiques iraquiennes dans des domaines tels que la ré</w:t>
      </w:r>
      <w:r>
        <w:rPr>
          <w:rFonts w:ascii="Times New Roman" w:hAnsi="Times New Roman"/>
          <w:noProof/>
          <w:sz w:val="24"/>
        </w:rPr>
        <w:t>forme de l'administration publique, la réforme du secteur de la sécurité, la lutte contre le terrorisme dans le respect des droits de l'homme, ainsi que la sécurité des frontières/la gestion intégrée des frontières (GIF), en s'appuyant sur les dispositions</w:t>
      </w:r>
      <w:r>
        <w:rPr>
          <w:rFonts w:ascii="Times New Roman" w:hAnsi="Times New Roman"/>
          <w:noProof/>
          <w:sz w:val="24"/>
        </w:rPr>
        <w:t xml:space="preserve"> de l'APC UE-Iraq, notamment celles ayant trait à la coopération, exposées au titre III, qui sont applicables à titre provisoire.</w:t>
      </w:r>
    </w:p>
    <w:p w:rsidR="00C37BB1" w:rsidRDefault="007C505C">
      <w:pPr>
        <w:numPr>
          <w:ilvl w:val="0"/>
          <w:numId w:val="11"/>
        </w:numPr>
        <w:spacing w:after="120" w:line="240" w:lineRule="auto"/>
        <w:jc w:val="both"/>
        <w:rPr>
          <w:rFonts w:ascii="Times New Roman" w:hAnsi="Times New Roman"/>
          <w:bCs/>
          <w:noProof/>
          <w:sz w:val="24"/>
          <w:szCs w:val="24"/>
        </w:rPr>
      </w:pPr>
      <w:r>
        <w:rPr>
          <w:rFonts w:ascii="Times New Roman" w:hAnsi="Times New Roman"/>
          <w:noProof/>
          <w:sz w:val="24"/>
        </w:rPr>
        <w:t>Dans le domaine de la sécurité, l'appui de l'UE pourrait aider l'Iraq à renforcer ses capacités en vue de contenir Daech. En c</w:t>
      </w:r>
      <w:r>
        <w:rPr>
          <w:rFonts w:ascii="Times New Roman" w:hAnsi="Times New Roman"/>
          <w:noProof/>
          <w:sz w:val="24"/>
        </w:rPr>
        <w:t>onséquence, le recours aux instruments de l'UE sera exploré plus avant.</w:t>
      </w:r>
      <w:r>
        <w:rPr>
          <w:rFonts w:ascii="Times New Roman" w:hAnsi="Times New Roman"/>
          <w:i/>
          <w:noProof/>
          <w:sz w:val="24"/>
        </w:rPr>
        <w:t xml:space="preserve"> </w:t>
      </w:r>
      <w:r>
        <w:rPr>
          <w:rFonts w:ascii="Times New Roman" w:hAnsi="Times New Roman"/>
          <w:noProof/>
          <w:sz w:val="24"/>
        </w:rPr>
        <w:t>Afin d'éviter les doubles emplois, il importe cependant de rappeler que les États membres se sont engagés à fournir leur appui militaire à l'Iraq essentiellement dans le cadre de la co</w:t>
      </w:r>
      <w:r>
        <w:rPr>
          <w:rFonts w:ascii="Times New Roman" w:hAnsi="Times New Roman"/>
          <w:noProof/>
          <w:sz w:val="24"/>
        </w:rPr>
        <w:t xml:space="preserve">alition internationale de lutte contre Daech et de ses groupes de travail, ainsi que dans le cadre de l'OTAN, qui envisage d'apporter son soutien aux forces de sécurité iraquiennes au titre de l'initiative de renforcement des capacités de défense. Afin de </w:t>
      </w:r>
      <w:r>
        <w:rPr>
          <w:rFonts w:ascii="Times New Roman" w:hAnsi="Times New Roman"/>
          <w:noProof/>
          <w:sz w:val="24"/>
        </w:rPr>
        <w:t>faciliter le retour des PDI dans les territoires repris à Daech, une assistance technique pourrait être mise à la disposition du pays sous la forme d'opérations de déminage et de neutralisation des engins explosifs disséminés par Daech.</w:t>
      </w:r>
    </w:p>
    <w:p w:rsidR="00C37BB1" w:rsidRDefault="007C505C">
      <w:pPr>
        <w:numPr>
          <w:ilvl w:val="0"/>
          <w:numId w:val="11"/>
        </w:numPr>
        <w:spacing w:after="120" w:line="240" w:lineRule="auto"/>
        <w:jc w:val="both"/>
        <w:rPr>
          <w:rFonts w:ascii="Times New Roman" w:hAnsi="Times New Roman"/>
          <w:bCs/>
          <w:iCs/>
          <w:noProof/>
          <w:sz w:val="24"/>
          <w:szCs w:val="24"/>
        </w:rPr>
      </w:pPr>
      <w:r>
        <w:rPr>
          <w:rFonts w:ascii="Times New Roman" w:hAnsi="Times New Roman"/>
          <w:noProof/>
          <w:sz w:val="24"/>
        </w:rPr>
        <w:t>Une assistance en m</w:t>
      </w:r>
      <w:r>
        <w:rPr>
          <w:rFonts w:ascii="Times New Roman" w:hAnsi="Times New Roman"/>
          <w:noProof/>
          <w:sz w:val="24"/>
        </w:rPr>
        <w:t>atière de renforcement des capacités de lutte contre le terrorisme (aspects civils) sera fournie, en tenant compte des efforts de la coalition internationale et de ses groupes de travail, afin d'encourager le gouvernement iraquien à adopter une nouvelle ap</w:t>
      </w:r>
      <w:r>
        <w:rPr>
          <w:rFonts w:ascii="Times New Roman" w:hAnsi="Times New Roman"/>
          <w:noProof/>
          <w:sz w:val="24"/>
        </w:rPr>
        <w:t xml:space="preserve">proche globale de lutte contre le terrorisme, fondée sur le respect des droits de l'homme et axée sur la prévention. Parmi les domaines d'appui possibles figurent notamment le renforcement des capacités, la collecte, l'analyse, le partage et la protection </w:t>
      </w:r>
      <w:r>
        <w:rPr>
          <w:rFonts w:ascii="Times New Roman" w:hAnsi="Times New Roman"/>
          <w:noProof/>
          <w:sz w:val="24"/>
        </w:rPr>
        <w:t>des renseignements, ainsi que la lutte contre le financement du terrorisme.</w:t>
      </w:r>
    </w:p>
    <w:p w:rsidR="00C37BB1" w:rsidRDefault="007C505C">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 xml:space="preserve">Les efforts déployés par l'UE pour encourager les réformes institutionnelles et juridiques et la prise en compte des droits de l'homme peuvent se fonder sur le projet de soutien à </w:t>
      </w:r>
      <w:r>
        <w:rPr>
          <w:rFonts w:ascii="Times New Roman" w:hAnsi="Times New Roman"/>
          <w:noProof/>
          <w:sz w:val="24"/>
        </w:rPr>
        <w:t>l'État de droit actuellement mis en œuvre au titre de l'</w:t>
      </w:r>
      <w:r>
        <w:rPr>
          <w:rFonts w:ascii="Times New Roman" w:hAnsi="Times New Roman"/>
          <w:i/>
          <w:noProof/>
          <w:sz w:val="24"/>
        </w:rPr>
        <w:t>instrument de financement de la coopération au développement</w:t>
      </w:r>
      <w:r>
        <w:rPr>
          <w:rFonts w:ascii="Times New Roman" w:hAnsi="Times New Roman"/>
          <w:noProof/>
          <w:sz w:val="24"/>
        </w:rPr>
        <w:t xml:space="preserve"> (ICD), sur les mesures de soutien futures dans le cadre du document indicatif de planification pluriannuelle 2014-2017 de l'ICD et des leço</w:t>
      </w:r>
      <w:r>
        <w:rPr>
          <w:rFonts w:ascii="Times New Roman" w:hAnsi="Times New Roman"/>
          <w:noProof/>
          <w:sz w:val="24"/>
        </w:rPr>
        <w:t>ns tirées de la mission EUJUSTLEX.</w:t>
      </w:r>
    </w:p>
    <w:p w:rsidR="00C37BB1" w:rsidRDefault="007C505C">
      <w:pPr>
        <w:numPr>
          <w:ilvl w:val="0"/>
          <w:numId w:val="11"/>
        </w:numPr>
        <w:spacing w:after="120" w:line="240" w:lineRule="auto"/>
        <w:jc w:val="both"/>
        <w:rPr>
          <w:rFonts w:ascii="Times New Roman" w:hAnsi="Times New Roman"/>
          <w:bCs/>
          <w:noProof/>
          <w:sz w:val="24"/>
          <w:szCs w:val="24"/>
        </w:rPr>
      </w:pPr>
      <w:r>
        <w:rPr>
          <w:rFonts w:ascii="Times New Roman" w:hAnsi="Times New Roman"/>
          <w:noProof/>
          <w:sz w:val="24"/>
        </w:rPr>
        <w:t>À la demande du gouvernement iraquien et sous réserve que les États membres puissent financer ces opérations, l'UE peut s'appuyer sur une multitude de modèles dans l'UE et sur des experts, tant au niveau national que de l</w:t>
      </w:r>
      <w:r>
        <w:rPr>
          <w:rFonts w:ascii="Times New Roman" w:hAnsi="Times New Roman"/>
          <w:noProof/>
          <w:sz w:val="24"/>
        </w:rPr>
        <w:t>'UE (Comité des régions), pour conseiller le gouvernement iraquien sur la manière d'opérer au mieux le transfert des compétences dans la pratique.</w:t>
      </w:r>
    </w:p>
    <w:p w:rsidR="00C37BB1" w:rsidRDefault="007C505C">
      <w:pPr>
        <w:numPr>
          <w:ilvl w:val="0"/>
          <w:numId w:val="11"/>
        </w:numPr>
        <w:spacing w:after="120" w:line="240" w:lineRule="auto"/>
        <w:jc w:val="both"/>
        <w:rPr>
          <w:rFonts w:ascii="Times New Roman" w:hAnsi="Times New Roman"/>
          <w:bCs/>
          <w:noProof/>
          <w:sz w:val="24"/>
          <w:szCs w:val="24"/>
        </w:rPr>
      </w:pPr>
      <w:r>
        <w:rPr>
          <w:rFonts w:ascii="Times New Roman" w:hAnsi="Times New Roman"/>
          <w:noProof/>
          <w:sz w:val="24"/>
        </w:rPr>
        <w:t xml:space="preserve">Il importera de sensibiliser le Conseil des représentants de l'Iraq. Le Parlement européen et les parlements </w:t>
      </w:r>
      <w:r>
        <w:rPr>
          <w:rFonts w:ascii="Times New Roman" w:hAnsi="Times New Roman"/>
          <w:noProof/>
          <w:sz w:val="24"/>
        </w:rPr>
        <w:t>nationaux sont incités à jouer un rôle de premier plan dans ce domaine.</w:t>
      </w:r>
    </w:p>
    <w:p w:rsidR="00C37BB1" w:rsidRDefault="007C505C">
      <w:pPr>
        <w:numPr>
          <w:ilvl w:val="0"/>
          <w:numId w:val="11"/>
        </w:numPr>
        <w:spacing w:after="120" w:line="240" w:lineRule="auto"/>
        <w:jc w:val="both"/>
        <w:rPr>
          <w:rFonts w:ascii="Times New Roman" w:hAnsi="Times New Roman"/>
          <w:bCs/>
          <w:noProof/>
          <w:sz w:val="24"/>
          <w:szCs w:val="24"/>
        </w:rPr>
      </w:pPr>
      <w:r>
        <w:rPr>
          <w:rFonts w:ascii="Times New Roman" w:hAnsi="Times New Roman"/>
          <w:noProof/>
          <w:sz w:val="24"/>
        </w:rPr>
        <w:t>L'UE présentera des plans d'urgence pour la fourniture d'un soutien rapide au gouvernement iraquien dans les efforts qu'il déploie pour restaurer et renforcer la prestation de services</w:t>
      </w:r>
      <w:r>
        <w:rPr>
          <w:rFonts w:ascii="Times New Roman" w:hAnsi="Times New Roman"/>
          <w:noProof/>
          <w:sz w:val="24"/>
        </w:rPr>
        <w:t xml:space="preserve"> de base dans les zones libérées du joug de Daech, afin d'encourager le retour volontaire, dans les meilleurs délais, en toute sécurité et dans la dignité des personnes déplacées dans le pays, en veillant à mettre en place les garanties minimales nécessair</w:t>
      </w:r>
      <w:r>
        <w:rPr>
          <w:rFonts w:ascii="Times New Roman" w:hAnsi="Times New Roman"/>
          <w:noProof/>
          <w:sz w:val="24"/>
        </w:rPr>
        <w:t>es en matière de protection.</w:t>
      </w:r>
    </w:p>
    <w:p w:rsidR="00C37BB1" w:rsidRDefault="007C505C">
      <w:pPr>
        <w:spacing w:after="120" w:line="240" w:lineRule="auto"/>
        <w:rPr>
          <w:rFonts w:ascii="Times New Roman" w:hAnsi="Times New Roman"/>
          <w:b/>
          <w:noProof/>
          <w:sz w:val="24"/>
          <w:szCs w:val="24"/>
        </w:rPr>
      </w:pPr>
      <w:r>
        <w:rPr>
          <w:rFonts w:ascii="Times New Roman" w:hAnsi="Times New Roman"/>
          <w:b/>
          <w:noProof/>
          <w:sz w:val="24"/>
        </w:rPr>
        <w:t>2.3.2</w:t>
      </w:r>
      <w:r>
        <w:rPr>
          <w:noProof/>
        </w:rPr>
        <w:tab/>
      </w:r>
      <w:r>
        <w:rPr>
          <w:rFonts w:ascii="Times New Roman" w:hAnsi="Times New Roman"/>
          <w:b/>
          <w:noProof/>
          <w:sz w:val="24"/>
        </w:rPr>
        <w:t>Soutenir les services de base, le développement économique et la lutte contre la corruption</w:t>
      </w:r>
    </w:p>
    <w:p w:rsidR="00C37BB1" w:rsidRDefault="007C505C">
      <w:pPr>
        <w:spacing w:after="120" w:line="240" w:lineRule="auto"/>
        <w:jc w:val="both"/>
        <w:rPr>
          <w:rFonts w:ascii="Times New Roman" w:hAnsi="Times New Roman"/>
          <w:b/>
          <w:iCs/>
          <w:noProof/>
          <w:color w:val="FF0000"/>
          <w:sz w:val="24"/>
          <w:szCs w:val="24"/>
        </w:rPr>
      </w:pPr>
      <w:r>
        <w:rPr>
          <w:rFonts w:ascii="Times New Roman" w:hAnsi="Times New Roman"/>
          <w:noProof/>
          <w:sz w:val="24"/>
        </w:rPr>
        <w:t>La stabilité en Iraq ne s'installera dans la durée que si l'ensemble des citoyens peuvent tirer parti de son immense richesse. Un</w:t>
      </w:r>
      <w:r>
        <w:rPr>
          <w:rFonts w:ascii="Times New Roman" w:hAnsi="Times New Roman"/>
          <w:noProof/>
          <w:sz w:val="24"/>
        </w:rPr>
        <w:t>e mauvaise gestion des finances publiques en général et une corruption généralisée ont rendu l'exécution budgétaire inefficace et mis à mal la prestation de services, tout en conduisant, dans certaines régions, à la dégradation de l'environnement et des re</w:t>
      </w:r>
      <w:r>
        <w:rPr>
          <w:rFonts w:ascii="Times New Roman" w:hAnsi="Times New Roman"/>
          <w:noProof/>
          <w:sz w:val="24"/>
        </w:rPr>
        <w:t>ssources naturelles. La crise de la sécurité entraîne le déclin de l'économie et, dans le sillage de la baisse du prix du pétrole, les recettes publiques et les réserves de change diminuent. Des réformes économiques et budgétaires prudentes seront nécessai</w:t>
      </w:r>
      <w:r>
        <w:rPr>
          <w:rFonts w:ascii="Times New Roman" w:hAnsi="Times New Roman"/>
          <w:noProof/>
          <w:sz w:val="24"/>
        </w:rPr>
        <w:t>res pour garantir la viabilité budgétaire indispensable pour faire face à l'augmentation des coûts générés par les besoins sociaux et la sécurité.</w:t>
      </w:r>
    </w:p>
    <w:p w:rsidR="00C37BB1" w:rsidRDefault="007C505C">
      <w:pPr>
        <w:spacing w:after="120" w:line="240" w:lineRule="auto"/>
        <w:jc w:val="both"/>
        <w:rPr>
          <w:rFonts w:ascii="Times New Roman" w:hAnsi="Times New Roman"/>
          <w:b/>
          <w:noProof/>
          <w:sz w:val="24"/>
          <w:szCs w:val="24"/>
        </w:rPr>
      </w:pPr>
      <w:r>
        <w:rPr>
          <w:rFonts w:ascii="Times New Roman" w:hAnsi="Times New Roman"/>
          <w:noProof/>
          <w:sz w:val="24"/>
        </w:rPr>
        <w:t xml:space="preserve">Quant à la capacité de créer un climat propice aux affaires, voilà plus d'une décennie que les résultats de </w:t>
      </w:r>
      <w:r>
        <w:rPr>
          <w:rFonts w:ascii="Times New Roman" w:hAnsi="Times New Roman"/>
          <w:noProof/>
          <w:sz w:val="24"/>
        </w:rPr>
        <w:t xml:space="preserve">l'Iraq en la matière sont bien en deçà de la moyenne régionale, l'accès au crédit faisant partie des pires obstacles au développement du secteur privé. Un combat résolu doit être mené contre la corruption et les capacités administratives de l'Iraq doivent </w:t>
      </w:r>
      <w:r>
        <w:rPr>
          <w:rFonts w:ascii="Times New Roman" w:hAnsi="Times New Roman"/>
          <w:noProof/>
          <w:sz w:val="24"/>
        </w:rPr>
        <w:t>être renforcées. Il convient aussi d'améliorer d'urgence la prestation de services sociaux de base (éducation, médecine) et la mise en place d'infrastructures (électricité, transports). Le renforcement du secteur privé et la promotion d'un climat propice a</w:t>
      </w:r>
      <w:r>
        <w:rPr>
          <w:rFonts w:ascii="Times New Roman" w:hAnsi="Times New Roman"/>
          <w:noProof/>
          <w:sz w:val="24"/>
        </w:rPr>
        <w:t>ux investissements seront nécessaires à la viabilité des progrès économiques.</w:t>
      </w:r>
      <w:r>
        <w:rPr>
          <w:rFonts w:ascii="Times New Roman" w:hAnsi="Times New Roman"/>
          <w:b/>
          <w:noProof/>
          <w:sz w:val="24"/>
        </w:rPr>
        <w:t xml:space="preserv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Un défi de taille pour l'Iraq consiste à lier développement durable et aide humanitaire, tout en mobilisant les ressources nécessaires pour fournir les services de base aux pers</w:t>
      </w:r>
      <w:r>
        <w:rPr>
          <w:rFonts w:ascii="Times New Roman" w:hAnsi="Times New Roman"/>
          <w:noProof/>
          <w:sz w:val="24"/>
        </w:rPr>
        <w:t>onnes déplacées et faciliter le retour et la réintégration des PDI. Cela passe par la prestation de services de base, tels que l'eau, l'énergie, le logement, l'éducation scolaire et l'enseignement supérieur (action de renforcement des capacités Erasmus+ ré</w:t>
      </w:r>
      <w:r>
        <w:rPr>
          <w:rFonts w:ascii="Times New Roman" w:hAnsi="Times New Roman"/>
          <w:noProof/>
          <w:sz w:val="24"/>
        </w:rPr>
        <w:t xml:space="preserve">cemment mise à la disposition de l'Iraq), la sécurité et l'accès au financement (financement des PME et microfinancement, par exemple), en tenant dûment compte de l'émancipation des femmes, et la protection des ressources naturelles. </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Moyens d'action de l'</w:t>
      </w:r>
      <w:r>
        <w:rPr>
          <w:rFonts w:ascii="Times New Roman" w:hAnsi="Times New Roman"/>
          <w:b/>
          <w:i/>
          <w:noProof/>
          <w:sz w:val="24"/>
        </w:rPr>
        <w:t>UE: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Les grands objectifs de la coopération au titre de l'APC UE-Iraq sont la stabilité macroéconomique, la viabilité de la dette et l'efficacité des dépenses publiques. À cette fin, la coopération, notamment au sein des sous-comités respectivement chargés </w:t>
      </w:r>
      <w:r>
        <w:rPr>
          <w:rFonts w:ascii="Times New Roman" w:hAnsi="Times New Roman"/>
          <w:noProof/>
          <w:sz w:val="24"/>
        </w:rPr>
        <w:t>des questions commerciales et économiques et de l'énergie et du transport pourrait soutenir les réformes en matière d'économie et d'environnement des affaires. Les parties pourraient se pencher sur: a) les tendances macroéconomiques, b) les politiques écon</w:t>
      </w:r>
      <w:r>
        <w:rPr>
          <w:rFonts w:ascii="Times New Roman" w:hAnsi="Times New Roman"/>
          <w:noProof/>
          <w:sz w:val="24"/>
        </w:rPr>
        <w:t>omiques et budgétaires générales (gouvernance des recettes tirées des ressources naturelles, réduction des subventions et du soutien aux entreprises publiques, investissements dans la distribution d'électricité, promotion du développement des énergies reno</w:t>
      </w:r>
      <w:r>
        <w:rPr>
          <w:rFonts w:ascii="Times New Roman" w:hAnsi="Times New Roman"/>
          <w:noProof/>
          <w:sz w:val="24"/>
        </w:rPr>
        <w:t>uvelables et mesures d'efficacité énergétique, augmentation des exportations pétrolières et facilitation des futures exportations de gaz, le centre de l'énergie UE-Iraq et les mesures de soutien connexes de l'UE et du gouvernement iraquien devant y contrib</w:t>
      </w:r>
      <w:r>
        <w:rPr>
          <w:rFonts w:ascii="Times New Roman" w:hAnsi="Times New Roman"/>
          <w:noProof/>
          <w:sz w:val="24"/>
        </w:rPr>
        <w:t xml:space="preserve">uer), c) le développement du secteur financier (approfondissement du marché financier, accès plus aisé au crédit privé et renforcement de l'inclusion financière) et d) la fourniture d'informations et de conseils techniques pour contribuer à l'amélioration </w:t>
      </w:r>
      <w:r>
        <w:rPr>
          <w:rFonts w:ascii="Times New Roman" w:hAnsi="Times New Roman"/>
          <w:noProof/>
          <w:sz w:val="24"/>
        </w:rPr>
        <w:t>de la production agricole. Une coopération en vue de minimiser l'incidence à long terme du secteur énergétique sur l'environnement et le changement climatique sera également envisagée.</w:t>
      </w:r>
    </w:p>
    <w:p w:rsidR="00C37BB1" w:rsidRDefault="007C505C">
      <w:pPr>
        <w:spacing w:after="120" w:line="240" w:lineRule="auto"/>
        <w:jc w:val="both"/>
        <w:rPr>
          <w:rFonts w:ascii="Times New Roman" w:hAnsi="Times New Roman"/>
          <w:b/>
          <w:iCs/>
          <w:noProof/>
          <w:sz w:val="24"/>
          <w:szCs w:val="24"/>
        </w:rPr>
      </w:pPr>
      <w:r>
        <w:rPr>
          <w:rFonts w:ascii="Times New Roman" w:hAnsi="Times New Roman"/>
          <w:noProof/>
          <w:sz w:val="24"/>
        </w:rPr>
        <w:t>Une assistance technique peut être offerte par l'intermédiaire de l'ICD</w:t>
      </w:r>
      <w:r>
        <w:rPr>
          <w:rFonts w:ascii="Times New Roman" w:hAnsi="Times New Roman"/>
          <w:noProof/>
          <w:sz w:val="24"/>
        </w:rPr>
        <w:t xml:space="preserve"> et d'autres instruments pour améliorer la gestion des finances publiques (dans le cadre d'une action concertée du FMI, de la Banque mondiale et de l'UE) et sous la forme de conseils sur les réformes économiques.</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Le fonds «Hadad» et l'instrument contribuan</w:t>
      </w:r>
      <w:r>
        <w:rPr>
          <w:rFonts w:ascii="Times New Roman" w:hAnsi="Times New Roman"/>
          <w:noProof/>
          <w:sz w:val="24"/>
        </w:rPr>
        <w:t>t à la stabilité et à la paix pourraient fournir les fonds initiaux nécessaires pour lier développement et aide humanitaire. Il importe que ces liens se fondent sur le soutien existant et soient étendus dès que possible pour faire face à une situation de d</w:t>
      </w:r>
      <w:r>
        <w:rPr>
          <w:rFonts w:ascii="Times New Roman" w:hAnsi="Times New Roman"/>
          <w:noProof/>
          <w:sz w:val="24"/>
        </w:rPr>
        <w:t xml:space="preserve">éplacements prolongés et dans la perspective du retour des PDI, afin de jeter les bases d'une situation stable et d'une croissance économique durable.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Une fois l'accord-cadre en place, la BEI (la banque de l'UE) pourra envisager d'engager des opérations e</w:t>
      </w:r>
      <w:r>
        <w:rPr>
          <w:rFonts w:ascii="Times New Roman" w:hAnsi="Times New Roman"/>
          <w:noProof/>
          <w:sz w:val="24"/>
        </w:rPr>
        <w:t xml:space="preserve">n Iraq, en mettant principalement l'accent sur l'aide au développement des infrastructures économiques et sociales. La BEI pourrait mettre son expertise technique à la disposition du pays en fournissant des services de conseil en amont pour le recensement </w:t>
      </w:r>
      <w:r>
        <w:rPr>
          <w:rFonts w:ascii="Times New Roman" w:hAnsi="Times New Roman"/>
          <w:noProof/>
          <w:sz w:val="24"/>
        </w:rPr>
        <w:t>et l'élaboration de projets clés. Elle pourrait encore soutenir ces projets en apportant un financement, au moyen, soit d'actions de capital-risque, soit de prêts, soit encore d'une combinaison des deux. Forte de son expérience dans les zones sortant de co</w:t>
      </w:r>
      <w:r>
        <w:rPr>
          <w:rFonts w:ascii="Times New Roman" w:hAnsi="Times New Roman"/>
          <w:noProof/>
          <w:sz w:val="24"/>
        </w:rPr>
        <w:t>nflits, la BEI pourrait aussi examiner la possibilité de mettre en place et de gérer des fonds fiduciaires spécialisés.</w:t>
      </w:r>
    </w:p>
    <w:p w:rsidR="00C37BB1" w:rsidRDefault="00C37BB1">
      <w:pPr>
        <w:spacing w:after="120" w:line="240" w:lineRule="auto"/>
        <w:jc w:val="both"/>
        <w:rPr>
          <w:rFonts w:ascii="Times New Roman" w:hAnsi="Times New Roman"/>
          <w:b/>
          <w:noProof/>
          <w:sz w:val="24"/>
          <w:szCs w:val="24"/>
        </w:rPr>
      </w:pPr>
    </w:p>
    <w:p w:rsidR="00C37BB1" w:rsidRDefault="007C505C">
      <w:pPr>
        <w:spacing w:after="120" w:line="240" w:lineRule="auto"/>
        <w:jc w:val="both"/>
        <w:rPr>
          <w:rFonts w:ascii="Times New Roman" w:hAnsi="Times New Roman"/>
          <w:b/>
          <w:noProof/>
          <w:sz w:val="24"/>
          <w:szCs w:val="24"/>
        </w:rPr>
      </w:pPr>
      <w:r>
        <w:rPr>
          <w:rFonts w:ascii="Times New Roman" w:hAnsi="Times New Roman"/>
          <w:b/>
          <w:noProof/>
          <w:sz w:val="24"/>
        </w:rPr>
        <w:t>2.3.3</w:t>
      </w:r>
      <w:r>
        <w:rPr>
          <w:noProof/>
        </w:rPr>
        <w:tab/>
      </w:r>
      <w:r>
        <w:rPr>
          <w:rFonts w:ascii="Times New Roman" w:hAnsi="Times New Roman"/>
          <w:b/>
          <w:noProof/>
          <w:sz w:val="24"/>
        </w:rPr>
        <w:t>Soutenir la consolidation de la paix, la réconciliation nationale et la justice transitionnelle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Au-delà des réformes politiques, </w:t>
      </w:r>
      <w:r>
        <w:rPr>
          <w:rFonts w:ascii="Times New Roman" w:hAnsi="Times New Roman"/>
          <w:noProof/>
          <w:sz w:val="24"/>
        </w:rPr>
        <w:t>l'Iraq devrait être encouragé à suivre la voie de la réconciliation nationale et du dialogue interconfessionnelle, afin de créer un sentiment de citoyenneté distinct de l'identité confessionnelle et ethnique et de promouvoir la richesse de la diversité cul</w:t>
      </w:r>
      <w:r>
        <w:rPr>
          <w:rFonts w:ascii="Times New Roman" w:hAnsi="Times New Roman"/>
          <w:noProof/>
          <w:sz w:val="24"/>
        </w:rPr>
        <w:t>turelle iraquienne. Les groupes de la société civile iraquienne ont un rôle primordial à jouer dans la consolidation de la paix, la promotion de l'identité nationale iraquienne, la lutte contre la propagande confessionnelle, la protection du patrimoine cul</w:t>
      </w:r>
      <w:r>
        <w:rPr>
          <w:rFonts w:ascii="Times New Roman" w:hAnsi="Times New Roman"/>
          <w:noProof/>
          <w:sz w:val="24"/>
        </w:rPr>
        <w:t>turel et de la diversité, ainsi que dans la sensibilisation du gouvernement à ces questions essentielles.</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En ce qui concerne la justice et la réparation, le gouvernement iraquien devra faire des choix difficiles, au moyen par exemple d'un processus nationa</w:t>
      </w:r>
      <w:r>
        <w:rPr>
          <w:rFonts w:ascii="Times New Roman" w:hAnsi="Times New Roman"/>
          <w:noProof/>
          <w:sz w:val="24"/>
        </w:rPr>
        <w:t>l de vérité et de réconciliation, qui devrait transcender les différentes confessions et s'intéresser non seulement aux crimes perpétrés par Daech et les membres de la communauté sunnite, mais aussi à ceux commis par les milices chiites et les forces de sé</w:t>
      </w:r>
      <w:r>
        <w:rPr>
          <w:rFonts w:ascii="Times New Roman" w:hAnsi="Times New Roman"/>
          <w:noProof/>
          <w:sz w:val="24"/>
        </w:rPr>
        <w:t>curité iraquiennes. Un tel processus peut jouer un rôle essentiel dans le renforcement de la citoyenneté iraquienne.</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Un soutien international aux opérations de police et de maintien de la paix pourrait être nécessaire dans les zones où des communautés cont</w:t>
      </w:r>
      <w:r>
        <w:rPr>
          <w:rFonts w:ascii="Times New Roman" w:hAnsi="Times New Roman"/>
          <w:noProof/>
          <w:sz w:val="24"/>
        </w:rPr>
        <w:t>inuent de s'opposer.</w:t>
      </w:r>
    </w:p>
    <w:p w:rsidR="00C37BB1" w:rsidRDefault="007C505C">
      <w:pPr>
        <w:spacing w:after="120" w:line="240" w:lineRule="auto"/>
        <w:jc w:val="both"/>
        <w:rPr>
          <w:rFonts w:ascii="Times New Roman" w:hAnsi="Times New Roman"/>
          <w:noProof/>
          <w:sz w:val="24"/>
          <w:szCs w:val="24"/>
        </w:rPr>
      </w:pPr>
      <w:r>
        <w:rPr>
          <w:rFonts w:ascii="Times New Roman" w:hAnsi="Times New Roman"/>
          <w:b/>
          <w:i/>
          <w:noProof/>
          <w:sz w:val="24"/>
        </w:rPr>
        <w:t xml:space="preserve">Moyens d'action de l'UE: </w:t>
      </w:r>
      <w:r>
        <w:rPr>
          <w:rFonts w:ascii="Times New Roman" w:hAnsi="Times New Roman"/>
          <w:noProof/>
          <w:sz w:val="24"/>
        </w:rPr>
        <w:t xml:space="preserve">un soutien aux instances judiciaires et parlementaires, ainsi qu'aux organisations de la société civile, à l'appui des activités de consolidation de la paix et de justice transitionnelle, devrait être envisagé </w:t>
      </w:r>
      <w:r>
        <w:rPr>
          <w:rFonts w:ascii="Times New Roman" w:hAnsi="Times New Roman"/>
          <w:noProof/>
          <w:sz w:val="24"/>
        </w:rPr>
        <w:t>dans le cadre de l'IEDDH et/ou du fonds «Hadad».</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De graves crimes de guerre et violations des droits de l'homme ayant été commis, il importe que justice soit faite, à des fins de réconciliation. L'UE devrait soutenir les efforts des instances publiques, de</w:t>
      </w:r>
      <w:r>
        <w:rPr>
          <w:rFonts w:ascii="Times New Roman" w:hAnsi="Times New Roman"/>
          <w:noProof/>
          <w:sz w:val="24"/>
        </w:rPr>
        <w:t>s ONG et de la CPI à cet égard.</w:t>
      </w:r>
    </w:p>
    <w:p w:rsidR="00C37BB1" w:rsidRDefault="007C505C">
      <w:pPr>
        <w:spacing w:after="120" w:line="240" w:lineRule="auto"/>
        <w:jc w:val="both"/>
        <w:rPr>
          <w:rFonts w:ascii="Times New Roman" w:hAnsi="Times New Roman"/>
          <w:b/>
          <w:noProof/>
          <w:sz w:val="24"/>
          <w:szCs w:val="24"/>
          <w:u w:val="single"/>
        </w:rPr>
      </w:pPr>
      <w:r>
        <w:rPr>
          <w:rFonts w:ascii="Times New Roman" w:hAnsi="Times New Roman"/>
          <w:b/>
          <w:noProof/>
          <w:sz w:val="24"/>
          <w:u w:val="single"/>
        </w:rPr>
        <w:t>3 – HYPOTHÈSES, CALENDRIER ET EXAMEN</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La capacité de l'UE à mettre en œuvre les actions et à atteindre les objectifs énoncés ci-avant dépendra dans une large mesure de l'évolution de la situation sur le terrain, y compris de </w:t>
      </w:r>
      <w:r>
        <w:rPr>
          <w:rFonts w:ascii="Times New Roman" w:hAnsi="Times New Roman"/>
          <w:noProof/>
          <w:sz w:val="24"/>
        </w:rPr>
        <w:t xml:space="preserve">la lutte contre Daech et de la volonté des acteurs nationaux et régionaux de se conformer aux objectifs fixés.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Idéalement, Daech et les autres groupes terroristes devraient être vaincus en Iraq et en Syrie et les problèmes politiques de ces pays résolus p</w:t>
      </w:r>
      <w:r>
        <w:rPr>
          <w:rFonts w:ascii="Times New Roman" w:hAnsi="Times New Roman"/>
          <w:noProof/>
          <w:sz w:val="24"/>
        </w:rPr>
        <w:t>arallèlement. Si les objectifs venaient à n'être atteints qu'en Syrie ou en Iraq, sans que des progrès du même ordre ne soient obtenus dans l'autre pays, la stabilité à long terme et le développement économique de la région pourraient s'en trouver menacés.</w:t>
      </w:r>
      <w:r>
        <w:rPr>
          <w:rFonts w:ascii="Times New Roman" w:hAnsi="Times New Roman"/>
          <w:noProof/>
          <w:sz w:val="24"/>
        </w:rPr>
        <w:t xml:space="preserv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Le présent cadre a un horizon pluriannuel. Pour rester d'actualité, il devra bénéficier d'une grande souplesse pour s'adapter à l'évolution de la situation sur le terrain. Il est proposé de mettre sur pied un processus d'examen annuel afin d'analyser l'i</w:t>
      </w:r>
      <w:r>
        <w:rPr>
          <w:rFonts w:ascii="Times New Roman" w:hAnsi="Times New Roman"/>
          <w:noProof/>
          <w:sz w:val="24"/>
        </w:rPr>
        <w:t xml:space="preserve">ncidence des politiques de l'UE. Cet examen devrait comprendre une analyse de la perception des politiques de l'UE par leurs principaux bénéficiaires en Syrie, en Iraq et dans l'ensemble de la région, afin de garantir l'adhésion nécessaire et continue des </w:t>
      </w:r>
      <w:r>
        <w:rPr>
          <w:rFonts w:ascii="Times New Roman" w:hAnsi="Times New Roman"/>
          <w:noProof/>
          <w:sz w:val="24"/>
        </w:rPr>
        <w:t xml:space="preserve">populations locales à l'action de l'UE. </w:t>
      </w:r>
    </w:p>
    <w:p w:rsidR="00C37BB1" w:rsidRDefault="007C505C">
      <w:pPr>
        <w:spacing w:after="120" w:line="240" w:lineRule="auto"/>
        <w:jc w:val="both"/>
        <w:rPr>
          <w:rFonts w:ascii="Times New Roman" w:hAnsi="Times New Roman"/>
          <w:noProof/>
          <w:sz w:val="24"/>
          <w:szCs w:val="24"/>
        </w:rPr>
      </w:pPr>
      <w:r>
        <w:rPr>
          <w:rFonts w:ascii="Times New Roman" w:hAnsi="Times New Roman"/>
          <w:noProof/>
          <w:sz w:val="24"/>
        </w:rPr>
        <w:t xml:space="preserve">L'UE doit faire en sorte de communiquer de la manière la plus efficace qui soit sur son action stratégique, à la fois auprès des citoyens de l'UE, au regard des répercussions des crises en Syrie et en Iraq sur l'UE </w:t>
      </w:r>
      <w:r>
        <w:rPr>
          <w:rFonts w:ascii="Times New Roman" w:hAnsi="Times New Roman"/>
          <w:noProof/>
          <w:sz w:val="24"/>
        </w:rPr>
        <w:t>et des engagements financiers contractés, et auprès des populations locales de ces pays et de la région tout entière.</w:t>
      </w:r>
    </w:p>
    <w:p w:rsidR="00C37BB1" w:rsidRDefault="007C505C">
      <w:pPr>
        <w:spacing w:after="120" w:line="240" w:lineRule="auto"/>
        <w:jc w:val="both"/>
        <w:rPr>
          <w:rFonts w:ascii="Times New Roman" w:hAnsi="Times New Roman"/>
          <w:noProof/>
          <w:sz w:val="24"/>
          <w:szCs w:val="24"/>
        </w:rPr>
      </w:pPr>
      <w:r>
        <w:rPr>
          <w:noProof/>
        </w:rPr>
        <w:br w:type="page"/>
      </w:r>
      <w:r>
        <w:rPr>
          <w:rFonts w:ascii="Times New Roman" w:hAnsi="Times New Roman"/>
          <w:noProof/>
          <w:sz w:val="24"/>
        </w:rPr>
        <w:t xml:space="preserve">Annexe </w:t>
      </w:r>
    </w:p>
    <w:p w:rsidR="00C37BB1" w:rsidRDefault="007C505C">
      <w:pPr>
        <w:jc w:val="center"/>
        <w:rPr>
          <w:b/>
          <w:noProof/>
          <w:u w:val="single"/>
        </w:rPr>
      </w:pPr>
      <w:r>
        <w:rPr>
          <w:b/>
          <w:noProof/>
          <w:u w:val="single"/>
        </w:rPr>
        <w:t>FICHE FINANCIÈRE</w:t>
      </w:r>
    </w:p>
    <w:p w:rsidR="00C37BB1" w:rsidRDefault="007C505C">
      <w:pPr>
        <w:pStyle w:val="Heading1"/>
        <w:rPr>
          <w:noProof/>
        </w:rPr>
      </w:pPr>
      <w:r>
        <w:rPr>
          <w:noProof/>
        </w:rPr>
        <w:t xml:space="preserve">CADRE DE LA PROPOSITION/DE L'INITIATIVE </w:t>
      </w:r>
    </w:p>
    <w:p w:rsidR="00C37BB1" w:rsidRDefault="007C505C">
      <w:pPr>
        <w:pStyle w:val="Heading2"/>
        <w:numPr>
          <w:ilvl w:val="1"/>
          <w:numId w:val="35"/>
        </w:numPr>
        <w:rPr>
          <w:noProof/>
        </w:rPr>
      </w:pPr>
      <w:r>
        <w:rPr>
          <w:noProof/>
        </w:rPr>
        <w:t xml:space="preserve">Dénomination de la proposition/de l'initiative </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Communication conjointe</w:t>
      </w:r>
      <w:r>
        <w:rPr>
          <w:noProof/>
        </w:rPr>
        <w:t xml:space="preserve"> de la Commission et de la haute représentante pour les affaires étrangères et la politique de sécurité: «sur des éléments relatifs à une stratégie régionale de l'UE pour la Syrie et l'Iraq, ainsi que pour la menace que représente Daech»</w:t>
      </w:r>
    </w:p>
    <w:p w:rsidR="00C37BB1" w:rsidRDefault="00C37BB1">
      <w:pPr>
        <w:pStyle w:val="Text1"/>
        <w:rPr>
          <w:noProof/>
        </w:rPr>
      </w:pPr>
    </w:p>
    <w:p w:rsidR="00C37BB1" w:rsidRDefault="007C505C">
      <w:pPr>
        <w:pStyle w:val="Heading2"/>
        <w:numPr>
          <w:ilvl w:val="1"/>
          <w:numId w:val="35"/>
        </w:numPr>
        <w:rPr>
          <w:noProof/>
          <w:szCs w:val="24"/>
        </w:rPr>
      </w:pPr>
      <w:r>
        <w:rPr>
          <w:noProof/>
        </w:rPr>
        <w:t>Domaine(s) politi</w:t>
      </w:r>
      <w:r>
        <w:rPr>
          <w:noProof/>
        </w:rPr>
        <w:t>que(s) concerné(s) dans la structure ABM/ABB</w:t>
      </w:r>
      <w:r>
        <w:rPr>
          <w:rStyle w:val="FootnoteReference"/>
          <w:noProof/>
        </w:rPr>
        <w:footnoteReference w:id="7"/>
      </w:r>
      <w:r>
        <w:rPr>
          <w:i/>
          <w:noProof/>
        </w:rPr>
        <w:t xml:space="preserve"> </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Rubrique 4 – L'Europe dans le monde</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TITRE 19 — INSTRUMENTS DE POLITIQUE ÉTRANGÈRE</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TITRE 21 — DÉVELOPPEMENT ET COOPÉRATION</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TITRE 22 — ÉLARGISSEMENT</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TITRE 23 — AIDE HUMANITAIRE ET PROTECTION CIVILE</w:t>
      </w:r>
    </w:p>
    <w:p w:rsidR="00C37BB1" w:rsidRDefault="007C505C">
      <w:pPr>
        <w:pStyle w:val="Heading2"/>
        <w:numPr>
          <w:ilvl w:val="1"/>
          <w:numId w:val="35"/>
        </w:numPr>
        <w:rPr>
          <w:bCs w:val="0"/>
          <w:noProof/>
          <w:szCs w:val="24"/>
        </w:rPr>
      </w:pPr>
      <w:r>
        <w:rPr>
          <w:noProof/>
        </w:rPr>
        <w:t xml:space="preserve">Nature de la proposition/de l'initiative </w:t>
      </w:r>
    </w:p>
    <w:p w:rsidR="00C37BB1" w:rsidRDefault="007C505C">
      <w:pPr>
        <w:pStyle w:val="Text1"/>
        <w:rPr>
          <w:b/>
          <w:noProof/>
          <w:sz w:val="22"/>
          <w:szCs w:val="22"/>
        </w:rPr>
      </w:pPr>
      <w:r>
        <w:rPr>
          <w:noProof/>
          <w:sz w:val="22"/>
        </w:rPr>
        <w:sym w:font="Wingdings" w:char="F0A8"/>
      </w:r>
      <w:r>
        <w:rPr>
          <w:noProof/>
        </w:rPr>
        <w:t xml:space="preserve"> La proposition/l'initiative porte sur </w:t>
      </w:r>
      <w:r>
        <w:rPr>
          <w:b/>
          <w:noProof/>
        </w:rPr>
        <w:t>une action nouvelle</w:t>
      </w:r>
      <w:r>
        <w:rPr>
          <w:b/>
          <w:noProof/>
          <w:sz w:val="22"/>
        </w:rPr>
        <w:t xml:space="preserve"> </w:t>
      </w:r>
    </w:p>
    <w:p w:rsidR="00C37BB1" w:rsidRDefault="007C505C">
      <w:pPr>
        <w:pStyle w:val="Text1"/>
        <w:rPr>
          <w:noProof/>
          <w:sz w:val="22"/>
          <w:szCs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8"/>
      </w:r>
      <w:r>
        <w:rPr>
          <w:noProof/>
          <w:sz w:val="22"/>
        </w:rPr>
        <w:t xml:space="preserve"> </w:t>
      </w:r>
    </w:p>
    <w:p w:rsidR="00C37BB1" w:rsidRDefault="007C505C">
      <w:pPr>
        <w:pStyle w:val="Text1"/>
        <w:rPr>
          <w:noProof/>
          <w:sz w:val="22"/>
          <w:szCs w:val="22"/>
        </w:rPr>
      </w:pPr>
      <w:r>
        <w:rPr>
          <w:noProof/>
        </w:rPr>
        <w:t>X</w:t>
      </w:r>
      <w:r>
        <w:rPr>
          <w:i/>
          <w:noProof/>
          <w:sz w:val="22"/>
        </w:rPr>
        <w:t xml:space="preserve"> </w:t>
      </w:r>
      <w:r>
        <w:rPr>
          <w:noProof/>
        </w:rPr>
        <w:t>La proposition/l'initiative est relative</w:t>
      </w:r>
      <w:r>
        <w:rPr>
          <w:noProof/>
        </w:rPr>
        <w:t xml:space="preserve"> à </w:t>
      </w:r>
      <w:r>
        <w:rPr>
          <w:b/>
          <w:noProof/>
        </w:rPr>
        <w:t>la prolongation d'une action existante</w:t>
      </w:r>
      <w:r>
        <w:rPr>
          <w:noProof/>
          <w:sz w:val="22"/>
        </w:rPr>
        <w:t xml:space="preserve"> </w:t>
      </w:r>
    </w:p>
    <w:p w:rsidR="00C37BB1" w:rsidRDefault="007C505C">
      <w:pPr>
        <w:pStyle w:val="Text1"/>
        <w:rPr>
          <w:noProof/>
        </w:rPr>
      </w:pPr>
      <w:r>
        <w:rPr>
          <w:noProof/>
          <w:sz w:val="22"/>
        </w:rPr>
        <w:sym w:font="Wingdings" w:char="F0A8"/>
      </w:r>
      <w:r>
        <w:rPr>
          <w:i/>
          <w:noProof/>
          <w:sz w:val="22"/>
        </w:rPr>
        <w:t xml:space="preserve"> </w:t>
      </w:r>
      <w:r>
        <w:rPr>
          <w:noProof/>
        </w:rPr>
        <w:t>La proposition/l'initiative porte sur</w:t>
      </w:r>
      <w:r>
        <w:rPr>
          <w:b/>
          <w:noProof/>
        </w:rPr>
        <w:t xml:space="preserve"> une action réorientée vers une nouvelle action</w:t>
      </w:r>
      <w:r>
        <w:rPr>
          <w:noProof/>
        </w:rPr>
        <w:t xml:space="preserve"> </w:t>
      </w:r>
    </w:p>
    <w:p w:rsidR="00C37BB1" w:rsidRDefault="007C505C">
      <w:pPr>
        <w:pStyle w:val="Heading2"/>
        <w:numPr>
          <w:ilvl w:val="1"/>
          <w:numId w:val="35"/>
        </w:numPr>
        <w:rPr>
          <w:bCs w:val="0"/>
          <w:noProof/>
          <w:szCs w:val="24"/>
        </w:rPr>
      </w:pPr>
      <w:r>
        <w:rPr>
          <w:noProof/>
        </w:rPr>
        <w:t>Objectif(s)</w:t>
      </w:r>
    </w:p>
    <w:p w:rsidR="00C37BB1" w:rsidRDefault="007C505C">
      <w:pPr>
        <w:pStyle w:val="ManualHeading3"/>
        <w:rPr>
          <w:noProof/>
        </w:rPr>
      </w:pPr>
      <w:r>
        <w:t>1.4.1.</w:t>
      </w:r>
      <w:r>
        <w:tab/>
      </w:r>
      <w:r>
        <w:rPr>
          <w:noProof/>
        </w:rPr>
        <w:t xml:space="preserve">Objectif(s) stratégique(s) pluriannuel(s) de la Commission visé(s) par la proposition/l'initiative </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L'Euro</w:t>
      </w:r>
      <w:r>
        <w:rPr>
          <w:noProof/>
        </w:rPr>
        <w:t>pe dans le monde: une Europe plus forte sur la scène internationale</w:t>
      </w:r>
    </w:p>
    <w:p w:rsidR="00C37BB1" w:rsidRDefault="007C505C">
      <w:pPr>
        <w:pStyle w:val="ManualHeading3"/>
        <w:rPr>
          <w:i w:val="0"/>
          <w:noProof/>
        </w:rPr>
      </w:pPr>
      <w:r>
        <w:rPr>
          <w:noProof/>
        </w:rPr>
        <w:tab/>
      </w:r>
      <w:r>
        <w:rPr>
          <w:i w:val="0"/>
          <w:noProof/>
        </w:rPr>
        <w:t>Le Moyen-Orient traverse actuellement une crise grave. Les conflits en Syrie et en Iraq en sont à la fois le reflet et le moteur et sont de plus en plus à même de déstabiliser les pays voisins (dont le pays candidat à l'adhésion à l'UE qu'est la Turquie) e</w:t>
      </w:r>
      <w:r>
        <w:rPr>
          <w:i w:val="0"/>
          <w:noProof/>
        </w:rPr>
        <w:t>t la région dans son ensemble. Ces crises ont généré une catastrophe humanitaire obligeant plus de 13,5 millions de personnes à quitter leur domicile et rendant plus de 17 millions de personnes tributaires de l'aide humanitaire (12,2 millions en Syrie et 5</w:t>
      </w:r>
      <w:r>
        <w:rPr>
          <w:i w:val="0"/>
          <w:noProof/>
        </w:rPr>
        <w:t xml:space="preserve">,2 millions en Iraq). </w:t>
      </w:r>
    </w:p>
    <w:p w:rsidR="00C37BB1" w:rsidRDefault="007C505C">
      <w:pPr>
        <w:pStyle w:val="ManualHeading3"/>
        <w:rPr>
          <w:i w:val="0"/>
          <w:noProof/>
        </w:rPr>
      </w:pPr>
      <w:r>
        <w:rPr>
          <w:noProof/>
        </w:rPr>
        <w:tab/>
      </w:r>
      <w:r>
        <w:rPr>
          <w:i w:val="0"/>
          <w:noProof/>
        </w:rPr>
        <w:t>Après plus de quatre années de violents combats en Syrie, la volonté affichée de Daech d'établir un État différent, à l'idéologie radicale, s'est avérée séduisante pour nombre d'extrémistes de la région et au-delà, en particulier da</w:t>
      </w:r>
      <w:r>
        <w:rPr>
          <w:i w:val="0"/>
          <w:noProof/>
        </w:rPr>
        <w:t xml:space="preserve">ns ces zones de Syrie et d'Iraq où la puissance publique a cessé d'être exercée et où règne un sentiment de marginalisation politique et socioéconomique. </w:t>
      </w:r>
    </w:p>
    <w:p w:rsidR="00C37BB1" w:rsidRDefault="007C505C">
      <w:pPr>
        <w:pStyle w:val="ManualHeading3"/>
        <w:rPr>
          <w:noProof/>
        </w:rPr>
      </w:pPr>
      <w:r>
        <w:rPr>
          <w:noProof/>
        </w:rPr>
        <w:tab/>
      </w:r>
      <w:r>
        <w:rPr>
          <w:i w:val="0"/>
          <w:noProof/>
        </w:rPr>
        <w:t xml:space="preserve">Il incombe à l'UE, en sa qualité d'acteur de poids dans la région, de faire en sorte d'utiliser son </w:t>
      </w:r>
      <w:r>
        <w:rPr>
          <w:i w:val="0"/>
          <w:noProof/>
        </w:rPr>
        <w:t>influence et ses nombreux instruments à bon escient et de manière cohérente afin de protéger des vies humaines, de défendre la dignité humaine et les droits de l'homme et de contribuer à la résolution de ces crises, en concertation étroite avec ses partena</w:t>
      </w:r>
      <w:r>
        <w:rPr>
          <w:i w:val="0"/>
          <w:noProof/>
        </w:rPr>
        <w:t>ires régionaux et internationaux. L'UE a en outre des raisons impérieuses, liées à son intérêt propre, d'accroître son engagement en Syrie, en Iraq et dans les pays voisins.</w:t>
      </w:r>
    </w:p>
    <w:p w:rsidR="00C37BB1" w:rsidRDefault="007C505C">
      <w:pPr>
        <w:pStyle w:val="ManualHeading3"/>
        <w:rPr>
          <w:noProof/>
        </w:rPr>
      </w:pPr>
      <w:r>
        <w:t>1.4.2.</w:t>
      </w:r>
      <w:r>
        <w:tab/>
      </w:r>
      <w:r>
        <w:rPr>
          <w:noProof/>
        </w:rPr>
        <w:t>Objectif(s) spécifique(s) et activité(s) ABM/ABB concernée(s)</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w:t>
      </w:r>
      <w:r>
        <w:rPr>
          <w:noProof/>
          <w:u w:val="single"/>
        </w:rPr>
        <w:t>BM/ABB concernée(s)</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19.02 - Instrument contribuant à la stabilité et à la paix - réaction aux crises, prévention des conflits, consolidation de la paix et préparation aux crises</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21.02 – Instrument de financement de la coopération au développement</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21.03 - I</w:t>
      </w:r>
      <w:r>
        <w:rPr>
          <w:noProof/>
        </w:rPr>
        <w:t>nstrument européen de voisinage (IEV)</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21.04 – IEDDH</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22.02 - Processus et stratégie d'élargissement</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23.02 - Aide humanitaire, aide alimentaire et préparation aux catastrophes</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 liés à l'activité ABM – 19.02</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Dans une situation de crise ou</w:t>
      </w:r>
      <w:r>
        <w:rPr>
          <w:noProof/>
        </w:rPr>
        <w:t xml:space="preserve"> de crise émergente, contribuer rapidement à la stabilité en apportant une réponse efficace conçue pour aider à établir ou restaurer les conditions essentielles permettant la mise en œuvre effective des politiques et des actions extérieures de l'Union conf</w:t>
      </w:r>
      <w:r>
        <w:rPr>
          <w:noProof/>
        </w:rPr>
        <w:t>ormément à l'article 31 du traité sur l'Union européenne.</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 liés à l'activité ABM - 21.02</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 xml:space="preserve">Soutenir le développement durable et inclusif dans les pays et régions partenaires et promouvoir la démocratie, l'État de droit, la bonne </w:t>
      </w:r>
      <w:r>
        <w:rPr>
          <w:noProof/>
        </w:rPr>
        <w:t>gouvernance et le respect des droits de l'homme, ainsi que le prévoit le TUE, avec pour objectif premier d'éradiquer la pauvreté.</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 liés à l'activité ABM - 21.03</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Promouvoir des mesures propres à instaurer la confiance et d'autres mesure</w:t>
      </w:r>
      <w:r>
        <w:rPr>
          <w:noProof/>
        </w:rPr>
        <w:t xml:space="preserve">s contribuant à la sécurité ainsi qu'à la prévention et au règlement des conflits. </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lié à l'activité ABM – 21.04</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Renforcer le respect des droits de l'homme et des libertés fondamentales.</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lié à l'activité ABM – 22.02</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rPr>
        <w:t>Soutenir le développement économique, social et territorial.</w:t>
      </w:r>
      <w:r>
        <w:rPr>
          <w:noProof/>
          <w:u w:val="single"/>
        </w:rPr>
        <w:t xml:space="preserve"> </w:t>
      </w: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 liés à l'activité ABM – 23.02</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Fournir une aide humanitaire vitale et une protection internationale.</w:t>
      </w:r>
    </w:p>
    <w:p w:rsidR="00C37BB1" w:rsidRDefault="00C37BB1">
      <w:pPr>
        <w:pStyle w:val="Text1"/>
        <w:pBdr>
          <w:top w:val="single" w:sz="4" w:space="1" w:color="auto"/>
          <w:left w:val="single" w:sz="4" w:space="4" w:color="auto"/>
          <w:bottom w:val="single" w:sz="4" w:space="1" w:color="auto"/>
          <w:right w:val="single" w:sz="4" w:space="4" w:color="auto"/>
        </w:pBdr>
        <w:rPr>
          <w:noProof/>
        </w:rPr>
      </w:pPr>
    </w:p>
    <w:p w:rsidR="00C37BB1" w:rsidRDefault="007C505C">
      <w:pPr>
        <w:pStyle w:val="Text1"/>
        <w:pBdr>
          <w:top w:val="single" w:sz="4" w:space="1" w:color="auto"/>
          <w:left w:val="single" w:sz="4" w:space="4" w:color="auto"/>
          <w:bottom w:val="single" w:sz="4" w:space="1" w:color="auto"/>
          <w:right w:val="single" w:sz="4" w:space="4" w:color="auto"/>
        </w:pBdr>
        <w:rPr>
          <w:noProof/>
          <w:u w:val="single"/>
        </w:rPr>
      </w:pPr>
      <w:r>
        <w:rPr>
          <w:noProof/>
          <w:u w:val="single"/>
        </w:rPr>
        <w:t>Tous ces instruments prévoient des actions à l'appui des objectifs fixé</w:t>
      </w:r>
      <w:r>
        <w:rPr>
          <w:noProof/>
          <w:u w:val="single"/>
        </w:rPr>
        <w:t xml:space="preserve">s dans la communication concernant: </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Les objectifs communs pour la Syrie, l'Iraq et les autres pays touchés</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1. Promouvoir l'action régionale à l'appui de la sécurité et de la paix à long terme</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2. Isoler et vaincre Daech en tant que force militaire et organ</w:t>
      </w:r>
      <w:r>
        <w:rPr>
          <w:noProof/>
        </w:rPr>
        <w:t>isation terroriste et contrer son influence idéologique</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 xml:space="preserve">3. Prévenir la contagion régionale et renforcer la sécurité des frontières </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4. Fournir une aide humanitaire vitale et une protection internationale.</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5. Renforcer les capacités locales de résilience en</w:t>
      </w:r>
      <w:r>
        <w:rPr>
          <w:noProof/>
        </w:rPr>
        <w:t xml:space="preserve"> Syrie, en Iraq et dans les pays voisins touchés</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En Syrie:</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1. Œuvrer à une transition politique </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2. Renforcer l'opposition modérée et les acteurs de la société civile</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3. Fournir des services de base et contribuer au rétablissement d'une administration dans</w:t>
      </w:r>
      <w:r>
        <w:rPr>
          <w:noProof/>
        </w:rPr>
        <w:t xml:space="preserve"> les zones où la violence a diminué</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4. Promouvoir les droits de l'homme et le droit humanitaire international et veiller au respect de l'obligation de rendre des comptes</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5. Préparer l'avenir</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 xml:space="preserve">En Iraq: </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1. Aider le gouvernement iraquien à faire de l'ouverture une réalité </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2. Soutenir les services de base, le développement économique et la lutte contre la corruption</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 xml:space="preserve">3. Soutenir la consolidation de la paix, la réconciliation nationale et la justice </w:t>
      </w:r>
      <w:r>
        <w:rPr>
          <w:noProof/>
        </w:rPr>
        <w:t>transitionnelle</w:t>
      </w:r>
    </w:p>
    <w:p w:rsidR="00C37BB1" w:rsidRDefault="007C505C">
      <w:pPr>
        <w:pStyle w:val="ManualHeading3"/>
        <w:rPr>
          <w:noProof/>
        </w:rPr>
      </w:pPr>
      <w:r>
        <w:rPr>
          <w:noProof/>
        </w:rPr>
        <w:br w:type="page"/>
      </w:r>
      <w:r>
        <w:tab/>
      </w:r>
    </w:p>
    <w:p w:rsidR="00C37BB1" w:rsidRDefault="007C505C">
      <w:pPr>
        <w:pStyle w:val="Heading2"/>
        <w:numPr>
          <w:ilvl w:val="1"/>
          <w:numId w:val="35"/>
        </w:numPr>
        <w:rPr>
          <w:bCs w:val="0"/>
          <w:noProof/>
          <w:szCs w:val="24"/>
        </w:rPr>
      </w:pPr>
      <w:r>
        <w:rPr>
          <w:noProof/>
        </w:rPr>
        <w:t xml:space="preserve">Justification(s) de la proposition/de l'initiative </w:t>
      </w:r>
    </w:p>
    <w:p w:rsidR="00C37BB1" w:rsidRDefault="007C505C">
      <w:pPr>
        <w:pStyle w:val="ManualHeading3"/>
        <w:rPr>
          <w:noProof/>
        </w:rPr>
      </w:pPr>
      <w:r>
        <w:t>1.5.1.</w:t>
      </w:r>
      <w:r>
        <w:tab/>
      </w:r>
      <w:r>
        <w:rPr>
          <w:noProof/>
        </w:rPr>
        <w:t xml:space="preserve">Besoin(s) à satisfaire à court ou à long terme </w:t>
      </w:r>
    </w:p>
    <w:p w:rsidR="00C37BB1" w:rsidRDefault="007C505C">
      <w:pPr>
        <w:pStyle w:val="Text1"/>
        <w:pBdr>
          <w:top w:val="single" w:sz="4" w:space="1" w:color="auto"/>
          <w:left w:val="single" w:sz="4" w:space="4" w:color="auto"/>
          <w:bottom w:val="single" w:sz="4" w:space="1" w:color="auto"/>
          <w:right w:val="single" w:sz="4" w:space="4" w:color="auto"/>
        </w:pBdr>
        <w:rPr>
          <w:noProof/>
          <w:highlight w:val="yellow"/>
        </w:rPr>
      </w:pPr>
      <w:r>
        <w:rPr>
          <w:noProof/>
        </w:rPr>
        <w:t>L'UE doit veiller à fournir un financement durable et prévisible, à la hauteur des besoins d'une ampleur sans précédent de la régi</w:t>
      </w:r>
      <w:r>
        <w:rPr>
          <w:noProof/>
        </w:rPr>
        <w:t>on.</w:t>
      </w:r>
    </w:p>
    <w:p w:rsidR="00C37BB1" w:rsidRDefault="007C505C">
      <w:pPr>
        <w:pStyle w:val="ManualHeading3"/>
        <w:rPr>
          <w:bCs/>
          <w:noProof/>
          <w:szCs w:val="24"/>
        </w:rPr>
      </w:pPr>
      <w:r>
        <w:t>1.5.2.</w:t>
      </w:r>
      <w:r>
        <w:tab/>
      </w:r>
      <w:r>
        <w:rPr>
          <w:noProof/>
        </w:rPr>
        <w:t>Valeur ajoutée de l'intervention de l'UE</w:t>
      </w:r>
    </w:p>
    <w:p w:rsidR="00C37BB1" w:rsidRDefault="007C505C">
      <w:pPr>
        <w:pStyle w:val="Text1"/>
        <w:pBdr>
          <w:top w:val="single" w:sz="4" w:space="1" w:color="auto"/>
          <w:left w:val="single" w:sz="4" w:space="4" w:color="auto"/>
          <w:bottom w:val="single" w:sz="4" w:space="1" w:color="auto"/>
          <w:right w:val="single" w:sz="4" w:space="4" w:color="auto"/>
        </w:pBdr>
        <w:rPr>
          <w:i/>
          <w:noProof/>
          <w:szCs w:val="24"/>
        </w:rPr>
      </w:pPr>
      <w:r>
        <w:rPr>
          <w:noProof/>
        </w:rPr>
        <w:t>L'UE est déjà aux avant-postes des efforts internationaux déployés pour venir en aide à la population syrienne en particulier. La stratégie proposée tirera parti de la</w:t>
      </w:r>
      <w:r>
        <w:rPr>
          <w:i/>
          <w:noProof/>
        </w:rPr>
        <w:t xml:space="preserve"> stratégie de l'UE concernant la lutt</w:t>
      </w:r>
      <w:r>
        <w:rPr>
          <w:i/>
          <w:noProof/>
        </w:rPr>
        <w:t>e contre le terrorisme et les combattants étrangers</w:t>
      </w:r>
      <w:r>
        <w:rPr>
          <w:noProof/>
        </w:rPr>
        <w:t xml:space="preserve"> et de la communication conjointe intitulée «</w:t>
      </w:r>
      <w:r>
        <w:rPr>
          <w:i/>
          <w:noProof/>
        </w:rPr>
        <w:t>Vers une approche globale de l'UE face à la crise syrienne»</w:t>
      </w:r>
      <w:r>
        <w:rPr>
          <w:noProof/>
        </w:rPr>
        <w:t xml:space="preserve"> et les complétera.</w:t>
      </w:r>
    </w:p>
    <w:p w:rsidR="00C37BB1" w:rsidRDefault="007C505C">
      <w:pPr>
        <w:pStyle w:val="ManualHeading3"/>
        <w:rPr>
          <w:bCs/>
          <w:noProof/>
          <w:szCs w:val="24"/>
        </w:rPr>
      </w:pPr>
      <w:r>
        <w:t>1.5.3.</w:t>
      </w:r>
      <w:r>
        <w:tab/>
      </w:r>
      <w:r>
        <w:rPr>
          <w:noProof/>
        </w:rPr>
        <w:t>Leçons tirées d'expériences similaires</w:t>
      </w:r>
    </w:p>
    <w:p w:rsidR="00C37BB1" w:rsidRDefault="007C505C">
      <w:pPr>
        <w:pStyle w:val="Text1"/>
        <w:pBdr>
          <w:top w:val="single" w:sz="4" w:space="1" w:color="auto"/>
          <w:left w:val="single" w:sz="4" w:space="4" w:color="auto"/>
          <w:bottom w:val="single" w:sz="4" w:space="1" w:color="auto"/>
          <w:right w:val="single" w:sz="4" w:space="4" w:color="auto"/>
        </w:pBdr>
        <w:rPr>
          <w:noProof/>
          <w:szCs w:val="24"/>
        </w:rPr>
      </w:pPr>
      <w:r>
        <w:rPr>
          <w:noProof/>
        </w:rPr>
        <w:t>Plusieurs instruments seront utilis</w:t>
      </w:r>
      <w:r>
        <w:rPr>
          <w:noProof/>
        </w:rPr>
        <w:t>és pour aborder la crise sous différents angles et éviter qu'elle ne s'étende aux pays voisins, à la manière de ce que prévoit la communication conjointe: «Vers une approche globale de l'UE face à la crise syrienne». Il est primordial de bien coordonner la</w:t>
      </w:r>
      <w:r>
        <w:rPr>
          <w:noProof/>
        </w:rPr>
        <w:t xml:space="preserve"> réaction.</w:t>
      </w:r>
    </w:p>
    <w:p w:rsidR="00C37BB1" w:rsidRDefault="007C505C">
      <w:pPr>
        <w:pStyle w:val="ManualHeading3"/>
        <w:rPr>
          <w:bCs/>
          <w:noProof/>
          <w:szCs w:val="24"/>
        </w:rPr>
      </w:pPr>
      <w:r>
        <w:t>1.5.4.</w:t>
      </w:r>
      <w:r>
        <w:tab/>
      </w:r>
      <w:r>
        <w:rPr>
          <w:noProof/>
        </w:rPr>
        <w:t>Compatibilité et synergie éventuelle avec d'autres instruments appropriés</w:t>
      </w:r>
    </w:p>
    <w:p w:rsidR="00C37BB1" w:rsidRDefault="007C505C">
      <w:pPr>
        <w:pStyle w:val="Text1"/>
        <w:pBdr>
          <w:top w:val="single" w:sz="4" w:space="1" w:color="auto"/>
          <w:left w:val="single" w:sz="4" w:space="4" w:color="auto"/>
          <w:bottom w:val="single" w:sz="4" w:space="1" w:color="auto"/>
          <w:right w:val="single" w:sz="4" w:space="4" w:color="auto"/>
        </w:pBdr>
        <w:rPr>
          <w:noProof/>
          <w:highlight w:val="yellow"/>
        </w:rPr>
      </w:pPr>
      <w:r>
        <w:rPr>
          <w:noProof/>
        </w:rPr>
        <w:t>La proposition envisage une combinaison de différents instruments. Les activités prévues</w:t>
      </w:r>
      <w:r>
        <w:t xml:space="preserve"> </w:t>
      </w:r>
      <w:r>
        <w:rPr>
          <w:noProof/>
        </w:rPr>
        <w:t>se renforcent mutuellement et doivent donc, pour l'essentiel, être menées d</w:t>
      </w:r>
      <w:r>
        <w:rPr>
          <w:noProof/>
        </w:rPr>
        <w:t>e front</w:t>
      </w:r>
      <w:r>
        <w:t>.</w:t>
      </w:r>
    </w:p>
    <w:p w:rsidR="00C37BB1" w:rsidRDefault="007C505C">
      <w:pPr>
        <w:pStyle w:val="Heading2"/>
        <w:numPr>
          <w:ilvl w:val="1"/>
          <w:numId w:val="35"/>
        </w:numPr>
        <w:rPr>
          <w:bCs w:val="0"/>
          <w:noProof/>
          <w:szCs w:val="24"/>
        </w:rPr>
      </w:pPr>
      <w:r>
        <w:rPr>
          <w:noProof/>
        </w:rPr>
        <w:t xml:space="preserve">Durée et incidence financière </w:t>
      </w:r>
    </w:p>
    <w:p w:rsidR="00C37BB1" w:rsidRDefault="007C505C">
      <w:pPr>
        <w:pStyle w:val="Text1"/>
        <w:rPr>
          <w:noProof/>
        </w:rPr>
      </w:pPr>
      <w:r>
        <w:rPr>
          <w:noProof/>
        </w:rPr>
        <w:t>X</w:t>
      </w:r>
      <w:r>
        <w:rPr>
          <w:b/>
          <w:i/>
          <w:noProof/>
        </w:rPr>
        <w:t xml:space="preserve"> </w:t>
      </w:r>
      <w:r>
        <w:rPr>
          <w:noProof/>
        </w:rPr>
        <w:t xml:space="preserve">Proposition/initiative à </w:t>
      </w:r>
      <w:r>
        <w:rPr>
          <w:b/>
          <w:noProof/>
        </w:rPr>
        <w:t xml:space="preserve">durée limitée </w:t>
      </w:r>
    </w:p>
    <w:p w:rsidR="00C37BB1" w:rsidRDefault="007C505C">
      <w:pPr>
        <w:pStyle w:val="ListDash2"/>
        <w:rPr>
          <w:noProof/>
        </w:rPr>
      </w:pPr>
      <w:r>
        <w:rPr>
          <w:noProof/>
        </w:rPr>
        <w:t>X</w:t>
      </w:r>
      <w:r>
        <w:rPr>
          <w:noProof/>
        </w:rPr>
        <w:tab/>
        <w:t xml:space="preserve">Proposition/initiative en vigueur en 2015 et 2016 </w:t>
      </w:r>
    </w:p>
    <w:p w:rsidR="00C37BB1" w:rsidRDefault="007C505C">
      <w:pPr>
        <w:pStyle w:val="ListDash2"/>
        <w:rPr>
          <w:noProof/>
        </w:rPr>
      </w:pPr>
      <w:r>
        <w:rPr>
          <w:noProof/>
        </w:rPr>
        <w:t xml:space="preserve">X Incidence financière en 2015 et 2016 </w:t>
      </w:r>
    </w:p>
    <w:p w:rsidR="00C37BB1" w:rsidRDefault="007C505C">
      <w:pPr>
        <w:pStyle w:val="Heading2"/>
        <w:numPr>
          <w:ilvl w:val="1"/>
          <w:numId w:val="35"/>
        </w:numPr>
        <w:rPr>
          <w:bCs w:val="0"/>
          <w:noProof/>
          <w:szCs w:val="24"/>
        </w:rPr>
      </w:pPr>
      <w:r>
        <w:rPr>
          <w:noProof/>
        </w:rPr>
        <w:t>Mode(s) de gestion prévu(s)</w:t>
      </w:r>
      <w:r>
        <w:rPr>
          <w:rStyle w:val="FootnoteReference"/>
          <w:noProof/>
        </w:rPr>
        <w:footnoteReference w:id="9"/>
      </w:r>
      <w:r>
        <w:rPr>
          <w:rStyle w:val="FootnoteReference"/>
          <w:noProof/>
        </w:rPr>
        <w:t xml:space="preserve"> </w:t>
      </w:r>
    </w:p>
    <w:p w:rsidR="00C37BB1" w:rsidRDefault="007C505C">
      <w:pPr>
        <w:pStyle w:val="Text1"/>
        <w:rPr>
          <w:noProof/>
        </w:rPr>
      </w:pPr>
      <w:r>
        <w:rPr>
          <w:noProof/>
        </w:rPr>
        <w:t>X</w:t>
      </w:r>
      <w:r>
        <w:rPr>
          <w:i/>
          <w:noProof/>
        </w:rPr>
        <w:t xml:space="preserve"> </w:t>
      </w:r>
      <w:r>
        <w:rPr>
          <w:b/>
          <w:noProof/>
        </w:rPr>
        <w:t>Gestion directe</w:t>
      </w:r>
      <w:r>
        <w:rPr>
          <w:noProof/>
        </w:rPr>
        <w:t xml:space="preserve"> par la Commission</w:t>
      </w:r>
    </w:p>
    <w:p w:rsidR="00C37BB1" w:rsidRDefault="007C505C">
      <w:pPr>
        <w:pStyle w:val="ListDash2"/>
        <w:rPr>
          <w:rFonts w:cs="EUAlbertina"/>
          <w:noProof/>
        </w:rPr>
      </w:pPr>
      <w:r>
        <w:rPr>
          <w:noProof/>
        </w:rPr>
        <w:t>X</w:t>
      </w:r>
      <w:r>
        <w:rPr>
          <w:noProof/>
        </w:rPr>
        <w:tab/>
        <w:t>Par ses servi</w:t>
      </w:r>
      <w:r>
        <w:rPr>
          <w:noProof/>
        </w:rPr>
        <w:t xml:space="preserve">ces, y compris par l'intermédiaire de son personnel dans les délégations de l'Union; </w:t>
      </w:r>
    </w:p>
    <w:p w:rsidR="00C37BB1" w:rsidRDefault="007C505C">
      <w:pPr>
        <w:pStyle w:val="ListDash2"/>
        <w:rPr>
          <w:noProof/>
        </w:rPr>
      </w:pPr>
      <w:r>
        <w:rPr>
          <w:noProof/>
        </w:rPr>
        <w:t>X</w:t>
      </w:r>
      <w:r>
        <w:rPr>
          <w:noProof/>
        </w:rPr>
        <w:tab/>
        <w:t xml:space="preserve">par les agences exécutives </w:t>
      </w:r>
    </w:p>
    <w:p w:rsidR="00C37BB1" w:rsidRDefault="007C505C">
      <w:pPr>
        <w:pStyle w:val="Text1"/>
        <w:rPr>
          <w:noProof/>
        </w:rPr>
      </w:pPr>
      <w:r>
        <w:rPr>
          <w:noProof/>
        </w:rPr>
        <w:t>X</w:t>
      </w:r>
      <w:r>
        <w:rPr>
          <w:i/>
          <w:noProof/>
        </w:rPr>
        <w:t xml:space="preserve"> </w:t>
      </w:r>
      <w:r>
        <w:rPr>
          <w:b/>
          <w:noProof/>
        </w:rPr>
        <w:t>Gestion indirecte</w:t>
      </w:r>
      <w:r>
        <w:rPr>
          <w:noProof/>
        </w:rPr>
        <w:t xml:space="preserve"> en confiant des tâches d'exécution budgétaire:</w:t>
      </w:r>
    </w:p>
    <w:p w:rsidR="00C37BB1" w:rsidRDefault="007C505C">
      <w:pPr>
        <w:pStyle w:val="ListDash2"/>
        <w:rPr>
          <w:noProof/>
        </w:rPr>
      </w:pPr>
      <w:r>
        <w:rPr>
          <w:noProof/>
        </w:rPr>
        <w:t>X à des pays tiers ou aux organismes qu'ils ont désignés;</w:t>
      </w:r>
    </w:p>
    <w:p w:rsidR="00C37BB1" w:rsidRDefault="007C505C">
      <w:pPr>
        <w:pStyle w:val="ListDash2"/>
        <w:rPr>
          <w:noProof/>
        </w:rPr>
      </w:pPr>
      <w:r>
        <w:rPr>
          <w:noProof/>
        </w:rPr>
        <w:t xml:space="preserve">X à des </w:t>
      </w:r>
      <w:r>
        <w:rPr>
          <w:noProof/>
        </w:rPr>
        <w:t>organisations internationales et à leurs agences (à préciser);</w:t>
      </w:r>
    </w:p>
    <w:p w:rsidR="00C37BB1" w:rsidRDefault="007C505C">
      <w:pPr>
        <w:pStyle w:val="ListDash2"/>
        <w:rPr>
          <w:noProof/>
        </w:rPr>
      </w:pPr>
      <w:r>
        <w:rPr>
          <w:noProof/>
        </w:rPr>
        <w:sym w:font="Wingdings" w:char="F0A8"/>
      </w:r>
      <w:r>
        <w:rPr>
          <w:noProof/>
        </w:rPr>
        <w:t>à la BEI et au Fonds européen d'investissement;</w:t>
      </w:r>
    </w:p>
    <w:p w:rsidR="00C37BB1" w:rsidRDefault="007C505C">
      <w:pPr>
        <w:pStyle w:val="ListDash2"/>
        <w:rPr>
          <w:noProof/>
        </w:rPr>
      </w:pPr>
      <w:r>
        <w:rPr>
          <w:noProof/>
        </w:rPr>
        <w:sym w:font="Wingdings" w:char="F0A8"/>
      </w:r>
      <w:r>
        <w:rPr>
          <w:noProof/>
        </w:rPr>
        <w:t>aux organismes visés aux articles 208 et 209 du règlement financier;</w:t>
      </w:r>
    </w:p>
    <w:p w:rsidR="00C37BB1" w:rsidRDefault="007C505C">
      <w:pPr>
        <w:pStyle w:val="ListDash2"/>
        <w:rPr>
          <w:noProof/>
        </w:rPr>
      </w:pPr>
      <w:r>
        <w:rPr>
          <w:noProof/>
        </w:rPr>
        <w:t>X à des organismes de droit public;</w:t>
      </w:r>
    </w:p>
    <w:p w:rsidR="00C37BB1" w:rsidRDefault="007C505C">
      <w:pPr>
        <w:pStyle w:val="ListDash2"/>
        <w:rPr>
          <w:noProof/>
        </w:rPr>
      </w:pPr>
      <w:r>
        <w:rPr>
          <w:noProof/>
        </w:rPr>
        <w:t xml:space="preserve">X à des organismes de droit privé </w:t>
      </w:r>
      <w:r>
        <w:rPr>
          <w:noProof/>
        </w:rPr>
        <w:t>investis d'une mission de service public, pour autant qu'ils présentent des garanties financières suffisantes;</w:t>
      </w:r>
    </w:p>
    <w:p w:rsidR="00C37BB1" w:rsidRDefault="007C505C">
      <w:pPr>
        <w:pStyle w:val="ListDash2"/>
        <w:rPr>
          <w:noProof/>
        </w:rPr>
      </w:pPr>
      <w:r>
        <w:rPr>
          <w:noProof/>
        </w:rPr>
        <w:sym w:font="Wingdings" w:char="F0A8"/>
      </w:r>
      <w:r>
        <w:rPr>
          <w:noProof/>
        </w:rPr>
        <w:t xml:space="preserve">à des organismes de droit privé d'un État membre qui sont chargés de la mise en œuvre d'un partenariat public-privé et présentent des garanties </w:t>
      </w:r>
      <w:r>
        <w:rPr>
          <w:noProof/>
        </w:rPr>
        <w:t>financières suffisantes;</w:t>
      </w:r>
    </w:p>
    <w:p w:rsidR="00C37BB1" w:rsidRDefault="007C505C">
      <w:pPr>
        <w:pStyle w:val="ListDash2"/>
        <w:rPr>
          <w:noProof/>
        </w:rPr>
      </w:pPr>
      <w:r>
        <w:rPr>
          <w:noProof/>
        </w:rPr>
        <w:sym w:font="Wingdings" w:char="F0A8"/>
      </w:r>
      <w:r>
        <w:rPr>
          <w:noProof/>
        </w:rPr>
        <w:t>à des personnes chargées de l'exécution d'actions spécifiques relevant de la PESC, en vertu du titre V du traité sur l'Union européenne, identifiées dans l'acte de base concerné.</w:t>
      </w:r>
    </w:p>
    <w:p w:rsidR="00C37BB1" w:rsidRDefault="007C505C">
      <w:pPr>
        <w:pStyle w:val="ListDash2"/>
        <w:rPr>
          <w:i/>
          <w:noProof/>
          <w:sz w:val="18"/>
          <w:u w:val="single"/>
        </w:rPr>
      </w:pPr>
      <w:r>
        <w:rPr>
          <w:i/>
          <w:noProof/>
          <w:sz w:val="18"/>
        </w:rPr>
        <w:t>Si plusieurs modes de gestion sont indiqués, veuill</w:t>
      </w:r>
      <w:r>
        <w:rPr>
          <w:i/>
          <w:noProof/>
          <w:sz w:val="18"/>
        </w:rPr>
        <w:t>ez donner des précisions dans la partie «Remarques».</w:t>
      </w:r>
    </w:p>
    <w:p w:rsidR="00C37BB1" w:rsidRDefault="007C505C">
      <w:pPr>
        <w:rPr>
          <w:noProof/>
        </w:rPr>
      </w:pPr>
      <w:r>
        <w:rPr>
          <w:noProof/>
        </w:rPr>
        <w:t xml:space="preserve">Remarques </w:t>
      </w:r>
    </w:p>
    <w:p w:rsidR="00C37BB1" w:rsidRDefault="007C505C">
      <w:pPr>
        <w:pBdr>
          <w:top w:val="single" w:sz="4" w:space="1" w:color="auto"/>
          <w:left w:val="single" w:sz="4" w:space="4" w:color="auto"/>
          <w:bottom w:val="single" w:sz="4" w:space="1" w:color="auto"/>
          <w:right w:val="single" w:sz="4" w:space="4" w:color="auto"/>
        </w:pBdr>
        <w:rPr>
          <w:noProof/>
          <w:szCs w:val="24"/>
        </w:rPr>
      </w:pPr>
      <w:r>
        <w:rPr>
          <w:noProof/>
        </w:rPr>
        <w:t xml:space="preserve">Les modes de gestion seront décidés en fonction de ce que prévoient les instruments pertinents dans le cadre des décisions de financement respectives. </w:t>
      </w:r>
    </w:p>
    <w:p w:rsidR="00C37BB1" w:rsidRDefault="007C505C">
      <w:pPr>
        <w:pStyle w:val="Heading1"/>
        <w:numPr>
          <w:ilvl w:val="0"/>
          <w:numId w:val="35"/>
        </w:numPr>
        <w:rPr>
          <w:bCs w:val="0"/>
          <w:noProof/>
          <w:szCs w:val="24"/>
        </w:rPr>
      </w:pPr>
      <w:r>
        <w:rPr>
          <w:noProof/>
        </w:rPr>
        <w:t xml:space="preserve">MESURES DE GESTION </w:t>
      </w:r>
    </w:p>
    <w:p w:rsidR="00C37BB1" w:rsidRDefault="007C505C">
      <w:pPr>
        <w:pStyle w:val="Heading2"/>
        <w:numPr>
          <w:ilvl w:val="1"/>
          <w:numId w:val="35"/>
        </w:numPr>
        <w:rPr>
          <w:noProof/>
        </w:rPr>
      </w:pPr>
      <w:r>
        <w:rPr>
          <w:noProof/>
        </w:rPr>
        <w:t>Dispositions en mati</w:t>
      </w:r>
      <w:r>
        <w:rPr>
          <w:noProof/>
        </w:rPr>
        <w:t xml:space="preserve">ère de suivi et de compte rendu </w:t>
      </w:r>
    </w:p>
    <w:p w:rsidR="00C37BB1" w:rsidRDefault="007C505C">
      <w:pPr>
        <w:pStyle w:val="Text1"/>
        <w:rPr>
          <w:i/>
          <w:noProof/>
          <w:sz w:val="20"/>
          <w:u w:val="single"/>
        </w:rPr>
      </w:pPr>
      <w:r>
        <w:rPr>
          <w:i/>
          <w:noProof/>
          <w:sz w:val="20"/>
        </w:rPr>
        <w:t>Préciser la fréquence et les conditions de ces dispositions.</w:t>
      </w:r>
    </w:p>
    <w:p w:rsidR="00C37BB1" w:rsidRDefault="007C505C">
      <w:pPr>
        <w:pStyle w:val="Text1"/>
        <w:pBdr>
          <w:top w:val="single" w:sz="4" w:space="1" w:color="auto"/>
          <w:left w:val="single" w:sz="4" w:space="3" w:color="auto"/>
          <w:bottom w:val="single" w:sz="4" w:space="2" w:color="auto"/>
          <w:right w:val="single" w:sz="4" w:space="4" w:color="auto"/>
        </w:pBdr>
        <w:rPr>
          <w:noProof/>
        </w:rPr>
      </w:pPr>
      <w:r>
        <w:rPr>
          <w:noProof/>
        </w:rPr>
        <w:t>Les dispositions en matière de suivi et de compte rendu prévues dans les bases légales pertinentes seront appliquées.</w:t>
      </w:r>
    </w:p>
    <w:p w:rsidR="00C37BB1" w:rsidRDefault="007C505C">
      <w:pPr>
        <w:pStyle w:val="Heading2"/>
        <w:numPr>
          <w:ilvl w:val="1"/>
          <w:numId w:val="35"/>
        </w:numPr>
        <w:rPr>
          <w:bCs w:val="0"/>
          <w:noProof/>
          <w:szCs w:val="24"/>
        </w:rPr>
      </w:pPr>
      <w:r>
        <w:rPr>
          <w:noProof/>
        </w:rPr>
        <w:t xml:space="preserve">Système de gestion et de contrôle </w:t>
      </w:r>
    </w:p>
    <w:p w:rsidR="00C37BB1" w:rsidRDefault="007C505C">
      <w:pPr>
        <w:pStyle w:val="ManualHeading3"/>
        <w:rPr>
          <w:noProof/>
        </w:rPr>
      </w:pPr>
      <w:r>
        <w:t>2.2.1.</w:t>
      </w:r>
      <w:r>
        <w:tab/>
      </w:r>
      <w:r>
        <w:rPr>
          <w:noProof/>
        </w:rPr>
        <w:t>Ri</w:t>
      </w:r>
      <w:r>
        <w:rPr>
          <w:noProof/>
        </w:rPr>
        <w:t xml:space="preserve">sque(s) identifié(s) </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1) Le manque de stabilité politique et administrative dans les pays partenaires peut entraîner des difficultés dans la conception des programmes, des retards dans la mise à disposition des fonds et une perte d'efficacité;</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 xml:space="preserve">2) la circulation insuffisante des informations peut entraver le règlement des problèmes liés à la gestion de l'aide. </w:t>
      </w:r>
    </w:p>
    <w:p w:rsidR="00C37BB1" w:rsidRDefault="007C505C">
      <w:pPr>
        <w:pStyle w:val="ManualHeading3"/>
        <w:rPr>
          <w:bCs/>
          <w:noProof/>
          <w:szCs w:val="24"/>
        </w:rPr>
      </w:pPr>
      <w:r>
        <w:t>2.2.2.</w:t>
      </w:r>
      <w:r>
        <w:tab/>
      </w:r>
      <w:r>
        <w:rPr>
          <w:noProof/>
        </w:rPr>
        <w:t>Informations concernant le système de contrôle interne mis en place</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Les moyens de contrôle prévus sont conformes aux normes de con</w:t>
      </w:r>
      <w:r>
        <w:rPr>
          <w:noProof/>
        </w:rPr>
        <w:t>trôle interne de la Commission, telles que définies dans les plans de gestion des services concernés.</w:t>
      </w:r>
    </w:p>
    <w:p w:rsidR="00C37BB1" w:rsidRDefault="007C505C">
      <w:pPr>
        <w:pStyle w:val="Text1"/>
        <w:pBdr>
          <w:top w:val="single" w:sz="4" w:space="1" w:color="auto"/>
          <w:left w:val="single" w:sz="4" w:space="4" w:color="auto"/>
          <w:bottom w:val="single" w:sz="4" w:space="1" w:color="auto"/>
          <w:right w:val="single" w:sz="4" w:space="4" w:color="auto"/>
        </w:pBdr>
        <w:rPr>
          <w:noProof/>
        </w:rPr>
      </w:pPr>
      <w:r>
        <w:rPr>
          <w:noProof/>
        </w:rPr>
        <w:t xml:space="preserve">Dans le domaine de l'aide humanitaire, il existe un système de contrôle efficace dans lequel des experts externes procèdent à des évaluations </w:t>
      </w:r>
      <w:r>
        <w:rPr>
          <w:i/>
          <w:noProof/>
        </w:rPr>
        <w:t>ex ante</w:t>
      </w:r>
      <w:r>
        <w:rPr>
          <w:noProof/>
        </w:rPr>
        <w:t xml:space="preserve"> des </w:t>
      </w:r>
      <w:r>
        <w:rPr>
          <w:noProof/>
        </w:rPr>
        <w:t xml:space="preserve">projets, au suivi et à des évaluations </w:t>
      </w:r>
      <w:r>
        <w:rPr>
          <w:i/>
          <w:noProof/>
        </w:rPr>
        <w:t>ex post</w:t>
      </w:r>
      <w:r>
        <w:rPr>
          <w:noProof/>
        </w:rPr>
        <w:t xml:space="preserve">. Les projets humanitaires font l'objet d'un contrôle extérieur. </w:t>
      </w:r>
    </w:p>
    <w:p w:rsidR="00C37BB1" w:rsidRDefault="007C505C">
      <w:pPr>
        <w:pStyle w:val="Heading2"/>
        <w:numPr>
          <w:ilvl w:val="1"/>
          <w:numId w:val="35"/>
        </w:numPr>
        <w:rPr>
          <w:bCs w:val="0"/>
          <w:noProof/>
          <w:szCs w:val="24"/>
        </w:rPr>
      </w:pPr>
      <w:r>
        <w:rPr>
          <w:noProof/>
        </w:rPr>
        <w:t xml:space="preserve">Mesures de prévention des fraudes et irrégularités </w:t>
      </w:r>
    </w:p>
    <w:p w:rsidR="00C37BB1" w:rsidRDefault="007C505C">
      <w:pPr>
        <w:pStyle w:val="Text1"/>
        <w:rPr>
          <w:i/>
          <w:noProof/>
          <w:sz w:val="20"/>
        </w:rPr>
      </w:pPr>
      <w:r>
        <w:rPr>
          <w:i/>
          <w:noProof/>
          <w:sz w:val="20"/>
        </w:rPr>
        <w:t>Préciser les mesures de prévention et de protection existantes ou envisagées.</w:t>
      </w:r>
    </w:p>
    <w:p w:rsidR="00C37BB1" w:rsidRDefault="007C505C">
      <w:pPr>
        <w:pStyle w:val="Text1"/>
        <w:pBdr>
          <w:top w:val="single" w:sz="4" w:space="1" w:color="auto"/>
          <w:left w:val="single" w:sz="4" w:space="3" w:color="auto"/>
          <w:bottom w:val="single" w:sz="4" w:space="2" w:color="auto"/>
          <w:right w:val="single" w:sz="4" w:space="4" w:color="auto"/>
        </w:pBdr>
        <w:rPr>
          <w:i/>
          <w:noProof/>
        </w:rPr>
      </w:pPr>
      <w:r>
        <w:rPr>
          <w:noProof/>
        </w:rPr>
        <w:t xml:space="preserve">La protection </w:t>
      </w:r>
      <w:r>
        <w:rPr>
          <w:noProof/>
        </w:rPr>
        <w:t>des intérêts financiers de l'Union européenne et la lutte contre les fraudes et les irrégularités sont pleinement inscrites dans les bases légales pertinentes. Le suivi administratif des marchés et des paiements relève de la responsabilité de l'ordonnateur</w:t>
      </w:r>
      <w:r>
        <w:rPr>
          <w:noProof/>
        </w:rPr>
        <w:t xml:space="preserve"> compétent, tandis que, pour l'aide humanitaire, la responsabilité incombe au siège, assisté par les experts d'ECHO sur le terrain. Une attention particulière sera accordée à la nature des dépenses (admissibilité), au respect des budgets (dépense réelle) e</w:t>
      </w:r>
      <w:r>
        <w:rPr>
          <w:noProof/>
        </w:rPr>
        <w:t>t aux informations et justificatifs (preuve de la dépense).</w:t>
      </w:r>
    </w:p>
    <w:p w:rsidR="00C37BB1" w:rsidRDefault="00C37BB1">
      <w:pPr>
        <w:rPr>
          <w:noProof/>
        </w:rPr>
        <w:sectPr w:rsidR="00C37BB1">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09" w:footer="709" w:gutter="0"/>
          <w:pgNumType w:start="2"/>
          <w:cols w:space="708"/>
          <w:docGrid w:linePitch="360"/>
        </w:sectPr>
      </w:pPr>
    </w:p>
    <w:p w:rsidR="00C37BB1" w:rsidRDefault="007C505C">
      <w:pPr>
        <w:pStyle w:val="Heading1"/>
        <w:numPr>
          <w:ilvl w:val="0"/>
          <w:numId w:val="35"/>
        </w:numPr>
        <w:rPr>
          <w:bCs w:val="0"/>
          <w:noProof/>
          <w:szCs w:val="24"/>
        </w:rPr>
      </w:pPr>
      <w:r>
        <w:rPr>
          <w:noProof/>
        </w:rPr>
        <w:t xml:space="preserve">INCIDENCE FINANCIÈRE ESTIMÉE DE LA PROPOSITION/DE L'INITIATIVE </w:t>
      </w:r>
    </w:p>
    <w:p w:rsidR="00C37BB1" w:rsidRDefault="007C505C">
      <w:pPr>
        <w:pStyle w:val="Heading2"/>
        <w:numPr>
          <w:ilvl w:val="1"/>
          <w:numId w:val="35"/>
        </w:numPr>
        <w:rPr>
          <w:noProof/>
        </w:rPr>
      </w:pPr>
      <w:r>
        <w:rPr>
          <w:noProof/>
        </w:rPr>
        <w:t>Rubrique(s) du cadre financier pluriannuel et ligne(s) budgétaire(</w:t>
      </w:r>
      <w:r>
        <w:rPr>
          <w:noProof/>
        </w:rPr>
        <w:t xml:space="preserve">s) de dépenses concernée(s) </w:t>
      </w:r>
    </w:p>
    <w:p w:rsidR="00C37BB1" w:rsidRDefault="007C505C">
      <w:pPr>
        <w:pStyle w:val="ListBullet1"/>
        <w:rPr>
          <w:noProof/>
        </w:rPr>
      </w:pPr>
      <w:r>
        <w:rPr>
          <w:noProof/>
        </w:rPr>
        <w:t xml:space="preserve">Lignes budgétaires existantes </w:t>
      </w:r>
    </w:p>
    <w:p w:rsidR="00C37BB1" w:rsidRDefault="007C505C">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37BB1">
        <w:tc>
          <w:tcPr>
            <w:tcW w:w="1080" w:type="dxa"/>
            <w:vMerge w:val="restart"/>
            <w:vAlign w:val="center"/>
          </w:tcPr>
          <w:p w:rsidR="00C37BB1" w:rsidRDefault="007C505C">
            <w:pPr>
              <w:spacing w:before="60" w:after="60"/>
              <w:jc w:val="center"/>
              <w:rPr>
                <w:noProof/>
              </w:rPr>
            </w:pPr>
            <w:r>
              <w:rPr>
                <w:noProof/>
                <w:sz w:val="18"/>
              </w:rPr>
              <w:t>Rubrique du cadre financier pluriannuel</w:t>
            </w:r>
          </w:p>
        </w:tc>
        <w:tc>
          <w:tcPr>
            <w:tcW w:w="3960" w:type="dxa"/>
            <w:vAlign w:val="center"/>
          </w:tcPr>
          <w:p w:rsidR="00C37BB1" w:rsidRDefault="007C505C">
            <w:pPr>
              <w:spacing w:before="60" w:after="60"/>
              <w:jc w:val="center"/>
              <w:rPr>
                <w:noProof/>
              </w:rPr>
            </w:pPr>
            <w:r>
              <w:rPr>
                <w:noProof/>
                <w:sz w:val="20"/>
              </w:rPr>
              <w:t>Ligne budgétaire</w:t>
            </w:r>
          </w:p>
        </w:tc>
        <w:tc>
          <w:tcPr>
            <w:tcW w:w="1080" w:type="dxa"/>
            <w:vAlign w:val="center"/>
          </w:tcPr>
          <w:p w:rsidR="00C37BB1" w:rsidRDefault="007C505C">
            <w:pPr>
              <w:spacing w:before="60" w:after="60"/>
              <w:jc w:val="center"/>
              <w:rPr>
                <w:noProof/>
              </w:rPr>
            </w:pPr>
            <w:r>
              <w:rPr>
                <w:noProof/>
                <w:sz w:val="18"/>
              </w:rPr>
              <w:t xml:space="preserve">Nature de </w:t>
            </w:r>
            <w:r>
              <w:rPr>
                <w:noProof/>
              </w:rPr>
              <w:br/>
            </w:r>
            <w:r>
              <w:rPr>
                <w:noProof/>
                <w:sz w:val="18"/>
              </w:rPr>
              <w:t>la dépense</w:t>
            </w:r>
          </w:p>
        </w:tc>
        <w:tc>
          <w:tcPr>
            <w:tcW w:w="4440" w:type="dxa"/>
            <w:gridSpan w:val="4"/>
            <w:vAlign w:val="center"/>
          </w:tcPr>
          <w:p w:rsidR="00C37BB1" w:rsidRDefault="007C505C">
            <w:pPr>
              <w:spacing w:before="60" w:after="60"/>
              <w:jc w:val="center"/>
              <w:rPr>
                <w:noProof/>
              </w:rPr>
            </w:pPr>
            <w:r>
              <w:rPr>
                <w:noProof/>
                <w:sz w:val="20"/>
              </w:rPr>
              <w:t xml:space="preserve">Participation </w:t>
            </w:r>
          </w:p>
        </w:tc>
      </w:tr>
      <w:tr w:rsidR="00C37BB1">
        <w:tc>
          <w:tcPr>
            <w:tcW w:w="1080" w:type="dxa"/>
            <w:vMerge/>
            <w:vAlign w:val="center"/>
          </w:tcPr>
          <w:p w:rsidR="00C37BB1" w:rsidRDefault="00C37BB1">
            <w:pPr>
              <w:jc w:val="center"/>
              <w:rPr>
                <w:noProof/>
              </w:rPr>
            </w:pPr>
          </w:p>
        </w:tc>
        <w:tc>
          <w:tcPr>
            <w:tcW w:w="3960" w:type="dxa"/>
            <w:vAlign w:val="center"/>
          </w:tcPr>
          <w:p w:rsidR="00C37BB1" w:rsidRDefault="007C505C">
            <w:pPr>
              <w:rPr>
                <w:noProof/>
              </w:rPr>
            </w:pPr>
            <w:r>
              <w:rPr>
                <w:noProof/>
                <w:sz w:val="20"/>
              </w:rPr>
              <w:t xml:space="preserve">Numéro </w:t>
            </w:r>
            <w:r>
              <w:rPr>
                <w:noProof/>
              </w:rPr>
              <w:br/>
            </w:r>
            <w:r>
              <w:rPr>
                <w:noProof/>
                <w:sz w:val="20"/>
              </w:rPr>
              <w:t>[Libellé………………………...……………]</w:t>
            </w:r>
          </w:p>
        </w:tc>
        <w:tc>
          <w:tcPr>
            <w:tcW w:w="1080" w:type="dxa"/>
            <w:vAlign w:val="center"/>
          </w:tcPr>
          <w:p w:rsidR="00C37BB1" w:rsidRDefault="007C505C">
            <w:pPr>
              <w:jc w:val="center"/>
              <w:rPr>
                <w:noProof/>
              </w:rPr>
            </w:pPr>
            <w:r>
              <w:rPr>
                <w:noProof/>
              </w:rPr>
              <w:t>CD/CND</w:t>
            </w:r>
            <w:r>
              <w:rPr>
                <w:rStyle w:val="FootnoteReference"/>
                <w:noProof/>
                <w:sz w:val="18"/>
              </w:rPr>
              <w:footnoteReference w:id="10"/>
            </w:r>
            <w:r>
              <w:rPr>
                <w:noProof/>
              </w:rPr>
              <w:t>.</w:t>
            </w:r>
          </w:p>
        </w:tc>
        <w:tc>
          <w:tcPr>
            <w:tcW w:w="956" w:type="dxa"/>
            <w:vAlign w:val="center"/>
          </w:tcPr>
          <w:p w:rsidR="00C37BB1" w:rsidRDefault="007C505C">
            <w:pPr>
              <w:jc w:val="center"/>
              <w:rPr>
                <w:noProof/>
              </w:rPr>
            </w:pPr>
            <w:r>
              <w:rPr>
                <w:noProof/>
                <w:sz w:val="18"/>
              </w:rPr>
              <w:t>de pays AELE</w:t>
            </w:r>
            <w:r>
              <w:rPr>
                <w:rStyle w:val="FootnoteReference"/>
                <w:noProof/>
                <w:sz w:val="18"/>
              </w:rPr>
              <w:footnoteReference w:id="11"/>
            </w:r>
          </w:p>
          <w:p w:rsidR="00C37BB1" w:rsidRDefault="00C37BB1">
            <w:pPr>
              <w:spacing w:after="0"/>
              <w:jc w:val="center"/>
              <w:rPr>
                <w:b/>
                <w:noProof/>
                <w:sz w:val="18"/>
              </w:rPr>
            </w:pPr>
          </w:p>
        </w:tc>
        <w:tc>
          <w:tcPr>
            <w:tcW w:w="1080" w:type="dxa"/>
            <w:vAlign w:val="center"/>
          </w:tcPr>
          <w:p w:rsidR="00C37BB1" w:rsidRDefault="007C505C">
            <w:pPr>
              <w:jc w:val="center"/>
              <w:rPr>
                <w:noProof/>
              </w:rPr>
            </w:pPr>
            <w:r>
              <w:rPr>
                <w:noProof/>
                <w:sz w:val="18"/>
              </w:rPr>
              <w:t>de pays candidats</w:t>
            </w:r>
            <w:r>
              <w:rPr>
                <w:rStyle w:val="FootnoteReference"/>
                <w:noProof/>
                <w:sz w:val="18"/>
              </w:rPr>
              <w:footnoteReference w:id="12"/>
            </w:r>
          </w:p>
          <w:p w:rsidR="00C37BB1" w:rsidRDefault="00C37BB1">
            <w:pPr>
              <w:spacing w:after="0"/>
              <w:jc w:val="center"/>
              <w:rPr>
                <w:noProof/>
                <w:sz w:val="18"/>
              </w:rPr>
            </w:pPr>
          </w:p>
        </w:tc>
        <w:tc>
          <w:tcPr>
            <w:tcW w:w="956" w:type="dxa"/>
            <w:vAlign w:val="center"/>
          </w:tcPr>
          <w:p w:rsidR="00C37BB1" w:rsidRDefault="007C505C">
            <w:pPr>
              <w:jc w:val="center"/>
              <w:rPr>
                <w:noProof/>
                <w:sz w:val="18"/>
              </w:rPr>
            </w:pPr>
            <w:r>
              <w:rPr>
                <w:noProof/>
                <w:sz w:val="18"/>
              </w:rPr>
              <w:t>de pays tiers</w:t>
            </w:r>
          </w:p>
        </w:tc>
        <w:tc>
          <w:tcPr>
            <w:tcW w:w="1448" w:type="dxa"/>
            <w:vAlign w:val="center"/>
          </w:tcPr>
          <w:p w:rsidR="00C37BB1" w:rsidRDefault="007C505C">
            <w:pPr>
              <w:jc w:val="center"/>
              <w:rPr>
                <w:noProof/>
              </w:rPr>
            </w:pPr>
            <w:r>
              <w:rPr>
                <w:noProof/>
                <w:sz w:val="16"/>
              </w:rPr>
              <w:t xml:space="preserve">au sens de l'article 21, paragraphe 2, point b), du règlement financier </w:t>
            </w:r>
          </w:p>
        </w:tc>
      </w:tr>
      <w:tr w:rsidR="00C37BB1">
        <w:tc>
          <w:tcPr>
            <w:tcW w:w="1080" w:type="dxa"/>
            <w:vAlign w:val="center"/>
          </w:tcPr>
          <w:p w:rsidR="00C37BB1" w:rsidRDefault="007C505C">
            <w:pPr>
              <w:jc w:val="center"/>
              <w:rPr>
                <w:noProof/>
              </w:rPr>
            </w:pPr>
            <w:r>
              <w:rPr>
                <w:noProof/>
              </w:rPr>
              <w:t>4.</w:t>
            </w:r>
          </w:p>
        </w:tc>
        <w:tc>
          <w:tcPr>
            <w:tcW w:w="3960" w:type="dxa"/>
            <w:vAlign w:val="center"/>
          </w:tcPr>
          <w:p w:rsidR="00C37BB1" w:rsidRDefault="007C505C">
            <w:pPr>
              <w:spacing w:after="60"/>
              <w:rPr>
                <w:noProof/>
              </w:rPr>
            </w:pPr>
            <w:r>
              <w:rPr>
                <w:noProof/>
              </w:rPr>
              <w:t xml:space="preserve">23 02 01 HUMA - Aide humanitaire </w:t>
            </w:r>
          </w:p>
        </w:tc>
        <w:tc>
          <w:tcPr>
            <w:tcW w:w="1080" w:type="dxa"/>
            <w:vAlign w:val="center"/>
          </w:tcPr>
          <w:p w:rsidR="00C37BB1" w:rsidRDefault="007C505C">
            <w:pPr>
              <w:jc w:val="center"/>
              <w:rPr>
                <w:noProof/>
                <w:color w:val="0000FF"/>
              </w:rPr>
            </w:pPr>
            <w:r>
              <w:rPr>
                <w:noProof/>
              </w:rPr>
              <w:t>CD/CND</w:t>
            </w:r>
          </w:p>
        </w:tc>
        <w:tc>
          <w:tcPr>
            <w:tcW w:w="956" w:type="dxa"/>
            <w:vAlign w:val="center"/>
          </w:tcPr>
          <w:p w:rsidR="00C37BB1" w:rsidRDefault="007C505C">
            <w:pPr>
              <w:jc w:val="center"/>
              <w:rPr>
                <w:noProof/>
              </w:rPr>
            </w:pPr>
            <w:r>
              <w:rPr>
                <w:noProof/>
              </w:rPr>
              <w:t>NON</w:t>
            </w:r>
          </w:p>
        </w:tc>
        <w:tc>
          <w:tcPr>
            <w:tcW w:w="1080" w:type="dxa"/>
            <w:vAlign w:val="center"/>
          </w:tcPr>
          <w:p w:rsidR="00C37BB1" w:rsidRDefault="007C505C">
            <w:pPr>
              <w:jc w:val="center"/>
              <w:rPr>
                <w:noProof/>
              </w:rPr>
            </w:pPr>
            <w:r>
              <w:rPr>
                <w:noProof/>
              </w:rPr>
              <w:t>NON</w:t>
            </w:r>
          </w:p>
        </w:tc>
        <w:tc>
          <w:tcPr>
            <w:tcW w:w="956" w:type="dxa"/>
            <w:vAlign w:val="center"/>
          </w:tcPr>
          <w:p w:rsidR="00C37BB1" w:rsidRDefault="007C505C">
            <w:pPr>
              <w:jc w:val="center"/>
              <w:rPr>
                <w:noProof/>
              </w:rPr>
            </w:pPr>
            <w:r>
              <w:rPr>
                <w:noProof/>
              </w:rPr>
              <w:t>NON</w:t>
            </w:r>
          </w:p>
        </w:tc>
        <w:tc>
          <w:tcPr>
            <w:tcW w:w="1448" w:type="dxa"/>
            <w:vAlign w:val="center"/>
          </w:tcPr>
          <w:p w:rsidR="00C37BB1" w:rsidRDefault="007C505C">
            <w:pPr>
              <w:jc w:val="center"/>
              <w:rPr>
                <w:noProof/>
              </w:rPr>
            </w:pPr>
            <w:r>
              <w:rPr>
                <w:noProof/>
              </w:rPr>
              <w:t>NON</w:t>
            </w:r>
          </w:p>
        </w:tc>
      </w:tr>
      <w:tr w:rsidR="00C37BB1">
        <w:tc>
          <w:tcPr>
            <w:tcW w:w="1080" w:type="dxa"/>
            <w:tcBorders>
              <w:top w:val="single" w:sz="4" w:space="0" w:color="auto"/>
              <w:left w:val="single" w:sz="4" w:space="0" w:color="auto"/>
              <w:bottom w:val="single" w:sz="4" w:space="0" w:color="auto"/>
              <w:right w:val="single" w:sz="4" w:space="0" w:color="auto"/>
            </w:tcBorders>
            <w:vAlign w:val="center"/>
          </w:tcPr>
          <w:p w:rsidR="00C37BB1" w:rsidRDefault="00C37BB1">
            <w:pPr>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rsidR="00C37BB1" w:rsidRDefault="00C37BB1">
            <w:pPr>
              <w:spacing w:after="60"/>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C37BB1" w:rsidRDefault="00C37BB1">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C37BB1" w:rsidRDefault="00C37BB1">
            <w:pPr>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C37BB1" w:rsidRDefault="00C37BB1">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C37BB1" w:rsidRDefault="00C37BB1">
            <w:pPr>
              <w:jc w:val="center"/>
              <w:rPr>
                <w:noProof/>
              </w:rPr>
            </w:pPr>
          </w:p>
        </w:tc>
        <w:tc>
          <w:tcPr>
            <w:tcW w:w="1448" w:type="dxa"/>
            <w:tcBorders>
              <w:top w:val="single" w:sz="4" w:space="0" w:color="auto"/>
              <w:left w:val="single" w:sz="4" w:space="0" w:color="auto"/>
              <w:bottom w:val="single" w:sz="4" w:space="0" w:color="auto"/>
              <w:right w:val="single" w:sz="4" w:space="0" w:color="auto"/>
            </w:tcBorders>
            <w:vAlign w:val="center"/>
          </w:tcPr>
          <w:p w:rsidR="00C37BB1" w:rsidRDefault="00C37BB1">
            <w:pPr>
              <w:jc w:val="center"/>
              <w:rPr>
                <w:noProof/>
              </w:rPr>
            </w:pPr>
          </w:p>
        </w:tc>
      </w:tr>
    </w:tbl>
    <w:p w:rsidR="00C37BB1" w:rsidRDefault="007C505C">
      <w:pPr>
        <w:pStyle w:val="Heading2"/>
        <w:numPr>
          <w:ilvl w:val="1"/>
          <w:numId w:val="35"/>
        </w:numPr>
        <w:rPr>
          <w:bCs w:val="0"/>
          <w:noProof/>
          <w:szCs w:val="24"/>
        </w:rPr>
      </w:pPr>
      <w:r>
        <w:rPr>
          <w:noProof/>
        </w:rPr>
        <w:t xml:space="preserve">Incidence estimée sur les dépenses </w:t>
      </w:r>
    </w:p>
    <w:p w:rsidR="00C37BB1" w:rsidRDefault="00C37BB1">
      <w:pPr>
        <w:pStyle w:val="Text1"/>
        <w:ind w:left="0"/>
        <w:rPr>
          <w:noProof/>
        </w:rPr>
      </w:pPr>
    </w:p>
    <w:p w:rsidR="00C37BB1" w:rsidRDefault="007C505C">
      <w:pPr>
        <w:pStyle w:val="ManualHeading3"/>
        <w:rPr>
          <w:noProof/>
          <w:u w:val="single"/>
        </w:rPr>
      </w:pPr>
      <w:r>
        <w:t>3.2.1.</w:t>
      </w:r>
      <w:r>
        <w:tab/>
      </w:r>
      <w:r>
        <w:rPr>
          <w:noProof/>
        </w:rPr>
        <w:t xml:space="preserve">Synthèse de l'incidence estimée sur les dépenses </w:t>
      </w:r>
    </w:p>
    <w:p w:rsidR="00C37BB1" w:rsidRDefault="007C505C">
      <w:pPr>
        <w:jc w:val="right"/>
        <w:rPr>
          <w:noProof/>
          <w:sz w:val="20"/>
        </w:rPr>
      </w:pPr>
      <w:r>
        <w:rPr>
          <w:noProof/>
          <w:sz w:val="20"/>
        </w:rPr>
        <w:t>En millions d'euros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37BB1">
        <w:trPr>
          <w:jc w:val="center"/>
        </w:trPr>
        <w:tc>
          <w:tcPr>
            <w:tcW w:w="4744" w:type="dxa"/>
            <w:shd w:val="thinDiagStripe" w:color="C0C0C0" w:fill="auto"/>
            <w:vAlign w:val="center"/>
          </w:tcPr>
          <w:p w:rsidR="00C37BB1" w:rsidRDefault="007C505C">
            <w:pPr>
              <w:spacing w:before="60" w:after="60"/>
              <w:jc w:val="center"/>
              <w:rPr>
                <w:b/>
                <w:noProof/>
              </w:rPr>
            </w:pPr>
            <w:r>
              <w:rPr>
                <w:b/>
                <w:noProof/>
              </w:rPr>
              <w:t xml:space="preserve">Rubrique du cadre financier </w:t>
            </w:r>
            <w:r>
              <w:rPr>
                <w:noProof/>
              </w:rPr>
              <w:br/>
            </w:r>
            <w:r>
              <w:rPr>
                <w:b/>
                <w:noProof/>
              </w:rPr>
              <w:t xml:space="preserve">pluriannuel </w:t>
            </w:r>
          </w:p>
        </w:tc>
        <w:tc>
          <w:tcPr>
            <w:tcW w:w="1080" w:type="dxa"/>
            <w:vAlign w:val="center"/>
          </w:tcPr>
          <w:p w:rsidR="00C37BB1" w:rsidRDefault="007C505C">
            <w:pPr>
              <w:spacing w:before="60" w:after="60"/>
              <w:jc w:val="center"/>
              <w:rPr>
                <w:noProof/>
              </w:rPr>
            </w:pPr>
            <w:r>
              <w:rPr>
                <w:noProof/>
              </w:rPr>
              <w:t>Numéro</w:t>
            </w:r>
          </w:p>
        </w:tc>
        <w:tc>
          <w:tcPr>
            <w:tcW w:w="7817" w:type="dxa"/>
            <w:vAlign w:val="center"/>
          </w:tcPr>
          <w:p w:rsidR="00C37BB1" w:rsidRDefault="007C505C">
            <w:pPr>
              <w:spacing w:before="60" w:after="60"/>
              <w:rPr>
                <w:noProof/>
              </w:rPr>
            </w:pPr>
            <w:r>
              <w:rPr>
                <w:noProof/>
              </w:rPr>
              <w:t>Rubrique 4: L'Europe dans le monde</w:t>
            </w:r>
          </w:p>
        </w:tc>
      </w:tr>
    </w:tbl>
    <w:p w:rsidR="00C37BB1" w:rsidRDefault="00C37BB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C37BB1">
        <w:tc>
          <w:tcPr>
            <w:tcW w:w="3960" w:type="dxa"/>
            <w:vAlign w:val="center"/>
          </w:tcPr>
          <w:p w:rsidR="00C37BB1" w:rsidRDefault="007C505C">
            <w:pPr>
              <w:jc w:val="center"/>
              <w:rPr>
                <w:noProof/>
              </w:rPr>
            </w:pPr>
            <w:r>
              <w:rPr>
                <w:noProof/>
              </w:rPr>
              <w:t>DG: ECHO</w:t>
            </w:r>
          </w:p>
        </w:tc>
        <w:tc>
          <w:tcPr>
            <w:tcW w:w="1560" w:type="dxa"/>
            <w:gridSpan w:val="2"/>
          </w:tcPr>
          <w:p w:rsidR="00C37BB1" w:rsidRDefault="00C37BB1">
            <w:pPr>
              <w:rPr>
                <w:noProof/>
                <w:sz w:val="20"/>
              </w:rPr>
            </w:pPr>
          </w:p>
        </w:tc>
        <w:tc>
          <w:tcPr>
            <w:tcW w:w="534" w:type="dxa"/>
          </w:tcPr>
          <w:p w:rsidR="00C37BB1" w:rsidRDefault="00C37BB1">
            <w:pPr>
              <w:jc w:val="center"/>
              <w:rPr>
                <w:noProof/>
                <w:sz w:val="20"/>
              </w:rPr>
            </w:pPr>
          </w:p>
        </w:tc>
        <w:tc>
          <w:tcPr>
            <w:tcW w:w="868" w:type="dxa"/>
            <w:vAlign w:val="center"/>
          </w:tcPr>
          <w:p w:rsidR="00C37BB1" w:rsidRDefault="007C505C">
            <w:pPr>
              <w:jc w:val="center"/>
              <w:rPr>
                <w:noProof/>
                <w:sz w:val="20"/>
              </w:rPr>
            </w:pPr>
            <w:r>
              <w:rPr>
                <w:noProof/>
                <w:sz w:val="20"/>
              </w:rPr>
              <w:t>Année</w:t>
            </w:r>
            <w:r>
              <w:rPr>
                <w:noProof/>
              </w:rPr>
              <w:br/>
            </w:r>
            <w:r>
              <w:rPr>
                <w:b/>
                <w:noProof/>
                <w:sz w:val="20"/>
              </w:rPr>
              <w:t>N</w:t>
            </w:r>
            <w:r>
              <w:rPr>
                <w:rStyle w:val="FootnoteReference"/>
                <w:b/>
                <w:noProof/>
                <w:sz w:val="20"/>
              </w:rPr>
              <w:footnoteReference w:id="13"/>
            </w:r>
          </w:p>
        </w:tc>
        <w:tc>
          <w:tcPr>
            <w:tcW w:w="868" w:type="dxa"/>
            <w:vAlign w:val="center"/>
          </w:tcPr>
          <w:p w:rsidR="00C37BB1" w:rsidRDefault="007C505C">
            <w:pPr>
              <w:jc w:val="center"/>
              <w:rPr>
                <w:noProof/>
                <w:sz w:val="20"/>
              </w:rPr>
            </w:pPr>
            <w:r>
              <w:rPr>
                <w:noProof/>
                <w:sz w:val="20"/>
              </w:rPr>
              <w:t>Année</w:t>
            </w:r>
            <w:r>
              <w:rPr>
                <w:noProof/>
              </w:rPr>
              <w:br/>
            </w:r>
            <w:r>
              <w:rPr>
                <w:b/>
                <w:noProof/>
                <w:sz w:val="20"/>
              </w:rPr>
              <w:t>N+1</w:t>
            </w:r>
          </w:p>
        </w:tc>
        <w:tc>
          <w:tcPr>
            <w:tcW w:w="868" w:type="dxa"/>
            <w:vAlign w:val="center"/>
          </w:tcPr>
          <w:p w:rsidR="00C37BB1" w:rsidRDefault="007C505C">
            <w:pPr>
              <w:jc w:val="center"/>
              <w:rPr>
                <w:noProof/>
                <w:sz w:val="20"/>
              </w:rPr>
            </w:pPr>
            <w:r>
              <w:rPr>
                <w:noProof/>
                <w:sz w:val="20"/>
              </w:rPr>
              <w:t>Année</w:t>
            </w:r>
            <w:r>
              <w:rPr>
                <w:noProof/>
              </w:rPr>
              <w:br/>
            </w:r>
            <w:r>
              <w:rPr>
                <w:b/>
                <w:noProof/>
                <w:sz w:val="20"/>
              </w:rPr>
              <w:t>N+2</w:t>
            </w:r>
          </w:p>
        </w:tc>
        <w:tc>
          <w:tcPr>
            <w:tcW w:w="868" w:type="dxa"/>
            <w:vAlign w:val="center"/>
          </w:tcPr>
          <w:p w:rsidR="00C37BB1" w:rsidRDefault="007C505C">
            <w:pPr>
              <w:jc w:val="center"/>
              <w:rPr>
                <w:noProof/>
                <w:sz w:val="20"/>
              </w:rPr>
            </w:pPr>
            <w:r>
              <w:rPr>
                <w:noProof/>
                <w:sz w:val="20"/>
              </w:rPr>
              <w:t>Année</w:t>
            </w:r>
            <w:r>
              <w:rPr>
                <w:noProof/>
              </w:rPr>
              <w:br/>
            </w:r>
            <w:r>
              <w:rPr>
                <w:b/>
                <w:noProof/>
                <w:sz w:val="20"/>
              </w:rPr>
              <w:t>N+3</w:t>
            </w:r>
          </w:p>
        </w:tc>
        <w:tc>
          <w:tcPr>
            <w:tcW w:w="2604" w:type="dxa"/>
            <w:gridSpan w:val="3"/>
            <w:vAlign w:val="center"/>
          </w:tcPr>
          <w:p w:rsidR="00C37BB1" w:rsidRDefault="007C505C">
            <w:pPr>
              <w:jc w:val="center"/>
              <w:rPr>
                <w:b/>
                <w:noProof/>
                <w:sz w:val="18"/>
              </w:rPr>
            </w:pPr>
            <w:r>
              <w:rPr>
                <w:noProof/>
                <w:sz w:val="18"/>
              </w:rPr>
              <w:t>insérer autant d'années que nécessaire, pour refléter la durée de l'incidence (cf. point 1.6)</w:t>
            </w:r>
          </w:p>
        </w:tc>
        <w:tc>
          <w:tcPr>
            <w:tcW w:w="1777" w:type="dxa"/>
            <w:vAlign w:val="center"/>
          </w:tcPr>
          <w:p w:rsidR="00C37BB1" w:rsidRDefault="007C505C">
            <w:pPr>
              <w:jc w:val="center"/>
              <w:rPr>
                <w:b/>
                <w:noProof/>
                <w:sz w:val="20"/>
              </w:rPr>
            </w:pPr>
            <w:r>
              <w:rPr>
                <w:b/>
                <w:noProof/>
                <w:sz w:val="20"/>
              </w:rPr>
              <w:t>TOTAL</w:t>
            </w:r>
          </w:p>
        </w:tc>
      </w:tr>
      <w:tr w:rsidR="00C37BB1">
        <w:trPr>
          <w:trHeight w:val="213"/>
        </w:trPr>
        <w:tc>
          <w:tcPr>
            <w:tcW w:w="6054" w:type="dxa"/>
            <w:gridSpan w:val="4"/>
            <w:vAlign w:val="center"/>
          </w:tcPr>
          <w:p w:rsidR="00C37BB1" w:rsidRDefault="007C505C">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rsidR="00C37BB1" w:rsidRDefault="00C37BB1">
            <w:pPr>
              <w:rPr>
                <w:noProof/>
                <w:sz w:val="20"/>
              </w:rPr>
            </w:pPr>
          </w:p>
        </w:tc>
        <w:tc>
          <w:tcPr>
            <w:tcW w:w="868" w:type="dxa"/>
            <w:vAlign w:val="center"/>
          </w:tcPr>
          <w:p w:rsidR="00C37BB1" w:rsidRDefault="00C37BB1">
            <w:pPr>
              <w:rPr>
                <w:noProof/>
                <w:sz w:val="20"/>
              </w:rPr>
            </w:pPr>
          </w:p>
        </w:tc>
        <w:tc>
          <w:tcPr>
            <w:tcW w:w="868" w:type="dxa"/>
            <w:vAlign w:val="center"/>
          </w:tcPr>
          <w:p w:rsidR="00C37BB1" w:rsidRDefault="00C37BB1">
            <w:pPr>
              <w:rPr>
                <w:noProof/>
                <w:sz w:val="20"/>
              </w:rPr>
            </w:pPr>
          </w:p>
        </w:tc>
        <w:tc>
          <w:tcPr>
            <w:tcW w:w="868" w:type="dxa"/>
            <w:vAlign w:val="center"/>
          </w:tcPr>
          <w:p w:rsidR="00C37BB1" w:rsidRDefault="00C37BB1">
            <w:pPr>
              <w:rPr>
                <w:noProof/>
                <w:sz w:val="20"/>
              </w:rPr>
            </w:pPr>
          </w:p>
        </w:tc>
        <w:tc>
          <w:tcPr>
            <w:tcW w:w="868" w:type="dxa"/>
            <w:vAlign w:val="center"/>
          </w:tcPr>
          <w:p w:rsidR="00C37BB1" w:rsidRDefault="00C37BB1">
            <w:pPr>
              <w:rPr>
                <w:noProof/>
                <w:sz w:val="20"/>
              </w:rPr>
            </w:pPr>
          </w:p>
        </w:tc>
        <w:tc>
          <w:tcPr>
            <w:tcW w:w="868" w:type="dxa"/>
            <w:vAlign w:val="center"/>
          </w:tcPr>
          <w:p w:rsidR="00C37BB1" w:rsidRDefault="00C37BB1">
            <w:pPr>
              <w:rPr>
                <w:noProof/>
                <w:sz w:val="20"/>
              </w:rPr>
            </w:pPr>
          </w:p>
        </w:tc>
        <w:tc>
          <w:tcPr>
            <w:tcW w:w="868" w:type="dxa"/>
            <w:vAlign w:val="center"/>
          </w:tcPr>
          <w:p w:rsidR="00C37BB1" w:rsidRDefault="00C37BB1">
            <w:pPr>
              <w:rPr>
                <w:b/>
                <w:noProof/>
                <w:sz w:val="20"/>
              </w:rPr>
            </w:pPr>
          </w:p>
        </w:tc>
        <w:tc>
          <w:tcPr>
            <w:tcW w:w="1777" w:type="dxa"/>
            <w:vAlign w:val="center"/>
          </w:tcPr>
          <w:p w:rsidR="00C37BB1" w:rsidRDefault="00C37BB1">
            <w:pPr>
              <w:rPr>
                <w:b/>
                <w:noProof/>
                <w:sz w:val="20"/>
              </w:rPr>
            </w:pPr>
          </w:p>
        </w:tc>
      </w:tr>
      <w:tr w:rsidR="00C37BB1">
        <w:trPr>
          <w:trHeight w:val="277"/>
        </w:trPr>
        <w:tc>
          <w:tcPr>
            <w:tcW w:w="3960" w:type="dxa"/>
            <w:vMerge w:val="restart"/>
            <w:vAlign w:val="center"/>
          </w:tcPr>
          <w:p w:rsidR="00C37BB1" w:rsidRDefault="007C505C">
            <w:pPr>
              <w:rPr>
                <w:noProof/>
              </w:rPr>
            </w:pPr>
            <w:r>
              <w:rPr>
                <w:noProof/>
                <w:sz w:val="20"/>
              </w:rPr>
              <w:t>23 02 01 Mise à disposition rapide et efficace d'une aide humanitaire en fonction des besoins</w:t>
            </w:r>
          </w:p>
        </w:tc>
        <w:tc>
          <w:tcPr>
            <w:tcW w:w="1440" w:type="dxa"/>
            <w:vAlign w:val="center"/>
          </w:tcPr>
          <w:p w:rsidR="00C37BB1" w:rsidRDefault="007C505C">
            <w:pPr>
              <w:spacing w:before="20" w:after="20"/>
              <w:rPr>
                <w:noProof/>
                <w:sz w:val="18"/>
              </w:rPr>
            </w:pPr>
            <w:r>
              <w:rPr>
                <w:noProof/>
                <w:sz w:val="18"/>
              </w:rPr>
              <w:t>Engagements</w:t>
            </w:r>
          </w:p>
        </w:tc>
        <w:tc>
          <w:tcPr>
            <w:tcW w:w="654" w:type="dxa"/>
            <w:gridSpan w:val="2"/>
            <w:vAlign w:val="center"/>
          </w:tcPr>
          <w:p w:rsidR="00C37BB1" w:rsidRDefault="007C505C">
            <w:pPr>
              <w:spacing w:before="20" w:after="20"/>
              <w:jc w:val="center"/>
              <w:rPr>
                <w:noProof/>
                <w:sz w:val="14"/>
              </w:rPr>
            </w:pPr>
            <w:r>
              <w:rPr>
                <w:noProof/>
                <w:sz w:val="14"/>
              </w:rPr>
              <w:t>(1)</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r w:rsidR="00C37BB1">
        <w:tc>
          <w:tcPr>
            <w:tcW w:w="3960" w:type="dxa"/>
            <w:vMerge/>
          </w:tcPr>
          <w:p w:rsidR="00C37BB1" w:rsidRDefault="00C37BB1">
            <w:pPr>
              <w:jc w:val="center"/>
              <w:rPr>
                <w:noProof/>
                <w:sz w:val="20"/>
              </w:rPr>
            </w:pPr>
          </w:p>
        </w:tc>
        <w:tc>
          <w:tcPr>
            <w:tcW w:w="1440" w:type="dxa"/>
            <w:vAlign w:val="center"/>
          </w:tcPr>
          <w:p w:rsidR="00C37BB1" w:rsidRDefault="007C505C">
            <w:pPr>
              <w:spacing w:before="20" w:after="20"/>
              <w:rPr>
                <w:noProof/>
                <w:sz w:val="18"/>
              </w:rPr>
            </w:pPr>
            <w:r>
              <w:rPr>
                <w:noProof/>
                <w:sz w:val="18"/>
              </w:rPr>
              <w:t>Paiements</w:t>
            </w:r>
          </w:p>
        </w:tc>
        <w:tc>
          <w:tcPr>
            <w:tcW w:w="654" w:type="dxa"/>
            <w:gridSpan w:val="2"/>
            <w:vAlign w:val="center"/>
          </w:tcPr>
          <w:p w:rsidR="00C37BB1" w:rsidRDefault="007C505C">
            <w:pPr>
              <w:spacing w:before="20" w:after="20"/>
              <w:jc w:val="center"/>
              <w:rPr>
                <w:noProof/>
                <w:sz w:val="14"/>
              </w:rPr>
            </w:pPr>
            <w:r>
              <w:rPr>
                <w:noProof/>
                <w:sz w:val="14"/>
              </w:rPr>
              <w:t>(2)</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r w:rsidR="00C37BB1">
        <w:tc>
          <w:tcPr>
            <w:tcW w:w="3960" w:type="dxa"/>
            <w:vMerge/>
          </w:tcPr>
          <w:p w:rsidR="00C37BB1" w:rsidRDefault="00C37BB1">
            <w:pPr>
              <w:jc w:val="center"/>
              <w:rPr>
                <w:noProof/>
                <w:sz w:val="20"/>
              </w:rPr>
            </w:pPr>
          </w:p>
        </w:tc>
        <w:tc>
          <w:tcPr>
            <w:tcW w:w="1440" w:type="dxa"/>
            <w:vAlign w:val="center"/>
          </w:tcPr>
          <w:p w:rsidR="00C37BB1" w:rsidRDefault="007C505C">
            <w:pPr>
              <w:spacing w:before="20" w:after="20"/>
              <w:rPr>
                <w:noProof/>
                <w:sz w:val="18"/>
              </w:rPr>
            </w:pPr>
            <w:r>
              <w:rPr>
                <w:noProof/>
                <w:sz w:val="18"/>
              </w:rPr>
              <w:t>Paiements</w:t>
            </w:r>
          </w:p>
        </w:tc>
        <w:tc>
          <w:tcPr>
            <w:tcW w:w="654" w:type="dxa"/>
            <w:gridSpan w:val="2"/>
            <w:vAlign w:val="center"/>
          </w:tcPr>
          <w:p w:rsidR="00C37BB1" w:rsidRDefault="007C505C">
            <w:pPr>
              <w:spacing w:before="20" w:after="20"/>
              <w:jc w:val="center"/>
              <w:rPr>
                <w:noProof/>
                <w:sz w:val="14"/>
              </w:rPr>
            </w:pPr>
            <w:r>
              <w:rPr>
                <w:noProof/>
                <w:sz w:val="14"/>
              </w:rPr>
              <w:t>(2 a)</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C37BB1">
            <w:pPr>
              <w:spacing w:before="20" w:after="20"/>
              <w:jc w:val="right"/>
              <w:rPr>
                <w:b/>
                <w:noProof/>
                <w:sz w:val="20"/>
              </w:rPr>
            </w:pPr>
          </w:p>
        </w:tc>
      </w:tr>
      <w:tr w:rsidR="00C37BB1">
        <w:trPr>
          <w:trHeight w:val="231"/>
        </w:trPr>
        <w:tc>
          <w:tcPr>
            <w:tcW w:w="6054" w:type="dxa"/>
            <w:gridSpan w:val="4"/>
            <w:vAlign w:val="center"/>
          </w:tcPr>
          <w:p w:rsidR="00C37BB1" w:rsidRDefault="007C505C">
            <w:pPr>
              <w:spacing w:before="20" w:after="20"/>
              <w:rPr>
                <w:noProof/>
              </w:rPr>
            </w:pPr>
            <w:r>
              <w:rPr>
                <w:noProof/>
                <w:sz w:val="21"/>
              </w:rPr>
              <w:t>Crédits de nature administrative financés par l'enveloppe de certains programmes spécifiques</w:t>
            </w:r>
            <w:r>
              <w:rPr>
                <w:rStyle w:val="FootnoteReference"/>
                <w:noProof/>
                <w:sz w:val="21"/>
              </w:rPr>
              <w:footnoteReference w:id="14"/>
            </w:r>
            <w:r>
              <w:rPr>
                <w:noProof/>
                <w:sz w:val="21"/>
              </w:rPr>
              <w:t xml:space="preserve"> </w:t>
            </w:r>
          </w:p>
          <w:p w:rsidR="00C37BB1" w:rsidRDefault="00C37BB1">
            <w:pPr>
              <w:spacing w:after="0"/>
              <w:rPr>
                <w:noProof/>
              </w:rPr>
            </w:pPr>
          </w:p>
        </w:tc>
        <w:tc>
          <w:tcPr>
            <w:tcW w:w="868" w:type="dxa"/>
            <w:vAlign w:val="center"/>
          </w:tcPr>
          <w:p w:rsidR="00C37BB1" w:rsidRDefault="007C505C">
            <w:pPr>
              <w:rPr>
                <w:b/>
                <w:noProof/>
                <w:sz w:val="20"/>
              </w:rPr>
            </w:pPr>
            <w:r>
              <w:rPr>
                <w:b/>
                <w:noProof/>
                <w:sz w:val="20"/>
              </w:rPr>
              <w:t>S.O.</w:t>
            </w:r>
          </w:p>
        </w:tc>
        <w:tc>
          <w:tcPr>
            <w:tcW w:w="868" w:type="dxa"/>
            <w:vAlign w:val="center"/>
          </w:tcPr>
          <w:p w:rsidR="00C37BB1" w:rsidRDefault="00C37BB1">
            <w:pPr>
              <w:rPr>
                <w:b/>
                <w:noProof/>
                <w:sz w:val="20"/>
              </w:rPr>
            </w:pPr>
          </w:p>
        </w:tc>
        <w:tc>
          <w:tcPr>
            <w:tcW w:w="868" w:type="dxa"/>
            <w:vAlign w:val="center"/>
          </w:tcPr>
          <w:p w:rsidR="00C37BB1" w:rsidRDefault="00C37BB1">
            <w:pPr>
              <w:rPr>
                <w:b/>
                <w:noProof/>
                <w:sz w:val="20"/>
              </w:rPr>
            </w:pPr>
          </w:p>
        </w:tc>
        <w:tc>
          <w:tcPr>
            <w:tcW w:w="868" w:type="dxa"/>
            <w:vAlign w:val="center"/>
          </w:tcPr>
          <w:p w:rsidR="00C37BB1" w:rsidRDefault="00C37BB1">
            <w:pPr>
              <w:rPr>
                <w:b/>
                <w:noProof/>
                <w:sz w:val="20"/>
              </w:rPr>
            </w:pPr>
          </w:p>
        </w:tc>
        <w:tc>
          <w:tcPr>
            <w:tcW w:w="868" w:type="dxa"/>
            <w:vAlign w:val="center"/>
          </w:tcPr>
          <w:p w:rsidR="00C37BB1" w:rsidRDefault="00C37BB1">
            <w:pPr>
              <w:rPr>
                <w:b/>
                <w:noProof/>
                <w:sz w:val="20"/>
              </w:rPr>
            </w:pPr>
          </w:p>
        </w:tc>
        <w:tc>
          <w:tcPr>
            <w:tcW w:w="868" w:type="dxa"/>
            <w:vAlign w:val="center"/>
          </w:tcPr>
          <w:p w:rsidR="00C37BB1" w:rsidRDefault="00C37BB1">
            <w:pPr>
              <w:rPr>
                <w:b/>
                <w:noProof/>
                <w:sz w:val="20"/>
              </w:rPr>
            </w:pPr>
          </w:p>
        </w:tc>
        <w:tc>
          <w:tcPr>
            <w:tcW w:w="868" w:type="dxa"/>
            <w:vAlign w:val="center"/>
          </w:tcPr>
          <w:p w:rsidR="00C37BB1" w:rsidRDefault="00C37BB1">
            <w:pPr>
              <w:rPr>
                <w:b/>
                <w:noProof/>
                <w:sz w:val="20"/>
              </w:rPr>
            </w:pPr>
          </w:p>
        </w:tc>
        <w:tc>
          <w:tcPr>
            <w:tcW w:w="1777" w:type="dxa"/>
            <w:vAlign w:val="center"/>
          </w:tcPr>
          <w:p w:rsidR="00C37BB1" w:rsidRDefault="00C37BB1">
            <w:pPr>
              <w:rPr>
                <w:b/>
                <w:noProof/>
                <w:sz w:val="20"/>
              </w:rPr>
            </w:pPr>
          </w:p>
        </w:tc>
      </w:tr>
      <w:tr w:rsidR="00C37BB1">
        <w:tc>
          <w:tcPr>
            <w:tcW w:w="3960" w:type="dxa"/>
            <w:vMerge w:val="restart"/>
            <w:vAlign w:val="center"/>
          </w:tcPr>
          <w:p w:rsidR="00C37BB1" w:rsidRDefault="007C505C">
            <w:pPr>
              <w:jc w:val="center"/>
              <w:rPr>
                <w:b/>
                <w:noProof/>
              </w:rPr>
            </w:pPr>
            <w:r>
              <w:rPr>
                <w:b/>
                <w:noProof/>
              </w:rPr>
              <w:t>TOTAL des crédits</w:t>
            </w:r>
            <w:r>
              <w:rPr>
                <w:noProof/>
              </w:rPr>
              <w:br/>
            </w:r>
            <w:r>
              <w:rPr>
                <w:b/>
                <w:noProof/>
              </w:rPr>
              <w:t>pour la DG ECHO</w:t>
            </w:r>
          </w:p>
        </w:tc>
        <w:tc>
          <w:tcPr>
            <w:tcW w:w="1440" w:type="dxa"/>
            <w:vAlign w:val="center"/>
          </w:tcPr>
          <w:p w:rsidR="00C37BB1" w:rsidRDefault="007C505C">
            <w:pPr>
              <w:rPr>
                <w:noProof/>
                <w:sz w:val="18"/>
              </w:rPr>
            </w:pPr>
            <w:r>
              <w:rPr>
                <w:noProof/>
                <w:sz w:val="18"/>
              </w:rPr>
              <w:t>Engagements</w:t>
            </w:r>
          </w:p>
        </w:tc>
        <w:tc>
          <w:tcPr>
            <w:tcW w:w="654" w:type="dxa"/>
            <w:gridSpan w:val="2"/>
            <w:vAlign w:val="center"/>
          </w:tcPr>
          <w:p w:rsidR="00C37BB1" w:rsidRDefault="007C505C">
            <w:pPr>
              <w:jc w:val="center"/>
              <w:rPr>
                <w:noProof/>
                <w:sz w:val="14"/>
              </w:rPr>
            </w:pPr>
            <w:r>
              <w:rPr>
                <w:noProof/>
                <w:sz w:val="14"/>
              </w:rPr>
              <w:t>=1+1a +3</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r w:rsidR="00C37BB1">
        <w:tc>
          <w:tcPr>
            <w:tcW w:w="3960" w:type="dxa"/>
            <w:vMerge/>
          </w:tcPr>
          <w:p w:rsidR="00C37BB1" w:rsidRDefault="00C37BB1">
            <w:pPr>
              <w:rPr>
                <w:noProof/>
                <w:sz w:val="20"/>
              </w:rPr>
            </w:pPr>
          </w:p>
        </w:tc>
        <w:tc>
          <w:tcPr>
            <w:tcW w:w="1440" w:type="dxa"/>
            <w:vAlign w:val="center"/>
          </w:tcPr>
          <w:p w:rsidR="00C37BB1" w:rsidRDefault="007C505C">
            <w:pPr>
              <w:rPr>
                <w:noProof/>
                <w:sz w:val="18"/>
              </w:rPr>
            </w:pPr>
            <w:r>
              <w:rPr>
                <w:noProof/>
                <w:sz w:val="18"/>
              </w:rPr>
              <w:t>Paiements</w:t>
            </w:r>
          </w:p>
        </w:tc>
        <w:tc>
          <w:tcPr>
            <w:tcW w:w="654" w:type="dxa"/>
            <w:gridSpan w:val="2"/>
            <w:vAlign w:val="center"/>
          </w:tcPr>
          <w:p w:rsidR="00C37BB1" w:rsidRDefault="007C505C">
            <w:pPr>
              <w:jc w:val="center"/>
              <w:rPr>
                <w:noProof/>
                <w:sz w:val="14"/>
              </w:rPr>
            </w:pPr>
            <w:r>
              <w:rPr>
                <w:noProof/>
                <w:sz w:val="14"/>
              </w:rPr>
              <w:t>=2+2a</w:t>
            </w:r>
          </w:p>
          <w:p w:rsidR="00C37BB1" w:rsidRDefault="007C505C">
            <w:pPr>
              <w:jc w:val="center"/>
              <w:rPr>
                <w:noProof/>
                <w:sz w:val="14"/>
              </w:rPr>
            </w:pPr>
            <w:r>
              <w:rPr>
                <w:noProof/>
                <w:sz w:val="14"/>
              </w:rPr>
              <w:t>+3.</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bl>
    <w:p w:rsidR="00C37BB1" w:rsidRDefault="007C505C">
      <w:pPr>
        <w:rPr>
          <w:noProof/>
        </w:rPr>
      </w:pPr>
      <w:r>
        <w:rPr>
          <w:noProof/>
        </w:rPr>
        <w:br/>
      </w:r>
    </w:p>
    <w:p w:rsidR="00C37BB1" w:rsidRDefault="00C37BB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C37BB1">
        <w:trPr>
          <w:trHeight w:val="277"/>
        </w:trPr>
        <w:tc>
          <w:tcPr>
            <w:tcW w:w="3960" w:type="dxa"/>
            <w:vMerge w:val="restart"/>
            <w:vAlign w:val="center"/>
          </w:tcPr>
          <w:p w:rsidR="00C37BB1" w:rsidRDefault="007C505C">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rsidR="00C37BB1" w:rsidRDefault="007C505C">
            <w:pPr>
              <w:spacing w:beforeLines="20" w:before="48" w:afterLines="20" w:after="48"/>
              <w:rPr>
                <w:noProof/>
                <w:sz w:val="18"/>
              </w:rPr>
            </w:pPr>
            <w:r>
              <w:rPr>
                <w:noProof/>
                <w:sz w:val="18"/>
              </w:rPr>
              <w:t>Engagements</w:t>
            </w:r>
          </w:p>
        </w:tc>
        <w:tc>
          <w:tcPr>
            <w:tcW w:w="654" w:type="dxa"/>
            <w:vAlign w:val="center"/>
          </w:tcPr>
          <w:p w:rsidR="00C37BB1" w:rsidRDefault="007C505C">
            <w:pPr>
              <w:spacing w:beforeLines="20" w:before="48" w:afterLines="20" w:after="48"/>
              <w:jc w:val="center"/>
              <w:rPr>
                <w:noProof/>
                <w:sz w:val="14"/>
              </w:rPr>
            </w:pPr>
            <w:r>
              <w:rPr>
                <w:noProof/>
                <w:sz w:val="14"/>
              </w:rPr>
              <w:t>(4)</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r w:rsidR="00C37BB1">
        <w:tc>
          <w:tcPr>
            <w:tcW w:w="3960" w:type="dxa"/>
            <w:vMerge/>
          </w:tcPr>
          <w:p w:rsidR="00C37BB1" w:rsidRDefault="00C37BB1">
            <w:pPr>
              <w:jc w:val="center"/>
              <w:rPr>
                <w:noProof/>
                <w:sz w:val="20"/>
              </w:rPr>
            </w:pPr>
          </w:p>
        </w:tc>
        <w:tc>
          <w:tcPr>
            <w:tcW w:w="1440" w:type="dxa"/>
            <w:vAlign w:val="center"/>
          </w:tcPr>
          <w:p w:rsidR="00C37BB1" w:rsidRDefault="007C505C">
            <w:pPr>
              <w:spacing w:beforeLines="20" w:before="48" w:afterLines="20" w:after="48"/>
              <w:rPr>
                <w:noProof/>
                <w:sz w:val="18"/>
              </w:rPr>
            </w:pPr>
            <w:r>
              <w:rPr>
                <w:noProof/>
                <w:sz w:val="18"/>
              </w:rPr>
              <w:t>Paiements</w:t>
            </w:r>
          </w:p>
        </w:tc>
        <w:tc>
          <w:tcPr>
            <w:tcW w:w="654" w:type="dxa"/>
            <w:vAlign w:val="center"/>
          </w:tcPr>
          <w:p w:rsidR="00C37BB1" w:rsidRDefault="007C505C">
            <w:pPr>
              <w:spacing w:beforeLines="20" w:before="48" w:afterLines="20" w:after="48"/>
              <w:jc w:val="center"/>
              <w:rPr>
                <w:noProof/>
                <w:sz w:val="14"/>
              </w:rPr>
            </w:pPr>
            <w:r>
              <w:rPr>
                <w:noProof/>
                <w:sz w:val="14"/>
              </w:rPr>
              <w:t>(5)</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r w:rsidR="00C37BB1">
        <w:trPr>
          <w:trHeight w:val="533"/>
        </w:trPr>
        <w:tc>
          <w:tcPr>
            <w:tcW w:w="5400" w:type="dxa"/>
            <w:gridSpan w:val="2"/>
            <w:vAlign w:val="center"/>
          </w:tcPr>
          <w:p w:rsidR="00C37BB1" w:rsidRDefault="007C505C">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C37BB1" w:rsidRDefault="007C505C">
            <w:pPr>
              <w:spacing w:beforeLines="20" w:before="48" w:afterLines="20" w:after="48"/>
              <w:jc w:val="center"/>
              <w:rPr>
                <w:noProof/>
                <w:sz w:val="14"/>
              </w:rPr>
            </w:pPr>
            <w:r>
              <w:rPr>
                <w:noProof/>
                <w:sz w:val="14"/>
              </w:rPr>
              <w:t>(6)</w:t>
            </w:r>
          </w:p>
        </w:tc>
        <w:tc>
          <w:tcPr>
            <w:tcW w:w="868" w:type="dxa"/>
            <w:vAlign w:val="center"/>
          </w:tcPr>
          <w:p w:rsidR="00C37BB1" w:rsidRDefault="007C505C">
            <w:pPr>
              <w:spacing w:before="20" w:after="20"/>
              <w:jc w:val="right"/>
              <w:rPr>
                <w:b/>
                <w:noProof/>
                <w:sz w:val="20"/>
              </w:rPr>
            </w:pPr>
            <w:r>
              <w:rPr>
                <w:b/>
                <w:noProof/>
                <w:sz w:val="20"/>
              </w:rPr>
              <w:t>S.O.</w:t>
            </w:r>
          </w:p>
        </w:tc>
        <w:tc>
          <w:tcPr>
            <w:tcW w:w="868" w:type="dxa"/>
            <w:vAlign w:val="center"/>
          </w:tcPr>
          <w:p w:rsidR="00C37BB1" w:rsidRDefault="00C37BB1">
            <w:pPr>
              <w:spacing w:before="20" w:after="20"/>
              <w:jc w:val="right"/>
              <w:rPr>
                <w:b/>
                <w:noProof/>
                <w:sz w:val="20"/>
              </w:rPr>
            </w:pPr>
          </w:p>
        </w:tc>
        <w:tc>
          <w:tcPr>
            <w:tcW w:w="868" w:type="dxa"/>
            <w:vAlign w:val="center"/>
          </w:tcPr>
          <w:p w:rsidR="00C37BB1" w:rsidRDefault="00C37BB1">
            <w:pPr>
              <w:spacing w:before="20" w:after="20"/>
              <w:jc w:val="right"/>
              <w:rPr>
                <w:b/>
                <w:noProof/>
                <w:sz w:val="20"/>
              </w:rPr>
            </w:pPr>
          </w:p>
        </w:tc>
        <w:tc>
          <w:tcPr>
            <w:tcW w:w="868" w:type="dxa"/>
            <w:vAlign w:val="center"/>
          </w:tcPr>
          <w:p w:rsidR="00C37BB1" w:rsidRDefault="00C37BB1">
            <w:pPr>
              <w:spacing w:before="20" w:after="20"/>
              <w:jc w:val="right"/>
              <w:rPr>
                <w:b/>
                <w:noProof/>
                <w:sz w:val="20"/>
              </w:rPr>
            </w:pPr>
          </w:p>
        </w:tc>
        <w:tc>
          <w:tcPr>
            <w:tcW w:w="868" w:type="dxa"/>
            <w:vAlign w:val="center"/>
          </w:tcPr>
          <w:p w:rsidR="00C37BB1" w:rsidRDefault="00C37BB1">
            <w:pPr>
              <w:spacing w:before="20" w:after="20"/>
              <w:jc w:val="right"/>
              <w:rPr>
                <w:b/>
                <w:noProof/>
                <w:sz w:val="20"/>
              </w:rPr>
            </w:pPr>
          </w:p>
        </w:tc>
        <w:tc>
          <w:tcPr>
            <w:tcW w:w="868" w:type="dxa"/>
            <w:vAlign w:val="center"/>
          </w:tcPr>
          <w:p w:rsidR="00C37BB1" w:rsidRDefault="00C37BB1">
            <w:pPr>
              <w:spacing w:before="20" w:after="20"/>
              <w:jc w:val="right"/>
              <w:rPr>
                <w:b/>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C37BB1">
            <w:pPr>
              <w:spacing w:before="20" w:after="20"/>
              <w:jc w:val="right"/>
              <w:rPr>
                <w:b/>
                <w:noProof/>
                <w:sz w:val="20"/>
              </w:rPr>
            </w:pPr>
          </w:p>
        </w:tc>
      </w:tr>
      <w:tr w:rsidR="00C37BB1">
        <w:tc>
          <w:tcPr>
            <w:tcW w:w="3960" w:type="dxa"/>
            <w:vMerge w:val="restart"/>
            <w:shd w:val="thinDiagStripe" w:color="C0C0C0" w:fill="auto"/>
            <w:vAlign w:val="center"/>
          </w:tcPr>
          <w:p w:rsidR="00C37BB1" w:rsidRDefault="007C505C">
            <w:pPr>
              <w:jc w:val="center"/>
              <w:rPr>
                <w:b/>
                <w:noProof/>
              </w:rPr>
            </w:pPr>
            <w:r>
              <w:rPr>
                <w:b/>
                <w:noProof/>
              </w:rPr>
              <w:t xml:space="preserve">TOTAL des crédits </w:t>
            </w:r>
            <w:r>
              <w:rPr>
                <w:noProof/>
              </w:rPr>
              <w:br/>
            </w:r>
            <w:r>
              <w:rPr>
                <w:b/>
                <w:noProof/>
              </w:rPr>
              <w:t>pour la RUBRIQUE 4</w:t>
            </w:r>
            <w:r>
              <w:rPr>
                <w:noProof/>
              </w:rPr>
              <w:br/>
              <w:t>du cadre financier pluriannuel</w:t>
            </w:r>
          </w:p>
        </w:tc>
        <w:tc>
          <w:tcPr>
            <w:tcW w:w="1440" w:type="dxa"/>
            <w:vAlign w:val="center"/>
          </w:tcPr>
          <w:p w:rsidR="00C37BB1" w:rsidRDefault="007C505C">
            <w:pPr>
              <w:rPr>
                <w:noProof/>
                <w:sz w:val="18"/>
              </w:rPr>
            </w:pPr>
            <w:r>
              <w:rPr>
                <w:noProof/>
                <w:sz w:val="18"/>
              </w:rPr>
              <w:t>Engagements</w:t>
            </w:r>
          </w:p>
        </w:tc>
        <w:tc>
          <w:tcPr>
            <w:tcW w:w="654" w:type="dxa"/>
            <w:vAlign w:val="center"/>
          </w:tcPr>
          <w:p w:rsidR="00C37BB1" w:rsidRDefault="007C505C">
            <w:pPr>
              <w:jc w:val="center"/>
              <w:rPr>
                <w:noProof/>
                <w:sz w:val="14"/>
              </w:rPr>
            </w:pPr>
            <w:r>
              <w:rPr>
                <w:noProof/>
                <w:sz w:val="14"/>
              </w:rPr>
              <w:t>(4)</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r w:rsidR="00C37BB1">
        <w:tc>
          <w:tcPr>
            <w:tcW w:w="3960" w:type="dxa"/>
            <w:vMerge/>
            <w:shd w:val="thinDiagStripe" w:color="C0C0C0" w:fill="auto"/>
          </w:tcPr>
          <w:p w:rsidR="00C37BB1" w:rsidRDefault="00C37BB1">
            <w:pPr>
              <w:rPr>
                <w:noProof/>
                <w:sz w:val="20"/>
              </w:rPr>
            </w:pPr>
          </w:p>
        </w:tc>
        <w:tc>
          <w:tcPr>
            <w:tcW w:w="1440" w:type="dxa"/>
            <w:vAlign w:val="center"/>
          </w:tcPr>
          <w:p w:rsidR="00C37BB1" w:rsidRDefault="007C505C">
            <w:pPr>
              <w:rPr>
                <w:noProof/>
                <w:sz w:val="18"/>
              </w:rPr>
            </w:pPr>
            <w:r>
              <w:rPr>
                <w:noProof/>
                <w:sz w:val="18"/>
              </w:rPr>
              <w:t>Paiements</w:t>
            </w:r>
          </w:p>
        </w:tc>
        <w:tc>
          <w:tcPr>
            <w:tcW w:w="654" w:type="dxa"/>
            <w:vAlign w:val="center"/>
          </w:tcPr>
          <w:p w:rsidR="00C37BB1" w:rsidRDefault="007C505C">
            <w:pPr>
              <w:jc w:val="center"/>
              <w:rPr>
                <w:noProof/>
                <w:sz w:val="14"/>
              </w:rPr>
            </w:pPr>
            <w:r>
              <w:rPr>
                <w:noProof/>
                <w:sz w:val="14"/>
              </w:rPr>
              <w:t>(5)</w:t>
            </w:r>
          </w:p>
        </w:tc>
        <w:tc>
          <w:tcPr>
            <w:tcW w:w="868" w:type="dxa"/>
            <w:vAlign w:val="center"/>
          </w:tcPr>
          <w:p w:rsidR="00C37BB1" w:rsidRDefault="007C505C">
            <w:pPr>
              <w:spacing w:before="20" w:after="20"/>
              <w:jc w:val="right"/>
              <w:rPr>
                <w:noProof/>
                <w:sz w:val="20"/>
              </w:rPr>
            </w:pPr>
            <w:r>
              <w:rPr>
                <w:noProof/>
                <w:sz w:val="20"/>
              </w:rPr>
              <w:t>50</w:t>
            </w: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noProof/>
                <w:sz w:val="20"/>
              </w:rPr>
            </w:pPr>
          </w:p>
        </w:tc>
        <w:tc>
          <w:tcPr>
            <w:tcW w:w="868" w:type="dxa"/>
            <w:vAlign w:val="center"/>
          </w:tcPr>
          <w:p w:rsidR="00C37BB1" w:rsidRDefault="00C37BB1">
            <w:pPr>
              <w:spacing w:before="20" w:after="20"/>
              <w:jc w:val="right"/>
              <w:rPr>
                <w:b/>
                <w:noProof/>
                <w:sz w:val="20"/>
              </w:rPr>
            </w:pPr>
          </w:p>
        </w:tc>
        <w:tc>
          <w:tcPr>
            <w:tcW w:w="1777" w:type="dxa"/>
            <w:vAlign w:val="center"/>
          </w:tcPr>
          <w:p w:rsidR="00C37BB1" w:rsidRDefault="007C505C">
            <w:pPr>
              <w:spacing w:before="20" w:after="20"/>
              <w:jc w:val="right"/>
              <w:rPr>
                <w:b/>
                <w:noProof/>
                <w:sz w:val="20"/>
              </w:rPr>
            </w:pPr>
            <w:r>
              <w:rPr>
                <w:b/>
                <w:noProof/>
                <w:sz w:val="20"/>
              </w:rPr>
              <w:t>50</w:t>
            </w:r>
          </w:p>
        </w:tc>
      </w:tr>
    </w:tbl>
    <w:p w:rsidR="00C37BB1" w:rsidRDefault="00C37BB1">
      <w:pPr>
        <w:rPr>
          <w:noProof/>
          <w:highlight w:val="yellow"/>
        </w:rPr>
      </w:pPr>
    </w:p>
    <w:p w:rsidR="00C37BB1" w:rsidRDefault="00C37BB1">
      <w:pPr>
        <w:rPr>
          <w:noProof/>
        </w:rPr>
        <w:sectPr w:rsidR="00C37BB1">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134" w:right="1418" w:bottom="1134" w:left="1418" w:header="709" w:footer="709" w:gutter="0"/>
          <w:cols w:space="708"/>
          <w:docGrid w:linePitch="360"/>
        </w:sectPr>
      </w:pPr>
    </w:p>
    <w:p w:rsidR="00C37BB1" w:rsidRDefault="007C505C">
      <w:pPr>
        <w:pStyle w:val="ManualHeading3"/>
        <w:rPr>
          <w:bCs/>
          <w:noProof/>
          <w:szCs w:val="24"/>
        </w:rPr>
      </w:pPr>
      <w:r>
        <w:t>3.2.2.</w:t>
      </w:r>
      <w:r>
        <w:tab/>
      </w:r>
      <w:r>
        <w:rPr>
          <w:noProof/>
        </w:rPr>
        <w:t>Incidence estimée sur les crédits de nature administrative</w:t>
      </w:r>
    </w:p>
    <w:p w:rsidR="00C37BB1" w:rsidRDefault="007C505C">
      <w:pPr>
        <w:pStyle w:val="Heading4"/>
        <w:numPr>
          <w:ilvl w:val="3"/>
          <w:numId w:val="35"/>
        </w:numPr>
        <w:rPr>
          <w:noProof/>
        </w:rPr>
      </w:pPr>
      <w:r>
        <w:rPr>
          <w:noProof/>
        </w:rPr>
        <w:t xml:space="preserve">Synthèse </w:t>
      </w:r>
    </w:p>
    <w:p w:rsidR="00C37BB1" w:rsidRDefault="007C505C">
      <w:pPr>
        <w:pStyle w:val="ListDash1"/>
        <w:rPr>
          <w:noProof/>
        </w:rPr>
      </w:pPr>
      <w:r>
        <w:rPr>
          <w:noProof/>
        </w:rPr>
        <w:t xml:space="preserve">X </w:t>
      </w:r>
      <w:r>
        <w:rPr>
          <w:noProof/>
        </w:rPr>
        <w:tab/>
        <w:t xml:space="preserve">La proposition/l'initiative n'engendre pas l'utilisation de crédits de nature administrative. </w:t>
      </w:r>
    </w:p>
    <w:p w:rsidR="00C37BB1" w:rsidRDefault="007C505C">
      <w:pPr>
        <w:pStyle w:val="Heading4"/>
        <w:numPr>
          <w:ilvl w:val="3"/>
          <w:numId w:val="35"/>
        </w:numPr>
        <w:rPr>
          <w:bCs w:val="0"/>
          <w:noProof/>
          <w:szCs w:val="24"/>
        </w:rPr>
      </w:pPr>
      <w:r>
        <w:rPr>
          <w:noProof/>
        </w:rPr>
        <w:t>Besoins estimés en ressources humaines</w:t>
      </w:r>
    </w:p>
    <w:p w:rsidR="00C37BB1" w:rsidRDefault="007C505C">
      <w:pPr>
        <w:pStyle w:val="ListDash1"/>
        <w:rPr>
          <w:noProof/>
        </w:rPr>
      </w:pPr>
      <w:r>
        <w:rPr>
          <w:noProof/>
        </w:rPr>
        <w:t>X</w:t>
      </w:r>
      <w:r>
        <w:rPr>
          <w:noProof/>
        </w:rPr>
        <w:tab/>
        <w:t xml:space="preserve">La proposition/l'initiative ne nécessite aucune ressource humaine supplémentaire. </w:t>
      </w:r>
    </w:p>
    <w:p w:rsidR="00C37BB1" w:rsidRDefault="007C505C">
      <w:pPr>
        <w:pStyle w:val="ManualHeading3"/>
        <w:rPr>
          <w:bCs/>
          <w:noProof/>
          <w:szCs w:val="24"/>
        </w:rPr>
      </w:pPr>
      <w:r>
        <w:t>3.2.3.</w:t>
      </w:r>
      <w:r>
        <w:tab/>
      </w:r>
      <w:r>
        <w:rPr>
          <w:noProof/>
        </w:rPr>
        <w:t>Compatibilité ave</w:t>
      </w:r>
      <w:r>
        <w:rPr>
          <w:noProof/>
        </w:rPr>
        <w:t xml:space="preserve">c le cadre financier pluriannuel actuel </w:t>
      </w:r>
    </w:p>
    <w:p w:rsidR="00C37BB1" w:rsidRDefault="007C505C">
      <w:pPr>
        <w:pStyle w:val="ListDash1"/>
        <w:rPr>
          <w:noProof/>
        </w:rPr>
      </w:pPr>
      <w:r>
        <w:rPr>
          <w:noProof/>
        </w:rPr>
        <w:t xml:space="preserve">X </w:t>
      </w:r>
      <w:r>
        <w:rPr>
          <w:noProof/>
        </w:rPr>
        <w:tab/>
        <w:t>La proposition/l'initiative est compatible avec le cadre financier pluriannuel actuel.</w:t>
      </w:r>
    </w:p>
    <w:p w:rsidR="00C37BB1" w:rsidRDefault="007C505C">
      <w:pPr>
        <w:pStyle w:val="ListDash1"/>
        <w:rPr>
          <w:noProof/>
        </w:rPr>
      </w:pPr>
      <w:r>
        <w:rPr>
          <w:noProof/>
        </w:rPr>
        <w:t xml:space="preserve">X </w:t>
      </w:r>
      <w:r>
        <w:rPr>
          <w:noProof/>
        </w:rPr>
        <w:tab/>
        <w:t>La proposition/l'initiative nécessite une reprogrammation de la rubrique concernée du cadre financier pluriannuel.</w:t>
      </w:r>
    </w:p>
    <w:p w:rsidR="00C37BB1" w:rsidRDefault="007C505C">
      <w:pPr>
        <w:pStyle w:val="Text1"/>
        <w:pBdr>
          <w:top w:val="single" w:sz="4" w:space="1" w:color="auto"/>
          <w:left w:val="single" w:sz="4" w:space="0" w:color="auto"/>
          <w:bottom w:val="single" w:sz="4" w:space="1" w:color="auto"/>
          <w:right w:val="single" w:sz="4" w:space="4" w:color="auto"/>
        </w:pBdr>
        <w:rPr>
          <w:noProof/>
        </w:rPr>
      </w:pPr>
      <w:r>
        <w:rPr>
          <w:noProof/>
        </w:rPr>
        <w:t xml:space="preserve">Le </w:t>
      </w:r>
      <w:r>
        <w:rPr>
          <w:noProof/>
        </w:rPr>
        <w:t>financement supplémentaire des activités énumérées dans la présente fiche financière proviendra exclusivement du redéploiement et de la reprogrammation des enveloppes destinées aux instruments de relations extérieures qui relèvent du titre 4 du cadre finan</w:t>
      </w:r>
      <w:r>
        <w:rPr>
          <w:noProof/>
        </w:rPr>
        <w:t>cier pluriannuel. La Commission proposera de transférer la réserve d'aide d'urgence vers l'aide humanitaire en 2015 et toute réaffectation d'engagements nécessaire en 2016 s'effectuera dans le cadre de la procédure budgétaire 2016.</w:t>
      </w:r>
    </w:p>
    <w:p w:rsidR="00C37BB1" w:rsidRDefault="007C505C">
      <w:pPr>
        <w:pStyle w:val="Text1"/>
        <w:pBdr>
          <w:top w:val="single" w:sz="4" w:space="1" w:color="auto"/>
          <w:left w:val="single" w:sz="4" w:space="0" w:color="auto"/>
          <w:bottom w:val="single" w:sz="4" w:space="1" w:color="auto"/>
          <w:right w:val="single" w:sz="4" w:space="4" w:color="auto"/>
        </w:pBdr>
        <w:rPr>
          <w:b/>
          <w:noProof/>
        </w:rPr>
      </w:pPr>
      <w:r>
        <w:rPr>
          <w:noProof/>
        </w:rPr>
        <w:t>Les sources de financeme</w:t>
      </w:r>
      <w:r>
        <w:rPr>
          <w:noProof/>
        </w:rPr>
        <w:t xml:space="preserve">nt sont décrites dans le tableau ci-dessous. </w:t>
      </w:r>
    </w:p>
    <w:p w:rsidR="00C37BB1" w:rsidRDefault="007C505C">
      <w:pPr>
        <w:pStyle w:val="Text1"/>
        <w:rPr>
          <w:b/>
          <w:noProof/>
        </w:rPr>
      </w:pPr>
      <w:r>
        <w:rPr>
          <w:noProof/>
        </w:rPr>
        <w:br w:type="page"/>
      </w:r>
      <w:r>
        <w:rPr>
          <w:b/>
          <w:noProof/>
        </w:rPr>
        <w:t>Ensemble de mesures pour la crise en Syrie et dans les pays voisins sur deux ans (2015-2016)</w:t>
      </w:r>
    </w:p>
    <w:p w:rsidR="00C37BB1" w:rsidRDefault="007C505C">
      <w:pPr>
        <w:pStyle w:val="Text1"/>
        <w:rPr>
          <w:i/>
          <w:noProof/>
        </w:rPr>
      </w:pPr>
      <w:r>
        <w:rPr>
          <w:i/>
          <w:noProof/>
        </w:rPr>
        <w:t>(Crédits d'engagement)</w:t>
      </w:r>
    </w:p>
    <w:tbl>
      <w:tblPr>
        <w:tblW w:w="7443" w:type="dxa"/>
        <w:tblInd w:w="705" w:type="dxa"/>
        <w:tblCellMar>
          <w:left w:w="0" w:type="dxa"/>
          <w:right w:w="0" w:type="dxa"/>
        </w:tblCellMar>
        <w:tblLook w:val="04A0" w:firstRow="1" w:lastRow="0" w:firstColumn="1" w:lastColumn="0" w:noHBand="0" w:noVBand="1"/>
      </w:tblPr>
      <w:tblGrid>
        <w:gridCol w:w="1474"/>
        <w:gridCol w:w="2009"/>
        <w:gridCol w:w="1200"/>
        <w:gridCol w:w="1200"/>
        <w:gridCol w:w="1560"/>
      </w:tblGrid>
      <w:tr w:rsidR="00C37BB1">
        <w:trPr>
          <w:trHeight w:val="995"/>
        </w:trPr>
        <w:tc>
          <w:tcPr>
            <w:tcW w:w="1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7BB1" w:rsidRDefault="007C505C">
            <w:pPr>
              <w:jc w:val="center"/>
              <w:rPr>
                <w:rFonts w:eastAsia="Calibri"/>
                <w:b/>
                <w:bCs/>
                <w:noProof/>
              </w:rPr>
            </w:pPr>
            <w:r>
              <w:rPr>
                <w:b/>
                <w:noProof/>
              </w:rPr>
              <w:t>DG:</w:t>
            </w:r>
          </w:p>
        </w:tc>
        <w:tc>
          <w:tcPr>
            <w:tcW w:w="20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jc w:val="center"/>
              <w:rPr>
                <w:rFonts w:eastAsia="Calibri"/>
                <w:b/>
                <w:bCs/>
                <w:noProof/>
              </w:rPr>
            </w:pPr>
            <w:r>
              <w:rPr>
                <w:b/>
                <w:noProof/>
              </w:rPr>
              <w:t>Instruments financiers R4</w:t>
            </w:r>
          </w:p>
        </w:tc>
        <w:tc>
          <w:tcPr>
            <w:tcW w:w="12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jc w:val="center"/>
              <w:rPr>
                <w:b/>
                <w:bCs/>
                <w:noProof/>
              </w:rPr>
            </w:pPr>
            <w:r>
              <w:rPr>
                <w:b/>
                <w:noProof/>
              </w:rPr>
              <w:t>2015</w:t>
            </w:r>
          </w:p>
          <w:p w:rsidR="00C37BB1" w:rsidRDefault="007C505C">
            <w:pPr>
              <w:jc w:val="center"/>
              <w:rPr>
                <w:rFonts w:eastAsia="Calibri"/>
                <w:b/>
                <w:bCs/>
                <w:noProof/>
              </w:rPr>
            </w:pPr>
            <w:r>
              <w:rPr>
                <w:b/>
                <w:noProof/>
              </w:rPr>
              <w:t>en millions d'EUR</w:t>
            </w:r>
          </w:p>
        </w:tc>
        <w:tc>
          <w:tcPr>
            <w:tcW w:w="12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jc w:val="center"/>
              <w:rPr>
                <w:b/>
                <w:bCs/>
                <w:noProof/>
              </w:rPr>
            </w:pPr>
            <w:r>
              <w:rPr>
                <w:b/>
                <w:noProof/>
              </w:rPr>
              <w:t>2016</w:t>
            </w:r>
          </w:p>
          <w:p w:rsidR="00C37BB1" w:rsidRDefault="007C505C">
            <w:pPr>
              <w:jc w:val="center"/>
              <w:rPr>
                <w:rFonts w:eastAsia="Calibri"/>
                <w:b/>
                <w:bCs/>
                <w:noProof/>
              </w:rPr>
            </w:pPr>
            <w:r>
              <w:rPr>
                <w:b/>
                <w:noProof/>
              </w:rPr>
              <w:t>en millions d'EUR</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jc w:val="center"/>
              <w:rPr>
                <w:b/>
                <w:bCs/>
                <w:noProof/>
              </w:rPr>
            </w:pPr>
            <w:r>
              <w:rPr>
                <w:b/>
                <w:noProof/>
              </w:rPr>
              <w:t>2015-2016</w:t>
            </w:r>
          </w:p>
          <w:p w:rsidR="00C37BB1" w:rsidRDefault="007C505C">
            <w:pPr>
              <w:jc w:val="center"/>
              <w:rPr>
                <w:rFonts w:eastAsia="Calibri"/>
                <w:b/>
                <w:bCs/>
                <w:noProof/>
              </w:rPr>
            </w:pPr>
            <w:r>
              <w:rPr>
                <w:b/>
                <w:noProof/>
              </w:rPr>
              <w:t>en mill</w:t>
            </w:r>
            <w:r>
              <w:rPr>
                <w:b/>
                <w:noProof/>
              </w:rPr>
              <w:t>ions d'EUR</w:t>
            </w:r>
          </w:p>
        </w:tc>
      </w:tr>
      <w:tr w:rsidR="00C37BB1">
        <w:trPr>
          <w:trHeight w:val="485"/>
        </w:trPr>
        <w:tc>
          <w:tcPr>
            <w:tcW w:w="147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7BB1" w:rsidRDefault="007C505C">
            <w:pPr>
              <w:jc w:val="center"/>
              <w:rPr>
                <w:rFonts w:eastAsia="Calibri"/>
                <w:noProof/>
              </w:rPr>
            </w:pPr>
            <w:r>
              <w:rPr>
                <w:noProof/>
              </w:rPr>
              <w:t xml:space="preserve">ECHO </w:t>
            </w:r>
          </w:p>
        </w:tc>
        <w:tc>
          <w:tcPr>
            <w:tcW w:w="2009" w:type="dxa"/>
            <w:tcBorders>
              <w:top w:val="single" w:sz="8" w:space="0" w:color="auto"/>
              <w:left w:val="nil"/>
              <w:bottom w:val="nil"/>
              <w:right w:val="single" w:sz="4" w:space="0" w:color="auto"/>
            </w:tcBorders>
            <w:shd w:val="clear" w:color="auto" w:fill="auto"/>
            <w:tcMar>
              <w:top w:w="0" w:type="dxa"/>
              <w:left w:w="108" w:type="dxa"/>
              <w:bottom w:w="0" w:type="dxa"/>
              <w:right w:w="108" w:type="dxa"/>
            </w:tcMar>
            <w:vAlign w:val="center"/>
            <w:hideMark/>
          </w:tcPr>
          <w:p w:rsidR="00C37BB1" w:rsidRDefault="007C505C">
            <w:pPr>
              <w:rPr>
                <w:rFonts w:eastAsia="Calibri"/>
                <w:noProof/>
              </w:rPr>
            </w:pPr>
            <w:r>
              <w:rPr>
                <w:noProof/>
              </w:rPr>
              <w:t>HUMA - HIP Syrie Iraq</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200</w:t>
            </w:r>
          </w:p>
        </w:tc>
        <w:tc>
          <w:tcPr>
            <w:tcW w:w="1200" w:type="dxa"/>
            <w:vMerge w:val="restart"/>
            <w:tcBorders>
              <w:top w:val="single" w:sz="8" w:space="0" w:color="auto"/>
              <w:left w:val="single" w:sz="4" w:space="0" w:color="auto"/>
              <w:bottom w:val="single" w:sz="8" w:space="0" w:color="000000"/>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200</w:t>
            </w:r>
          </w:p>
        </w:tc>
        <w:tc>
          <w:tcPr>
            <w:tcW w:w="1560"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400</w:t>
            </w:r>
          </w:p>
        </w:tc>
      </w:tr>
      <w:tr w:rsidR="00C37BB1">
        <w:trPr>
          <w:trHeight w:val="29"/>
        </w:trPr>
        <w:tc>
          <w:tcPr>
            <w:tcW w:w="0" w:type="auto"/>
            <w:vMerge/>
            <w:tcBorders>
              <w:top w:val="single" w:sz="8" w:space="0" w:color="auto"/>
              <w:left w:val="single" w:sz="8" w:space="0" w:color="auto"/>
              <w:bottom w:val="single" w:sz="8" w:space="0" w:color="auto"/>
              <w:right w:val="single" w:sz="8" w:space="0" w:color="auto"/>
            </w:tcBorders>
            <w:vAlign w:val="center"/>
            <w:hideMark/>
          </w:tcPr>
          <w:p w:rsidR="00C37BB1" w:rsidRDefault="00C37BB1">
            <w:pPr>
              <w:rPr>
                <w:rFonts w:eastAsia="Calibri"/>
                <w:noProof/>
              </w:rPr>
            </w:pPr>
          </w:p>
        </w:tc>
        <w:tc>
          <w:tcPr>
            <w:tcW w:w="20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C37BB1" w:rsidRDefault="00C37BB1">
            <w:pPr>
              <w:rPr>
                <w:rFonts w:eastAsia="Calibri"/>
                <w:noProof/>
              </w:rPr>
            </w:pPr>
          </w:p>
        </w:tc>
        <w:tc>
          <w:tcPr>
            <w:tcW w:w="1200" w:type="dxa"/>
            <w:vMerge/>
            <w:tcBorders>
              <w:top w:val="single" w:sz="8" w:space="0" w:color="000000"/>
              <w:left w:val="single" w:sz="4" w:space="0" w:color="auto"/>
              <w:bottom w:val="single" w:sz="4" w:space="0" w:color="auto"/>
              <w:right w:val="single" w:sz="4" w:space="0" w:color="auto"/>
            </w:tcBorders>
            <w:shd w:val="clear" w:color="auto" w:fill="auto"/>
            <w:vAlign w:val="center"/>
            <w:hideMark/>
          </w:tcPr>
          <w:p w:rsidR="00C37BB1" w:rsidRDefault="00C37BB1">
            <w:pPr>
              <w:rPr>
                <w:rFonts w:eastAsia="Calibri"/>
                <w:noProof/>
              </w:rPr>
            </w:pPr>
          </w:p>
        </w:tc>
        <w:tc>
          <w:tcPr>
            <w:tcW w:w="1200" w:type="dxa"/>
            <w:vMerge/>
            <w:tcBorders>
              <w:top w:val="single" w:sz="8" w:space="0" w:color="auto"/>
              <w:left w:val="single" w:sz="4" w:space="0" w:color="auto"/>
              <w:bottom w:val="single" w:sz="8" w:space="0" w:color="000000"/>
              <w:right w:val="single" w:sz="8" w:space="0" w:color="auto"/>
            </w:tcBorders>
            <w:shd w:val="clear" w:color="auto" w:fill="auto"/>
            <w:vAlign w:val="center"/>
            <w:hideMark/>
          </w:tcPr>
          <w:p w:rsidR="00C37BB1" w:rsidRDefault="00C37BB1">
            <w:pPr>
              <w:rPr>
                <w:rFonts w:eastAsia="Calibri"/>
                <w:noProof/>
              </w:rPr>
            </w:pPr>
          </w:p>
        </w:tc>
        <w:tc>
          <w:tcPr>
            <w:tcW w:w="1560" w:type="dxa"/>
            <w:vMerge/>
            <w:tcBorders>
              <w:top w:val="single" w:sz="8" w:space="0" w:color="auto"/>
              <w:left w:val="nil"/>
              <w:bottom w:val="single" w:sz="8" w:space="0" w:color="auto"/>
              <w:right w:val="single" w:sz="8" w:space="0" w:color="auto"/>
            </w:tcBorders>
            <w:shd w:val="clear" w:color="auto" w:fill="auto"/>
            <w:vAlign w:val="center"/>
            <w:hideMark/>
          </w:tcPr>
          <w:p w:rsidR="00C37BB1" w:rsidRDefault="00C37BB1">
            <w:pPr>
              <w:rPr>
                <w:rFonts w:eastAsia="Calibri"/>
                <w:b/>
                <w:bCs/>
                <w:noProof/>
              </w:rPr>
            </w:pPr>
          </w:p>
        </w:tc>
      </w:tr>
      <w:tr w:rsidR="00C37BB1">
        <w:trPr>
          <w:trHeight w:val="166"/>
        </w:trPr>
        <w:tc>
          <w:tcPr>
            <w:tcW w:w="147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7BB1" w:rsidRDefault="007C505C">
            <w:pPr>
              <w:jc w:val="center"/>
              <w:rPr>
                <w:rFonts w:eastAsia="Calibri"/>
                <w:noProof/>
              </w:rPr>
            </w:pPr>
            <w:r>
              <w:rPr>
                <w:noProof/>
              </w:rPr>
              <w:t xml:space="preserve">NEAR </w:t>
            </w:r>
          </w:p>
        </w:tc>
        <w:tc>
          <w:tcPr>
            <w:tcW w:w="2009"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rPr>
                <w:rFonts w:eastAsia="Calibri"/>
                <w:noProof/>
              </w:rPr>
            </w:pPr>
            <w:r>
              <w:rPr>
                <w:noProof/>
              </w:rPr>
              <w:t>IEV – Crise en Syrie</w:t>
            </w:r>
          </w:p>
        </w:tc>
        <w:tc>
          <w:tcPr>
            <w:tcW w:w="1200" w:type="dxa"/>
            <w:tcBorders>
              <w:top w:val="single" w:sz="4" w:space="0" w:color="auto"/>
              <w:left w:val="nil"/>
              <w:bottom w:val="dotted"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72</w:t>
            </w:r>
          </w:p>
        </w:tc>
        <w:tc>
          <w:tcPr>
            <w:tcW w:w="1200" w:type="dxa"/>
            <w:tcBorders>
              <w:top w:val="nil"/>
              <w:left w:val="nil"/>
              <w:bottom w:val="dotted"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72</w:t>
            </w:r>
          </w:p>
        </w:tc>
        <w:tc>
          <w:tcPr>
            <w:tcW w:w="1560" w:type="dxa"/>
            <w:tcBorders>
              <w:top w:val="nil"/>
              <w:left w:val="nil"/>
              <w:bottom w:val="dotted"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144</w:t>
            </w:r>
          </w:p>
        </w:tc>
      </w:tr>
      <w:tr w:rsidR="00C37BB1">
        <w:trPr>
          <w:trHeight w:val="166"/>
        </w:trPr>
        <w:tc>
          <w:tcPr>
            <w:tcW w:w="0" w:type="auto"/>
            <w:vMerge/>
            <w:tcBorders>
              <w:top w:val="nil"/>
              <w:left w:val="single" w:sz="8" w:space="0" w:color="auto"/>
              <w:bottom w:val="single" w:sz="8" w:space="0" w:color="auto"/>
              <w:right w:val="single" w:sz="8" w:space="0" w:color="auto"/>
            </w:tcBorders>
            <w:vAlign w:val="center"/>
            <w:hideMark/>
          </w:tcPr>
          <w:p w:rsidR="00C37BB1" w:rsidRDefault="00C37BB1">
            <w:pPr>
              <w:rPr>
                <w:rFonts w:eastAsia="Calibri"/>
                <w:noProof/>
              </w:rPr>
            </w:pP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rPr>
                <w:rFonts w:eastAsia="Calibri"/>
                <w:noProof/>
              </w:rPr>
            </w:pPr>
            <w:r>
              <w:rPr>
                <w:noProof/>
              </w:rPr>
              <w:t>IAP - Turquie</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78</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78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156</w:t>
            </w:r>
          </w:p>
        </w:tc>
      </w:tr>
      <w:tr w:rsidR="00C37BB1">
        <w:trPr>
          <w:trHeight w:val="166"/>
        </w:trPr>
        <w:tc>
          <w:tcPr>
            <w:tcW w:w="14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7BB1" w:rsidRDefault="007C505C">
            <w:pPr>
              <w:jc w:val="center"/>
              <w:rPr>
                <w:rFonts w:eastAsia="Calibri"/>
                <w:noProof/>
              </w:rPr>
            </w:pPr>
            <w:r>
              <w:rPr>
                <w:noProof/>
              </w:rPr>
              <w:t xml:space="preserve">DEVCO </w:t>
            </w:r>
          </w:p>
        </w:tc>
        <w:tc>
          <w:tcPr>
            <w:tcW w:w="200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rPr>
                <w:rFonts w:eastAsia="Calibri"/>
                <w:noProof/>
              </w:rPr>
            </w:pPr>
            <w:r>
              <w:rPr>
                <w:noProof/>
              </w:rPr>
              <w:t xml:space="preserve">ICD </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50</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50</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100</w:t>
            </w:r>
          </w:p>
        </w:tc>
      </w:tr>
      <w:tr w:rsidR="00C37BB1">
        <w:trPr>
          <w:trHeight w:val="166"/>
        </w:trPr>
        <w:tc>
          <w:tcPr>
            <w:tcW w:w="14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7BB1" w:rsidRDefault="007C505C">
            <w:pPr>
              <w:jc w:val="center"/>
              <w:rPr>
                <w:rFonts w:eastAsia="Calibri"/>
                <w:noProof/>
              </w:rPr>
            </w:pPr>
            <w:r>
              <w:rPr>
                <w:noProof/>
              </w:rPr>
              <w:t>FPI</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rPr>
                <w:rFonts w:eastAsia="Calibri"/>
                <w:noProof/>
              </w:rPr>
            </w:pPr>
            <w:r>
              <w:rPr>
                <w:noProof/>
              </w:rPr>
              <w:t xml:space="preserve">Instrument contribuant à la stabilité et à la paix </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 35</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35</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70</w:t>
            </w:r>
          </w:p>
        </w:tc>
      </w:tr>
      <w:tr w:rsidR="00C37BB1">
        <w:trPr>
          <w:trHeight w:val="166"/>
        </w:trPr>
        <w:tc>
          <w:tcPr>
            <w:tcW w:w="14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37BB1" w:rsidRDefault="007C505C">
            <w:pPr>
              <w:jc w:val="center"/>
              <w:rPr>
                <w:noProof/>
              </w:rPr>
            </w:pPr>
            <w:r>
              <w:rPr>
                <w:noProof/>
              </w:rPr>
              <w:t>DEVCO</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37BB1" w:rsidRDefault="007C505C">
            <w:pPr>
              <w:rPr>
                <w:noProof/>
              </w:rPr>
            </w:pPr>
            <w:r>
              <w:rPr>
                <w:noProof/>
              </w:rPr>
              <w:t>IEDDH</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C37BB1" w:rsidRDefault="007C505C">
            <w:pPr>
              <w:jc w:val="center"/>
              <w:rPr>
                <w:noProof/>
              </w:rPr>
            </w:pPr>
            <w:r>
              <w:rPr>
                <w:noProof/>
              </w:rPr>
              <w:t>7</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C37BB1" w:rsidRDefault="007C505C">
            <w:pPr>
              <w:jc w:val="center"/>
              <w:rPr>
                <w:noProof/>
              </w:rPr>
            </w:pPr>
            <w:r>
              <w:rPr>
                <w:noProof/>
              </w:rPr>
              <w:t>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C37BB1" w:rsidRDefault="007C505C">
            <w:pPr>
              <w:jc w:val="center"/>
              <w:rPr>
                <w:b/>
                <w:bCs/>
                <w:noProof/>
              </w:rPr>
            </w:pPr>
            <w:r>
              <w:rPr>
                <w:b/>
                <w:noProof/>
              </w:rPr>
              <w:t>15</w:t>
            </w:r>
          </w:p>
        </w:tc>
      </w:tr>
      <w:tr w:rsidR="00C37BB1">
        <w:trPr>
          <w:trHeight w:val="166"/>
        </w:trPr>
        <w:tc>
          <w:tcPr>
            <w:tcW w:w="147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ECFIN</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rPr>
                <w:rFonts w:eastAsia="Calibri"/>
                <w:noProof/>
              </w:rPr>
            </w:pPr>
            <w:r>
              <w:rPr>
                <w:noProof/>
              </w:rPr>
              <w:t>Garantie de prêt*</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 </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65</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65</w:t>
            </w:r>
          </w:p>
        </w:tc>
      </w:tr>
      <w:tr w:rsidR="00C37BB1">
        <w:trPr>
          <w:trHeight w:val="331"/>
        </w:trPr>
        <w:tc>
          <w:tcPr>
            <w:tcW w:w="147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EAR  </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rPr>
                <w:rFonts w:eastAsia="Calibri"/>
                <w:noProof/>
              </w:rPr>
            </w:pPr>
            <w:r>
              <w:rPr>
                <w:noProof/>
              </w:rPr>
              <w:t>Réserve d'aide d'urgence*</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50</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noProof/>
              </w:rPr>
            </w:pPr>
            <w:r>
              <w:rPr>
                <w:noProof/>
              </w:rPr>
              <w:t> </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50</w:t>
            </w:r>
          </w:p>
        </w:tc>
      </w:tr>
      <w:tr w:rsidR="00C37BB1">
        <w:trPr>
          <w:trHeight w:val="166"/>
        </w:trPr>
        <w:tc>
          <w:tcPr>
            <w:tcW w:w="147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Total</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7BB1" w:rsidRDefault="007C505C">
            <w:pPr>
              <w:rPr>
                <w:rFonts w:eastAsia="Calibri"/>
                <w:b/>
                <w:bCs/>
                <w:noProof/>
              </w:rPr>
            </w:pPr>
            <w:r>
              <w:rPr>
                <w:b/>
                <w:noProof/>
              </w:rPr>
              <w:t> </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492</w:t>
            </w:r>
          </w:p>
        </w:tc>
        <w:tc>
          <w:tcPr>
            <w:tcW w:w="12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508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37BB1" w:rsidRDefault="007C505C">
            <w:pPr>
              <w:jc w:val="center"/>
              <w:rPr>
                <w:rFonts w:eastAsia="Calibri"/>
                <w:b/>
                <w:bCs/>
                <w:noProof/>
              </w:rPr>
            </w:pPr>
            <w:r>
              <w:rPr>
                <w:b/>
                <w:noProof/>
              </w:rPr>
              <w:t>1 000</w:t>
            </w:r>
          </w:p>
        </w:tc>
      </w:tr>
    </w:tbl>
    <w:p w:rsidR="00C37BB1" w:rsidRDefault="007C505C">
      <w:pPr>
        <w:ind w:left="720"/>
        <w:rPr>
          <w:rFonts w:eastAsia="Calibri"/>
          <w:noProof/>
        </w:rPr>
      </w:pPr>
      <w:r>
        <w:rPr>
          <w:noProof/>
        </w:rPr>
        <w:t xml:space="preserve">* Ces engagements pourront, sur proposition, soit être transférés (en 2015), soit être réaffectés (dans le projet de budget 2016) vers les instruments pertinents pour être mis en </w:t>
      </w:r>
      <w:r>
        <w:rPr>
          <w:noProof/>
        </w:rPr>
        <w:t>œuvre.</w:t>
      </w:r>
    </w:p>
    <w:p w:rsidR="00C37BB1" w:rsidRDefault="007C505C">
      <w:pPr>
        <w:pStyle w:val="ManualHeading3"/>
        <w:rPr>
          <w:bCs/>
          <w:noProof/>
          <w:szCs w:val="24"/>
        </w:rPr>
      </w:pPr>
      <w:r>
        <w:t>3.2.4.</w:t>
      </w:r>
      <w:r>
        <w:tab/>
      </w:r>
      <w:r>
        <w:rPr>
          <w:noProof/>
        </w:rPr>
        <w:t xml:space="preserve">Participation de tiers au financement </w:t>
      </w:r>
    </w:p>
    <w:p w:rsidR="00C37BB1" w:rsidRDefault="007C505C">
      <w:pPr>
        <w:pStyle w:val="ListDash1"/>
        <w:rPr>
          <w:noProof/>
        </w:rPr>
      </w:pPr>
      <w:r>
        <w:rPr>
          <w:noProof/>
        </w:rPr>
        <w:t xml:space="preserve">La proposition/l'initiative ne prévoit pas de cofinancement par des tierces parties. </w:t>
      </w:r>
    </w:p>
    <w:p w:rsidR="00C37BB1" w:rsidRDefault="00C37BB1">
      <w:pPr>
        <w:rPr>
          <w:noProof/>
        </w:rPr>
      </w:pPr>
    </w:p>
    <w:p w:rsidR="00C37BB1" w:rsidRDefault="007C505C">
      <w:pPr>
        <w:pStyle w:val="Heading2"/>
        <w:numPr>
          <w:ilvl w:val="1"/>
          <w:numId w:val="35"/>
        </w:numPr>
        <w:rPr>
          <w:bCs w:val="0"/>
          <w:noProof/>
          <w:szCs w:val="24"/>
        </w:rPr>
      </w:pPr>
      <w:r>
        <w:rPr>
          <w:noProof/>
        </w:rPr>
        <w:t xml:space="preserve">Incidence estimée sur les recettes </w:t>
      </w:r>
    </w:p>
    <w:p w:rsidR="00C37BB1" w:rsidRDefault="007C505C">
      <w:pPr>
        <w:pStyle w:val="ListDash1"/>
        <w:rPr>
          <w:noProof/>
        </w:rPr>
      </w:pPr>
      <w:r>
        <w:rPr>
          <w:noProof/>
        </w:rPr>
        <w:t>X</w:t>
      </w:r>
      <w:r>
        <w:rPr>
          <w:noProof/>
        </w:rPr>
        <w:tab/>
        <w:t>La proposition/l'initiative est sans incidence financière sur les recettes.</w:t>
      </w:r>
    </w:p>
    <w:p w:rsidR="00C37BB1" w:rsidRDefault="00C37BB1">
      <w:pPr>
        <w:spacing w:after="120" w:line="240" w:lineRule="auto"/>
        <w:jc w:val="both"/>
        <w:rPr>
          <w:rFonts w:ascii="Times New Roman" w:hAnsi="Times New Roman"/>
          <w:strike/>
          <w:noProof/>
          <w:sz w:val="24"/>
          <w:szCs w:val="24"/>
        </w:rPr>
      </w:pPr>
    </w:p>
    <w:sectPr w:rsidR="00C37BB1">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B1" w:rsidRDefault="007C505C">
      <w:pPr>
        <w:spacing w:after="0" w:line="240" w:lineRule="auto"/>
      </w:pPr>
      <w:r>
        <w:separator/>
      </w:r>
    </w:p>
  </w:endnote>
  <w:endnote w:type="continuationSeparator" w:id="0">
    <w:p w:rsidR="00C37BB1" w:rsidRDefault="007C505C">
      <w:pPr>
        <w:spacing w:after="0" w:line="240" w:lineRule="auto"/>
      </w:pPr>
      <w:r>
        <w:continuationSeparator/>
      </w:r>
    </w:p>
  </w:endnote>
  <w:endnote w:type="continuationNotice" w:id="1">
    <w:p w:rsidR="00C37BB1" w:rsidRDefault="00C37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7C505C">
    <w:pPr>
      <w:pStyle w:val="Footer"/>
      <w:jc w:val="center"/>
    </w:pPr>
    <w:r>
      <w:fldChar w:fldCharType="begin"/>
    </w:r>
    <w:r>
      <w:instrText xml:space="preserve"> PAGE   \* MERGEFORMAT </w:instrText>
    </w:r>
    <w:r>
      <w:fldChar w:fldCharType="separate"/>
    </w:r>
    <w:r>
      <w:rPr>
        <w:noProof/>
      </w:rPr>
      <w:t>35</w:t>
    </w:r>
    <w:r>
      <w:rPr>
        <w:noProof/>
      </w:rPr>
      <w:fldChar w:fldCharType="end"/>
    </w:r>
  </w:p>
  <w:p w:rsidR="00C37BB1" w:rsidRDefault="00C37BB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7C505C">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7C505C">
    <w:pPr>
      <w:pStyle w:val="Footer"/>
      <w:jc w:val="center"/>
    </w:pPr>
    <w:r>
      <w:fldChar w:fldCharType="begin"/>
    </w:r>
    <w:r>
      <w:instrText xml:space="preserve"> PAGE   \* MERGEFORMAT </w:instrText>
    </w:r>
    <w:r>
      <w:fldChar w:fldCharType="separate"/>
    </w:r>
    <w:r>
      <w:rPr>
        <w:noProof/>
      </w:rPr>
      <w:t>30</w:t>
    </w:r>
    <w:r>
      <w:rPr>
        <w:noProof/>
      </w:rPr>
      <w:fldChar w:fldCharType="end"/>
    </w:r>
  </w:p>
  <w:p w:rsidR="00C37BB1" w:rsidRDefault="00C37BB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7C505C">
    <w:pPr>
      <w:pStyle w:val="Footer"/>
      <w:jc w:val="center"/>
    </w:pPr>
    <w:r>
      <w:fldChar w:fldCharType="begin"/>
    </w:r>
    <w:r>
      <w:instrText xml:space="preserve"> PAGE   \* MERGEFORMAT </w:instrText>
    </w:r>
    <w:r>
      <w:fldChar w:fldCharType="separate"/>
    </w:r>
    <w:r>
      <w:rPr>
        <w:noProof/>
      </w:rPr>
      <w:t>33</w:t>
    </w:r>
    <w:r>
      <w:rPr>
        <w:noProof/>
      </w:rPr>
      <w:fldChar w:fldCharType="end"/>
    </w:r>
  </w:p>
  <w:p w:rsidR="00C37BB1" w:rsidRDefault="00C37BB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B1" w:rsidRDefault="007C505C">
      <w:pPr>
        <w:spacing w:after="0" w:line="240" w:lineRule="auto"/>
      </w:pPr>
      <w:r>
        <w:separator/>
      </w:r>
    </w:p>
  </w:footnote>
  <w:footnote w:type="continuationSeparator" w:id="0">
    <w:p w:rsidR="00C37BB1" w:rsidRDefault="007C505C">
      <w:pPr>
        <w:spacing w:after="0" w:line="240" w:lineRule="auto"/>
      </w:pPr>
      <w:r>
        <w:continuationSeparator/>
      </w:r>
    </w:p>
  </w:footnote>
  <w:footnote w:type="continuationNotice" w:id="1">
    <w:p w:rsidR="00C37BB1" w:rsidRDefault="00C37BB1">
      <w:pPr>
        <w:spacing w:after="0" w:line="240" w:lineRule="auto"/>
      </w:pPr>
    </w:p>
  </w:footnote>
  <w:footnote w:id="2">
    <w:p w:rsidR="00C37BB1" w:rsidRDefault="007C505C">
      <w:pPr>
        <w:pStyle w:val="FootnoteText"/>
        <w:spacing w:after="0"/>
        <w:rPr>
          <w:rFonts w:ascii="Times New Roman" w:hAnsi="Times New Roman"/>
        </w:rPr>
      </w:pPr>
      <w:r>
        <w:rPr>
          <w:rStyle w:val="FootnoteReference"/>
        </w:rPr>
        <w:footnoteRef/>
      </w:r>
      <w:r>
        <w:t xml:space="preserve"> </w:t>
      </w:r>
      <w:r>
        <w:rPr>
          <w:rFonts w:ascii="Times New Roman" w:hAnsi="Times New Roman"/>
        </w:rPr>
        <w:t>État islamique en Iraq et au Levant, dont l’acronyme en langue arabe est Daech.</w:t>
      </w:r>
    </w:p>
  </w:footnote>
  <w:footnote w:id="3">
    <w:p w:rsidR="00C37BB1" w:rsidRDefault="007C505C">
      <w:pPr>
        <w:pStyle w:val="FootnoteText"/>
        <w:spacing w:after="0"/>
        <w:rPr>
          <w:lang w:val="fr-BE"/>
        </w:rPr>
      </w:pPr>
      <w:r>
        <w:rPr>
          <w:rStyle w:val="FootnoteReference"/>
        </w:rPr>
        <w:footnoteRef/>
      </w:r>
      <w:r>
        <w:t xml:space="preserve"> </w:t>
      </w:r>
      <w:r>
        <w:rPr>
          <w:rFonts w:ascii="Times New Roman" w:hAnsi="Times New Roman"/>
        </w:rPr>
        <w:t xml:space="preserve">Communication  JOIN(2013) 22 du 24 juin 2013 «Vers une approche globale de l'UE face à la crise syrienne»;  «Stratégie de l'UE </w:t>
      </w:r>
      <w:r>
        <w:rPr>
          <w:rFonts w:ascii="Times New Roman" w:hAnsi="Times New Roman"/>
        </w:rPr>
        <w:t>concernant la lutte contre le terrorisme et les combattants étrangers», adoptée par le Conseil des affaires étrangères le 20 octobre 2014, réf. 14451/14.</w:t>
      </w:r>
    </w:p>
  </w:footnote>
  <w:footnote w:id="4">
    <w:p w:rsidR="00C37BB1" w:rsidRDefault="007C505C">
      <w:pPr>
        <w:pStyle w:val="FootnoteText"/>
        <w:rPr>
          <w:lang w:val="fr-BE"/>
        </w:rPr>
      </w:pPr>
      <w:r>
        <w:rPr>
          <w:rStyle w:val="FootnoteReference"/>
        </w:rPr>
        <w:footnoteRef/>
      </w:r>
      <w:r>
        <w:t xml:space="preserve"> L’accord d’association a été négocié entre 1997 et 2004 et réexaminé en 2008 mais jamais signé.</w:t>
      </w:r>
    </w:p>
  </w:footnote>
  <w:footnote w:id="5">
    <w:p w:rsidR="00C37BB1" w:rsidRDefault="007C505C">
      <w:pPr>
        <w:pStyle w:val="FootnoteText"/>
        <w:jc w:val="both"/>
        <w:rPr>
          <w:lang w:val="fr-BE"/>
        </w:rPr>
      </w:pPr>
      <w:r>
        <w:rPr>
          <w:rStyle w:val="FootnoteReference"/>
        </w:rPr>
        <w:footnoteRef/>
      </w:r>
      <w:r>
        <w:t xml:space="preserve"> En</w:t>
      </w:r>
      <w:r>
        <w:t>gagée en septembre 2014, la coalition internationale bénéficie de l'appui de plus de 60 pays, dont des pays clés de la région. L'UE soutient l'action de cette coalition, y compris sur le plan militaire, dans le respect du droit international.</w:t>
      </w:r>
    </w:p>
  </w:footnote>
  <w:footnote w:id="6">
    <w:p w:rsidR="00C37BB1" w:rsidRDefault="007C505C">
      <w:pPr>
        <w:pStyle w:val="FootnoteText"/>
        <w:rPr>
          <w:lang w:val="fr-BE"/>
        </w:rPr>
      </w:pPr>
      <w:r>
        <w:rPr>
          <w:rStyle w:val="FootnoteReference"/>
        </w:rPr>
        <w:footnoteRef/>
      </w:r>
      <w:r>
        <w:t xml:space="preserve"> Voir en par</w:t>
      </w:r>
      <w:r>
        <w:t>ticulier l'arrêt «Kadi II» du 18 juillet 2013 (affaires jointes C-584/10 P, C-593/10 P et C-595/10P)</w:t>
      </w:r>
    </w:p>
  </w:footnote>
  <w:footnote w:id="7">
    <w:p w:rsidR="00C37BB1" w:rsidRDefault="007C505C">
      <w:pPr>
        <w:pStyle w:val="FootnoteText"/>
        <w:rPr>
          <w:szCs w:val="24"/>
        </w:rPr>
      </w:pPr>
      <w:r>
        <w:rPr>
          <w:rStyle w:val="FootnoteReference"/>
        </w:rPr>
        <w:footnoteRef/>
      </w:r>
      <w:r>
        <w:tab/>
        <w:t>ABM: Activity-Based Management (gestion par activité) – ABB: activity-based budgeting (établissement du budget par activité).</w:t>
      </w:r>
    </w:p>
  </w:footnote>
  <w:footnote w:id="8">
    <w:p w:rsidR="00C37BB1" w:rsidRDefault="007C505C">
      <w:pPr>
        <w:pStyle w:val="FootnoteText"/>
        <w:rPr>
          <w:szCs w:val="24"/>
        </w:rPr>
      </w:pPr>
      <w:r>
        <w:rPr>
          <w:rStyle w:val="FootnoteReference"/>
        </w:rPr>
        <w:footnoteRef/>
      </w:r>
      <w:r>
        <w:tab/>
        <w:t>Tel(le) que visé(e) à l'a</w:t>
      </w:r>
      <w:r>
        <w:t>rticle 54, paragraphe 2, point a) ou b), du règlement financier.</w:t>
      </w:r>
    </w:p>
  </w:footnote>
  <w:footnote w:id="9">
    <w:p w:rsidR="00C37BB1" w:rsidRDefault="007C505C">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0">
    <w:p w:rsidR="00C37BB1" w:rsidRDefault="007C505C">
      <w:pPr>
        <w:pStyle w:val="FootnoteText"/>
        <w:rPr>
          <w:szCs w:val="24"/>
        </w:rPr>
      </w:pPr>
      <w:r>
        <w:rPr>
          <w:rStyle w:val="FootnoteReference"/>
        </w:rPr>
        <w:footnoteRef/>
      </w:r>
      <w:r>
        <w:tab/>
        <w:t>CD = crédits dissociés/CND = crédits non dissociés.</w:t>
      </w:r>
    </w:p>
  </w:footnote>
  <w:footnote w:id="11">
    <w:p w:rsidR="00C37BB1" w:rsidRDefault="007C505C">
      <w:pPr>
        <w:pStyle w:val="FootnoteText"/>
        <w:rPr>
          <w:szCs w:val="24"/>
        </w:rPr>
      </w:pPr>
      <w:r>
        <w:rPr>
          <w:rStyle w:val="FootnoteReference"/>
        </w:rPr>
        <w:footnoteRef/>
      </w:r>
      <w:r>
        <w:tab/>
        <w:t xml:space="preserve">AELE: Association européenne de libre-échange. </w:t>
      </w:r>
    </w:p>
  </w:footnote>
  <w:footnote w:id="12">
    <w:p w:rsidR="00C37BB1" w:rsidRDefault="007C505C">
      <w:pPr>
        <w:pStyle w:val="FootnoteText"/>
        <w:rPr>
          <w:szCs w:val="24"/>
        </w:rPr>
      </w:pPr>
      <w:r>
        <w:rPr>
          <w:rStyle w:val="FootnoteReference"/>
        </w:rPr>
        <w:footnoteRef/>
      </w:r>
      <w:r>
        <w:tab/>
        <w:t>Pays candidats et, le cas échéant, pays candidats potentiels des Balkans occidenta</w:t>
      </w:r>
      <w:r>
        <w:t>ux.</w:t>
      </w:r>
    </w:p>
  </w:footnote>
  <w:footnote w:id="13">
    <w:p w:rsidR="00C37BB1" w:rsidRDefault="007C505C">
      <w:pPr>
        <w:pStyle w:val="FootnoteText"/>
        <w:rPr>
          <w:szCs w:val="24"/>
        </w:rPr>
      </w:pPr>
      <w:r>
        <w:rPr>
          <w:rStyle w:val="FootnoteReference"/>
        </w:rPr>
        <w:footnoteRef/>
      </w:r>
      <w:r>
        <w:tab/>
        <w:t>L'année N est l'année du début de la mise en œuvre de la proposition/de l'initiative.</w:t>
      </w:r>
    </w:p>
  </w:footnote>
  <w:footnote w:id="14">
    <w:p w:rsidR="00C37BB1" w:rsidRDefault="007C505C">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w:t>
      </w:r>
      <w:r>
        <w:t>e, recherche directe.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B1" w:rsidRDefault="00C37BB1">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2585"/>
    <w:multiLevelType w:val="hybridMultilevel"/>
    <w:tmpl w:val="1DA0E588"/>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
    <w:nsid w:val="0ED95539"/>
    <w:multiLevelType w:val="hybridMultilevel"/>
    <w:tmpl w:val="CE6A2E6C"/>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3072D6"/>
    <w:multiLevelType w:val="hybridMultilevel"/>
    <w:tmpl w:val="E25ED870"/>
    <w:lvl w:ilvl="0" w:tplc="C0E45E32">
      <w:numFmt w:val="bullet"/>
      <w:lvlText w:val="-"/>
      <w:lvlJc w:val="left"/>
      <w:pPr>
        <w:ind w:left="720" w:hanging="360"/>
      </w:pPr>
      <w:rPr>
        <w:rFonts w:ascii="Calibri" w:eastAsia="Times New Roman" w:hAnsi="Calibri" w:cs="Times New Roman"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20B9E"/>
    <w:multiLevelType w:val="hybridMultilevel"/>
    <w:tmpl w:val="D178981E"/>
    <w:lvl w:ilvl="0" w:tplc="4044E816">
      <w:numFmt w:val="bullet"/>
      <w:lvlText w:val="-"/>
      <w:lvlJc w:val="left"/>
      <w:pPr>
        <w:ind w:left="1440" w:hanging="360"/>
      </w:pPr>
      <w:rPr>
        <w:rFonts w:ascii="Calibri" w:eastAsia="Times New Roman"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7762C3C"/>
    <w:multiLevelType w:val="hybridMultilevel"/>
    <w:tmpl w:val="7C788776"/>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1C5BEA"/>
    <w:multiLevelType w:val="hybridMultilevel"/>
    <w:tmpl w:val="6226A188"/>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33D1CE4"/>
    <w:multiLevelType w:val="hybridMultilevel"/>
    <w:tmpl w:val="1A4C25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076F2"/>
    <w:multiLevelType w:val="hybridMultilevel"/>
    <w:tmpl w:val="F318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EE3E4B"/>
    <w:multiLevelType w:val="hybridMultilevel"/>
    <w:tmpl w:val="393C0182"/>
    <w:lvl w:ilvl="0" w:tplc="4044E81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2107CF"/>
    <w:multiLevelType w:val="hybridMultilevel"/>
    <w:tmpl w:val="79E6009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nsid w:val="45645943"/>
    <w:multiLevelType w:val="hybridMultilevel"/>
    <w:tmpl w:val="392CA97A"/>
    <w:lvl w:ilvl="0" w:tplc="08090001">
      <w:start w:val="1"/>
      <w:numFmt w:val="bullet"/>
      <w:pStyle w:val="Country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622BB6"/>
    <w:multiLevelType w:val="hybridMultilevel"/>
    <w:tmpl w:val="C7EAF0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4">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5">
    <w:nsid w:val="4DB72FD5"/>
    <w:multiLevelType w:val="hybridMultilevel"/>
    <w:tmpl w:val="8FB6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DD1D6C"/>
    <w:multiLevelType w:val="hybridMultilevel"/>
    <w:tmpl w:val="6C8E1A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BCC6BA7"/>
    <w:multiLevelType w:val="hybridMultilevel"/>
    <w:tmpl w:val="437EA68E"/>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E55226E"/>
    <w:multiLevelType w:val="hybridMultilevel"/>
    <w:tmpl w:val="3D3CBBB2"/>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0EC0692"/>
    <w:multiLevelType w:val="hybridMultilevel"/>
    <w:tmpl w:val="8544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60468A"/>
    <w:multiLevelType w:val="hybridMultilevel"/>
    <w:tmpl w:val="49DAA24C"/>
    <w:lvl w:ilvl="0" w:tplc="4044E816">
      <w:numFmt w:val="bullet"/>
      <w:lvlText w:val="-"/>
      <w:lvlJc w:val="left"/>
      <w:pPr>
        <w:ind w:left="720" w:hanging="360"/>
      </w:pPr>
      <w:rPr>
        <w:rFonts w:ascii="Calibri" w:eastAsia="Times New Roman" w:hAnsi="Calibri" w:cs="Times New Roman" w:hint="default"/>
      </w:rPr>
    </w:lvl>
    <w:lvl w:ilvl="1" w:tplc="4044E816">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52D4807"/>
    <w:multiLevelType w:val="hybridMultilevel"/>
    <w:tmpl w:val="CA549F3C"/>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69B037C"/>
    <w:multiLevelType w:val="hybridMultilevel"/>
    <w:tmpl w:val="A76A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C0242E"/>
    <w:multiLevelType w:val="hybridMultilevel"/>
    <w:tmpl w:val="3D44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8E36FA"/>
    <w:multiLevelType w:val="hybridMultilevel"/>
    <w:tmpl w:val="9D58CEEE"/>
    <w:lvl w:ilvl="0" w:tplc="4044E81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D44005B"/>
    <w:multiLevelType w:val="hybridMultilevel"/>
    <w:tmpl w:val="877C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5"/>
  </w:num>
  <w:num w:numId="4">
    <w:abstractNumId w:val="9"/>
  </w:num>
  <w:num w:numId="5">
    <w:abstractNumId w:val="16"/>
  </w:num>
  <w:num w:numId="6">
    <w:abstractNumId w:val="7"/>
  </w:num>
  <w:num w:numId="7">
    <w:abstractNumId w:val="20"/>
  </w:num>
  <w:num w:numId="8">
    <w:abstractNumId w:val="4"/>
  </w:num>
  <w:num w:numId="9">
    <w:abstractNumId w:val="22"/>
  </w:num>
  <w:num w:numId="10">
    <w:abstractNumId w:val="2"/>
  </w:num>
  <w:num w:numId="11">
    <w:abstractNumId w:val="6"/>
  </w:num>
  <w:num w:numId="12">
    <w:abstractNumId w:val="18"/>
  </w:num>
  <w:num w:numId="13">
    <w:abstractNumId w:val="5"/>
  </w:num>
  <w:num w:numId="14">
    <w:abstractNumId w:val="0"/>
  </w:num>
  <w:num w:numId="15">
    <w:abstractNumId w:val="25"/>
  </w:num>
  <w:num w:numId="16">
    <w:abstractNumId w:val="17"/>
  </w:num>
  <w:num w:numId="17">
    <w:abstractNumId w:val="20"/>
  </w:num>
  <w:num w:numId="18">
    <w:abstractNumId w:val="0"/>
  </w:num>
  <w:num w:numId="19">
    <w:abstractNumId w:val="25"/>
  </w:num>
  <w:num w:numId="20">
    <w:abstractNumId w:val="18"/>
  </w:num>
  <w:num w:numId="21">
    <w:abstractNumId w:val="3"/>
  </w:num>
  <w:num w:numId="22">
    <w:abstractNumId w:val="6"/>
  </w:num>
  <w:num w:numId="23">
    <w:abstractNumId w:val="12"/>
  </w:num>
  <w:num w:numId="24">
    <w:abstractNumId w:val="4"/>
  </w:num>
  <w:num w:numId="25">
    <w:abstractNumId w:val="24"/>
  </w:num>
  <w:num w:numId="26">
    <w:abstractNumId w:val="10"/>
  </w:num>
  <w:num w:numId="27">
    <w:abstractNumId w:val="8"/>
  </w:num>
  <w:num w:numId="28">
    <w:abstractNumId w:val="19"/>
  </w:num>
  <w:num w:numId="29">
    <w:abstractNumId w:val="23"/>
  </w:num>
  <w:num w:numId="30">
    <w:abstractNumId w:val="22"/>
  </w:num>
  <w:num w:numId="31">
    <w:abstractNumId w:val="1"/>
  </w:num>
  <w:num w:numId="32">
    <w:abstractNumId w:val="14"/>
  </w:num>
  <w:num w:numId="33">
    <w:abstractNumId w:val="1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mailMerge>
    <w:mainDocumentType w:val="formLetters"/>
    <w:dataType w:val="textFile"/>
    <w:activeRecord w:val="-1"/>
    <w:odso/>
  </w:mailMerge>
  <w:doNotTrackMoves/>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CEE63F08E51465EB82321E758AA9AAD"/>
    <w:docVar w:name="LW_CROSSREFERENCE" w:val="&lt;UNUSED&gt;"/>
    <w:docVar w:name="LW_DocType" w:val="NORMAL"/>
    <w:docVar w:name="LW_EMISSION" w:val="6.2.2015"/>
    <w:docVar w:name="LW_EMISSION_ISODATE" w:val="2015-02-06"/>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 _x000b_L'UNION EUROPÉENNE POUR_x000b_LES AFFAIRES ÉTRANGÈRES ET _x000b_LA POLITIQUE DE SÉCURITÉ "/>
    <w:docVar w:name="LW_PART_NBR" w:val="1"/>
    <w:docVar w:name="LW_PART_NBR_TOTAL" w:val="1"/>
    <w:docVar w:name="LW_REF.INST.NEW" w:val="JOIN"/>
    <w:docVar w:name="LW_REF.INST.NEW_ADOPTED" w:val="final"/>
    <w:docVar w:name="LW_REF.INST.NEW_TEXT" w:val="(2015) 2"/>
    <w:docVar w:name="LW_REF.INTERNE" w:val="&lt;UNUSED&gt;"/>
    <w:docVar w:name="LW_SOUS.TITRE.OBJ.CP" w:val="&lt;UNUSED&gt;"/>
    <w:docVar w:name="LW_SUPERTITRE" w:val="&lt;UNUSED&gt;"/>
    <w:docVar w:name="LW_TITRE.OBJ.CP" w:val="Éléments relatifs à une stratégie régionale de l'UE pour la Syrie et l'Iraq ainsi que pour la menace que constitue Daech"/>
    <w:docVar w:name="LW_TYPE.DOC.CP" w:val="COMMUNICATION CONJOINTE AU PARLEMENT EUROPÉEN ET AU CONSEIL"/>
    <w:docVar w:name="LW_TYPE.DOC.CP.USERTEXT" w:val="&lt;EMPTY&gt;"/>
  </w:docVars>
  <w:rsids>
    <w:rsidRoot w:val="00C37BB1"/>
    <w:rsid w:val="007C505C"/>
    <w:rsid w:val="00C37B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2"/>
      <w:szCs w:val="22"/>
    </w:rPr>
  </w:style>
  <w:style w:type="paragraph" w:styleId="Heading1">
    <w:name w:val="heading 1"/>
    <w:basedOn w:val="Normal"/>
    <w:next w:val="Text1"/>
    <w:link w:val="Heading1Char"/>
    <w:uiPriority w:val="9"/>
    <w:qFormat/>
    <w:pPr>
      <w:keepNext/>
      <w:numPr>
        <w:numId w:val="34"/>
      </w:numPr>
      <w:spacing w:before="360" w:after="120" w:line="240" w:lineRule="auto"/>
      <w:jc w:val="both"/>
      <w:outlineLvl w:val="0"/>
    </w:pPr>
    <w:rPr>
      <w:rFonts w:ascii="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34"/>
      </w:numPr>
      <w:spacing w:before="120" w:after="120" w:line="240" w:lineRule="auto"/>
      <w:jc w:val="both"/>
      <w:outlineLvl w:val="1"/>
    </w:pPr>
    <w:rPr>
      <w:rFonts w:ascii="Times New Roman" w:hAnsi="Times New Roman"/>
      <w:b/>
      <w:bCs/>
      <w:sz w:val="24"/>
      <w:szCs w:val="26"/>
    </w:rPr>
  </w:style>
  <w:style w:type="paragraph" w:styleId="Heading3">
    <w:name w:val="heading 3"/>
    <w:basedOn w:val="Normal"/>
    <w:next w:val="Text1"/>
    <w:link w:val="Heading3Char"/>
    <w:uiPriority w:val="9"/>
    <w:qFormat/>
    <w:pPr>
      <w:keepNext/>
      <w:numPr>
        <w:ilvl w:val="2"/>
        <w:numId w:val="34"/>
      </w:numPr>
      <w:spacing w:before="120" w:after="120" w:line="240" w:lineRule="auto"/>
      <w:jc w:val="both"/>
      <w:outlineLvl w:val="2"/>
    </w:pPr>
    <w:rPr>
      <w:rFonts w:ascii="Times New Roman" w:hAnsi="Times New Roman"/>
      <w:bCs/>
      <w:i/>
      <w:sz w:val="24"/>
      <w:szCs w:val="20"/>
    </w:rPr>
  </w:style>
  <w:style w:type="paragraph" w:styleId="Heading4">
    <w:name w:val="heading 4"/>
    <w:basedOn w:val="Normal"/>
    <w:next w:val="Text1"/>
    <w:link w:val="Heading4Char"/>
    <w:uiPriority w:val="9"/>
    <w:qFormat/>
    <w:pPr>
      <w:keepNext/>
      <w:numPr>
        <w:ilvl w:val="3"/>
        <w:numId w:val="34"/>
      </w:numPr>
      <w:spacing w:before="120" w:after="120" w:line="240" w:lineRule="auto"/>
      <w:jc w:val="both"/>
      <w:outlineLvl w:val="3"/>
    </w:pPr>
    <w:rPr>
      <w:rFonts w:ascii="Times New Roman" w:hAnsi="Times New Roman"/>
      <w:bCs/>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6"/>
        <w:tab w:val="right" w:pos="9072"/>
      </w:tabs>
    </w:pPr>
    <w:rPr>
      <w:rFonts w:eastAsia="Calibri"/>
    </w:r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rPr>
      <w:rFonts w:eastAsia="Calibri"/>
    </w:rPr>
  </w:style>
  <w:style w:type="character" w:customStyle="1" w:styleId="FooterChar">
    <w:name w:val="Footer Char"/>
    <w:link w:val="Footer"/>
    <w:uiPriority w:val="99"/>
    <w:rPr>
      <w:sz w:val="22"/>
      <w:szCs w:val="22"/>
      <w:lang w:eastAsia="fr-FR"/>
    </w:rPr>
  </w:style>
  <w:style w:type="paragraph" w:styleId="FootnoteText">
    <w:name w:val="footnote text"/>
    <w:basedOn w:val="Normal"/>
    <w:link w:val="FootnoteTextChar"/>
    <w:uiPriority w:val="99"/>
    <w:unhideWhenUsed/>
    <w:rPr>
      <w:rFonts w:eastAsia="Calibri"/>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CountryparaChar">
    <w:name w:val="Country para Char"/>
    <w:link w:val="Countrypara"/>
    <w:locked/>
    <w:rPr>
      <w:rFonts w:ascii="Arial" w:hAnsi="Arial"/>
      <w:sz w:val="28"/>
      <w:szCs w:val="28"/>
      <w:lang w:val="fr-FR" w:eastAsia="fr-FR"/>
    </w:rPr>
  </w:style>
  <w:style w:type="paragraph" w:customStyle="1" w:styleId="Countrypara">
    <w:name w:val="Country para"/>
    <w:basedOn w:val="Normal"/>
    <w:link w:val="CountryparaChar"/>
    <w:qFormat/>
    <w:pPr>
      <w:numPr>
        <w:numId w:val="1"/>
      </w:numPr>
      <w:spacing w:after="0" w:line="240" w:lineRule="auto"/>
      <w:ind w:hanging="180"/>
      <w:jc w:val="both"/>
    </w:pPr>
    <w:rPr>
      <w:rFonts w:ascii="Arial" w:eastAsia="Calibri" w:hAnsi="Arial"/>
      <w:sz w:val="28"/>
      <w:szCs w:val="28"/>
    </w:rPr>
  </w:style>
  <w:style w:type="paragraph" w:styleId="NoSpacing">
    <w:name w:val="No Spacing"/>
    <w:uiPriority w:val="1"/>
    <w:qFormat/>
    <w:rPr>
      <w:sz w:val="22"/>
      <w:szCs w:val="22"/>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pPr>
      <w:spacing w:after="0" w:line="240" w:lineRule="auto"/>
      <w:ind w:left="720"/>
      <w:contextualSpacing/>
    </w:pPr>
    <w:rPr>
      <w:rFonts w:eastAsia="Calibri"/>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link w:val="ListParagraph"/>
    <w:uiPriority w:val="34"/>
    <w:qFormat/>
    <w:locked/>
    <w:rPr>
      <w:sz w:val="22"/>
      <w:szCs w:val="22"/>
    </w:rPr>
  </w:style>
  <w:style w:type="paragraph" w:customStyle="1" w:styleId="CM4">
    <w:name w:val="CM4"/>
    <w:basedOn w:val="Normal"/>
    <w:uiPriority w:val="99"/>
    <w:pPr>
      <w:autoSpaceDE w:val="0"/>
      <w:autoSpaceDN w:val="0"/>
      <w:spacing w:after="0" w:line="240" w:lineRule="auto"/>
    </w:pPr>
    <w:rPr>
      <w:rFonts w:ascii="EUAlbertina" w:eastAsia="Calibri" w:hAnsi="EUAlbertina"/>
      <w:sz w:val="24"/>
      <w:szCs w:val="24"/>
    </w:rPr>
  </w:style>
  <w:style w:type="paragraph" w:styleId="Revision">
    <w:name w:val="Revision"/>
    <w:hidden/>
    <w:uiPriority w:val="99"/>
    <w:semiHidden/>
    <w:rPr>
      <w:rFonts w:eastAsia="Times New Roman"/>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paragraph" w:customStyle="1" w:styleId="ListBullet1">
    <w:name w:val="List Bullet 1"/>
    <w:basedOn w:val="Normal"/>
    <w:pPr>
      <w:numPr>
        <w:numId w:val="31"/>
      </w:numPr>
      <w:spacing w:before="120" w:after="120" w:line="240" w:lineRule="auto"/>
      <w:jc w:val="both"/>
    </w:pPr>
    <w:rPr>
      <w:rFonts w:ascii="Times New Roman" w:hAnsi="Times New Roman"/>
      <w:sz w:val="24"/>
      <w:szCs w:val="20"/>
    </w:rPr>
  </w:style>
  <w:style w:type="paragraph" w:customStyle="1" w:styleId="ListDash1">
    <w:name w:val="List Dash 1"/>
    <w:basedOn w:val="Normal"/>
    <w:pPr>
      <w:numPr>
        <w:numId w:val="32"/>
      </w:numPr>
      <w:spacing w:before="120" w:after="120" w:line="240" w:lineRule="auto"/>
      <w:jc w:val="both"/>
    </w:pPr>
    <w:rPr>
      <w:rFonts w:ascii="Times New Roman" w:hAnsi="Times New Roman"/>
      <w:sz w:val="24"/>
      <w:szCs w:val="20"/>
    </w:rPr>
  </w:style>
  <w:style w:type="paragraph" w:customStyle="1" w:styleId="ListDash2">
    <w:name w:val="List Dash 2"/>
    <w:basedOn w:val="Normal"/>
    <w:pPr>
      <w:numPr>
        <w:numId w:val="33"/>
      </w:numPr>
      <w:spacing w:before="120" w:after="120" w:line="240" w:lineRule="auto"/>
      <w:jc w:val="both"/>
    </w:pPr>
    <w:rPr>
      <w:rFonts w:ascii="Times New Roman" w:hAnsi="Times New Roman"/>
      <w:sz w:val="24"/>
      <w:szCs w:val="20"/>
    </w:rPr>
  </w:style>
  <w:style w:type="character" w:styleId="Hyperlink">
    <w:name w:val="Hyperlink"/>
    <w:rPr>
      <w:rFonts w:cs="Times New Roman"/>
      <w:color w:val="0000FF"/>
      <w:u w:val="single"/>
      <w:lang w:val="fr-FR" w:eastAsia="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szCs w:val="20"/>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szCs w:val="20"/>
    </w:rPr>
  </w:style>
  <w:style w:type="paragraph" w:customStyle="1" w:styleId="Text1">
    <w:name w:val="Text 1"/>
    <w:basedOn w:val="Normal"/>
    <w:pPr>
      <w:spacing w:before="120" w:after="120" w:line="240" w:lineRule="auto"/>
      <w:ind w:left="850"/>
      <w:jc w:val="both"/>
    </w:pPr>
    <w:rPr>
      <w:rFonts w:ascii="Times New Roman" w:hAnsi="Times New Roman"/>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5972">
      <w:bodyDiv w:val="1"/>
      <w:marLeft w:val="0"/>
      <w:marRight w:val="0"/>
      <w:marTop w:val="0"/>
      <w:marBottom w:val="0"/>
      <w:divBdr>
        <w:top w:val="none" w:sz="0" w:space="0" w:color="auto"/>
        <w:left w:val="none" w:sz="0" w:space="0" w:color="auto"/>
        <w:bottom w:val="none" w:sz="0" w:space="0" w:color="auto"/>
        <w:right w:val="none" w:sz="0" w:space="0" w:color="auto"/>
      </w:divBdr>
    </w:div>
    <w:div w:id="104084739">
      <w:bodyDiv w:val="1"/>
      <w:marLeft w:val="0"/>
      <w:marRight w:val="0"/>
      <w:marTop w:val="0"/>
      <w:marBottom w:val="0"/>
      <w:divBdr>
        <w:top w:val="none" w:sz="0" w:space="0" w:color="auto"/>
        <w:left w:val="none" w:sz="0" w:space="0" w:color="auto"/>
        <w:bottom w:val="none" w:sz="0" w:space="0" w:color="auto"/>
        <w:right w:val="none" w:sz="0" w:space="0" w:color="auto"/>
      </w:divBdr>
    </w:div>
    <w:div w:id="131532038">
      <w:bodyDiv w:val="1"/>
      <w:marLeft w:val="0"/>
      <w:marRight w:val="0"/>
      <w:marTop w:val="0"/>
      <w:marBottom w:val="0"/>
      <w:divBdr>
        <w:top w:val="none" w:sz="0" w:space="0" w:color="auto"/>
        <w:left w:val="none" w:sz="0" w:space="0" w:color="auto"/>
        <w:bottom w:val="none" w:sz="0" w:space="0" w:color="auto"/>
        <w:right w:val="none" w:sz="0" w:space="0" w:color="auto"/>
      </w:divBdr>
    </w:div>
    <w:div w:id="132529021">
      <w:bodyDiv w:val="1"/>
      <w:marLeft w:val="0"/>
      <w:marRight w:val="0"/>
      <w:marTop w:val="0"/>
      <w:marBottom w:val="0"/>
      <w:divBdr>
        <w:top w:val="none" w:sz="0" w:space="0" w:color="auto"/>
        <w:left w:val="none" w:sz="0" w:space="0" w:color="auto"/>
        <w:bottom w:val="none" w:sz="0" w:space="0" w:color="auto"/>
        <w:right w:val="none" w:sz="0" w:space="0" w:color="auto"/>
      </w:divBdr>
    </w:div>
    <w:div w:id="146554603">
      <w:bodyDiv w:val="1"/>
      <w:marLeft w:val="0"/>
      <w:marRight w:val="0"/>
      <w:marTop w:val="0"/>
      <w:marBottom w:val="0"/>
      <w:divBdr>
        <w:top w:val="none" w:sz="0" w:space="0" w:color="auto"/>
        <w:left w:val="none" w:sz="0" w:space="0" w:color="auto"/>
        <w:bottom w:val="none" w:sz="0" w:space="0" w:color="auto"/>
        <w:right w:val="none" w:sz="0" w:space="0" w:color="auto"/>
      </w:divBdr>
    </w:div>
    <w:div w:id="159319078">
      <w:bodyDiv w:val="1"/>
      <w:marLeft w:val="0"/>
      <w:marRight w:val="0"/>
      <w:marTop w:val="0"/>
      <w:marBottom w:val="0"/>
      <w:divBdr>
        <w:top w:val="none" w:sz="0" w:space="0" w:color="auto"/>
        <w:left w:val="none" w:sz="0" w:space="0" w:color="auto"/>
        <w:bottom w:val="none" w:sz="0" w:space="0" w:color="auto"/>
        <w:right w:val="none" w:sz="0" w:space="0" w:color="auto"/>
      </w:divBdr>
    </w:div>
    <w:div w:id="184682403">
      <w:bodyDiv w:val="1"/>
      <w:marLeft w:val="0"/>
      <w:marRight w:val="0"/>
      <w:marTop w:val="0"/>
      <w:marBottom w:val="0"/>
      <w:divBdr>
        <w:top w:val="none" w:sz="0" w:space="0" w:color="auto"/>
        <w:left w:val="none" w:sz="0" w:space="0" w:color="auto"/>
        <w:bottom w:val="none" w:sz="0" w:space="0" w:color="auto"/>
        <w:right w:val="none" w:sz="0" w:space="0" w:color="auto"/>
      </w:divBdr>
    </w:div>
    <w:div w:id="188958646">
      <w:bodyDiv w:val="1"/>
      <w:marLeft w:val="0"/>
      <w:marRight w:val="0"/>
      <w:marTop w:val="0"/>
      <w:marBottom w:val="0"/>
      <w:divBdr>
        <w:top w:val="none" w:sz="0" w:space="0" w:color="auto"/>
        <w:left w:val="none" w:sz="0" w:space="0" w:color="auto"/>
        <w:bottom w:val="none" w:sz="0" w:space="0" w:color="auto"/>
        <w:right w:val="none" w:sz="0" w:space="0" w:color="auto"/>
      </w:divBdr>
    </w:div>
    <w:div w:id="242029638">
      <w:bodyDiv w:val="1"/>
      <w:marLeft w:val="0"/>
      <w:marRight w:val="0"/>
      <w:marTop w:val="0"/>
      <w:marBottom w:val="0"/>
      <w:divBdr>
        <w:top w:val="none" w:sz="0" w:space="0" w:color="auto"/>
        <w:left w:val="none" w:sz="0" w:space="0" w:color="auto"/>
        <w:bottom w:val="none" w:sz="0" w:space="0" w:color="auto"/>
        <w:right w:val="none" w:sz="0" w:space="0" w:color="auto"/>
      </w:divBdr>
    </w:div>
    <w:div w:id="256409564">
      <w:bodyDiv w:val="1"/>
      <w:marLeft w:val="0"/>
      <w:marRight w:val="0"/>
      <w:marTop w:val="0"/>
      <w:marBottom w:val="0"/>
      <w:divBdr>
        <w:top w:val="none" w:sz="0" w:space="0" w:color="auto"/>
        <w:left w:val="none" w:sz="0" w:space="0" w:color="auto"/>
        <w:bottom w:val="none" w:sz="0" w:space="0" w:color="auto"/>
        <w:right w:val="none" w:sz="0" w:space="0" w:color="auto"/>
      </w:divBdr>
    </w:div>
    <w:div w:id="343166362">
      <w:bodyDiv w:val="1"/>
      <w:marLeft w:val="0"/>
      <w:marRight w:val="0"/>
      <w:marTop w:val="0"/>
      <w:marBottom w:val="0"/>
      <w:divBdr>
        <w:top w:val="none" w:sz="0" w:space="0" w:color="auto"/>
        <w:left w:val="none" w:sz="0" w:space="0" w:color="auto"/>
        <w:bottom w:val="none" w:sz="0" w:space="0" w:color="auto"/>
        <w:right w:val="none" w:sz="0" w:space="0" w:color="auto"/>
      </w:divBdr>
    </w:div>
    <w:div w:id="398527405">
      <w:bodyDiv w:val="1"/>
      <w:marLeft w:val="0"/>
      <w:marRight w:val="0"/>
      <w:marTop w:val="0"/>
      <w:marBottom w:val="0"/>
      <w:divBdr>
        <w:top w:val="none" w:sz="0" w:space="0" w:color="auto"/>
        <w:left w:val="none" w:sz="0" w:space="0" w:color="auto"/>
        <w:bottom w:val="none" w:sz="0" w:space="0" w:color="auto"/>
        <w:right w:val="none" w:sz="0" w:space="0" w:color="auto"/>
      </w:divBdr>
    </w:div>
    <w:div w:id="421613078">
      <w:bodyDiv w:val="1"/>
      <w:marLeft w:val="0"/>
      <w:marRight w:val="0"/>
      <w:marTop w:val="0"/>
      <w:marBottom w:val="0"/>
      <w:divBdr>
        <w:top w:val="none" w:sz="0" w:space="0" w:color="auto"/>
        <w:left w:val="none" w:sz="0" w:space="0" w:color="auto"/>
        <w:bottom w:val="none" w:sz="0" w:space="0" w:color="auto"/>
        <w:right w:val="none" w:sz="0" w:space="0" w:color="auto"/>
      </w:divBdr>
    </w:div>
    <w:div w:id="478496395">
      <w:bodyDiv w:val="1"/>
      <w:marLeft w:val="0"/>
      <w:marRight w:val="0"/>
      <w:marTop w:val="0"/>
      <w:marBottom w:val="0"/>
      <w:divBdr>
        <w:top w:val="none" w:sz="0" w:space="0" w:color="auto"/>
        <w:left w:val="none" w:sz="0" w:space="0" w:color="auto"/>
        <w:bottom w:val="none" w:sz="0" w:space="0" w:color="auto"/>
        <w:right w:val="none" w:sz="0" w:space="0" w:color="auto"/>
      </w:divBdr>
    </w:div>
    <w:div w:id="485825124">
      <w:bodyDiv w:val="1"/>
      <w:marLeft w:val="0"/>
      <w:marRight w:val="0"/>
      <w:marTop w:val="0"/>
      <w:marBottom w:val="0"/>
      <w:divBdr>
        <w:top w:val="none" w:sz="0" w:space="0" w:color="auto"/>
        <w:left w:val="none" w:sz="0" w:space="0" w:color="auto"/>
        <w:bottom w:val="none" w:sz="0" w:space="0" w:color="auto"/>
        <w:right w:val="none" w:sz="0" w:space="0" w:color="auto"/>
      </w:divBdr>
    </w:div>
    <w:div w:id="563638070">
      <w:bodyDiv w:val="1"/>
      <w:marLeft w:val="0"/>
      <w:marRight w:val="0"/>
      <w:marTop w:val="0"/>
      <w:marBottom w:val="0"/>
      <w:divBdr>
        <w:top w:val="none" w:sz="0" w:space="0" w:color="auto"/>
        <w:left w:val="none" w:sz="0" w:space="0" w:color="auto"/>
        <w:bottom w:val="none" w:sz="0" w:space="0" w:color="auto"/>
        <w:right w:val="none" w:sz="0" w:space="0" w:color="auto"/>
      </w:divBdr>
    </w:div>
    <w:div w:id="621427860">
      <w:bodyDiv w:val="1"/>
      <w:marLeft w:val="0"/>
      <w:marRight w:val="0"/>
      <w:marTop w:val="0"/>
      <w:marBottom w:val="0"/>
      <w:divBdr>
        <w:top w:val="none" w:sz="0" w:space="0" w:color="auto"/>
        <w:left w:val="none" w:sz="0" w:space="0" w:color="auto"/>
        <w:bottom w:val="none" w:sz="0" w:space="0" w:color="auto"/>
        <w:right w:val="none" w:sz="0" w:space="0" w:color="auto"/>
      </w:divBdr>
    </w:div>
    <w:div w:id="695814496">
      <w:bodyDiv w:val="1"/>
      <w:marLeft w:val="0"/>
      <w:marRight w:val="0"/>
      <w:marTop w:val="0"/>
      <w:marBottom w:val="0"/>
      <w:divBdr>
        <w:top w:val="none" w:sz="0" w:space="0" w:color="auto"/>
        <w:left w:val="none" w:sz="0" w:space="0" w:color="auto"/>
        <w:bottom w:val="none" w:sz="0" w:space="0" w:color="auto"/>
        <w:right w:val="none" w:sz="0" w:space="0" w:color="auto"/>
      </w:divBdr>
    </w:div>
    <w:div w:id="722295044">
      <w:bodyDiv w:val="1"/>
      <w:marLeft w:val="0"/>
      <w:marRight w:val="0"/>
      <w:marTop w:val="0"/>
      <w:marBottom w:val="0"/>
      <w:divBdr>
        <w:top w:val="none" w:sz="0" w:space="0" w:color="auto"/>
        <w:left w:val="none" w:sz="0" w:space="0" w:color="auto"/>
        <w:bottom w:val="none" w:sz="0" w:space="0" w:color="auto"/>
        <w:right w:val="none" w:sz="0" w:space="0" w:color="auto"/>
      </w:divBdr>
    </w:div>
    <w:div w:id="797919180">
      <w:bodyDiv w:val="1"/>
      <w:marLeft w:val="0"/>
      <w:marRight w:val="0"/>
      <w:marTop w:val="0"/>
      <w:marBottom w:val="0"/>
      <w:divBdr>
        <w:top w:val="none" w:sz="0" w:space="0" w:color="auto"/>
        <w:left w:val="none" w:sz="0" w:space="0" w:color="auto"/>
        <w:bottom w:val="none" w:sz="0" w:space="0" w:color="auto"/>
        <w:right w:val="none" w:sz="0" w:space="0" w:color="auto"/>
      </w:divBdr>
    </w:div>
    <w:div w:id="846485734">
      <w:bodyDiv w:val="1"/>
      <w:marLeft w:val="0"/>
      <w:marRight w:val="0"/>
      <w:marTop w:val="0"/>
      <w:marBottom w:val="0"/>
      <w:divBdr>
        <w:top w:val="none" w:sz="0" w:space="0" w:color="auto"/>
        <w:left w:val="none" w:sz="0" w:space="0" w:color="auto"/>
        <w:bottom w:val="none" w:sz="0" w:space="0" w:color="auto"/>
        <w:right w:val="none" w:sz="0" w:space="0" w:color="auto"/>
      </w:divBdr>
    </w:div>
    <w:div w:id="882059217">
      <w:bodyDiv w:val="1"/>
      <w:marLeft w:val="0"/>
      <w:marRight w:val="0"/>
      <w:marTop w:val="0"/>
      <w:marBottom w:val="0"/>
      <w:divBdr>
        <w:top w:val="none" w:sz="0" w:space="0" w:color="auto"/>
        <w:left w:val="none" w:sz="0" w:space="0" w:color="auto"/>
        <w:bottom w:val="none" w:sz="0" w:space="0" w:color="auto"/>
        <w:right w:val="none" w:sz="0" w:space="0" w:color="auto"/>
      </w:divBdr>
    </w:div>
    <w:div w:id="967199071">
      <w:bodyDiv w:val="1"/>
      <w:marLeft w:val="0"/>
      <w:marRight w:val="0"/>
      <w:marTop w:val="0"/>
      <w:marBottom w:val="0"/>
      <w:divBdr>
        <w:top w:val="none" w:sz="0" w:space="0" w:color="auto"/>
        <w:left w:val="none" w:sz="0" w:space="0" w:color="auto"/>
        <w:bottom w:val="none" w:sz="0" w:space="0" w:color="auto"/>
        <w:right w:val="none" w:sz="0" w:space="0" w:color="auto"/>
      </w:divBdr>
    </w:div>
    <w:div w:id="968780375">
      <w:bodyDiv w:val="1"/>
      <w:marLeft w:val="0"/>
      <w:marRight w:val="0"/>
      <w:marTop w:val="0"/>
      <w:marBottom w:val="0"/>
      <w:divBdr>
        <w:top w:val="none" w:sz="0" w:space="0" w:color="auto"/>
        <w:left w:val="none" w:sz="0" w:space="0" w:color="auto"/>
        <w:bottom w:val="none" w:sz="0" w:space="0" w:color="auto"/>
        <w:right w:val="none" w:sz="0" w:space="0" w:color="auto"/>
      </w:divBdr>
    </w:div>
    <w:div w:id="1006204154">
      <w:bodyDiv w:val="1"/>
      <w:marLeft w:val="0"/>
      <w:marRight w:val="0"/>
      <w:marTop w:val="0"/>
      <w:marBottom w:val="0"/>
      <w:divBdr>
        <w:top w:val="none" w:sz="0" w:space="0" w:color="auto"/>
        <w:left w:val="none" w:sz="0" w:space="0" w:color="auto"/>
        <w:bottom w:val="none" w:sz="0" w:space="0" w:color="auto"/>
        <w:right w:val="none" w:sz="0" w:space="0" w:color="auto"/>
      </w:divBdr>
    </w:div>
    <w:div w:id="1117022211">
      <w:bodyDiv w:val="1"/>
      <w:marLeft w:val="0"/>
      <w:marRight w:val="0"/>
      <w:marTop w:val="0"/>
      <w:marBottom w:val="0"/>
      <w:divBdr>
        <w:top w:val="none" w:sz="0" w:space="0" w:color="auto"/>
        <w:left w:val="none" w:sz="0" w:space="0" w:color="auto"/>
        <w:bottom w:val="none" w:sz="0" w:space="0" w:color="auto"/>
        <w:right w:val="none" w:sz="0" w:space="0" w:color="auto"/>
      </w:divBdr>
    </w:div>
    <w:div w:id="1156603665">
      <w:bodyDiv w:val="1"/>
      <w:marLeft w:val="0"/>
      <w:marRight w:val="0"/>
      <w:marTop w:val="0"/>
      <w:marBottom w:val="0"/>
      <w:divBdr>
        <w:top w:val="none" w:sz="0" w:space="0" w:color="auto"/>
        <w:left w:val="none" w:sz="0" w:space="0" w:color="auto"/>
        <w:bottom w:val="none" w:sz="0" w:space="0" w:color="auto"/>
        <w:right w:val="none" w:sz="0" w:space="0" w:color="auto"/>
      </w:divBdr>
    </w:div>
    <w:div w:id="1249650825">
      <w:bodyDiv w:val="1"/>
      <w:marLeft w:val="0"/>
      <w:marRight w:val="0"/>
      <w:marTop w:val="0"/>
      <w:marBottom w:val="0"/>
      <w:divBdr>
        <w:top w:val="none" w:sz="0" w:space="0" w:color="auto"/>
        <w:left w:val="none" w:sz="0" w:space="0" w:color="auto"/>
        <w:bottom w:val="none" w:sz="0" w:space="0" w:color="auto"/>
        <w:right w:val="none" w:sz="0" w:space="0" w:color="auto"/>
      </w:divBdr>
    </w:div>
    <w:div w:id="1311010825">
      <w:bodyDiv w:val="1"/>
      <w:marLeft w:val="0"/>
      <w:marRight w:val="0"/>
      <w:marTop w:val="0"/>
      <w:marBottom w:val="0"/>
      <w:divBdr>
        <w:top w:val="none" w:sz="0" w:space="0" w:color="auto"/>
        <w:left w:val="none" w:sz="0" w:space="0" w:color="auto"/>
        <w:bottom w:val="none" w:sz="0" w:space="0" w:color="auto"/>
        <w:right w:val="none" w:sz="0" w:space="0" w:color="auto"/>
      </w:divBdr>
    </w:div>
    <w:div w:id="1340888559">
      <w:bodyDiv w:val="1"/>
      <w:marLeft w:val="0"/>
      <w:marRight w:val="0"/>
      <w:marTop w:val="0"/>
      <w:marBottom w:val="0"/>
      <w:divBdr>
        <w:top w:val="none" w:sz="0" w:space="0" w:color="auto"/>
        <w:left w:val="none" w:sz="0" w:space="0" w:color="auto"/>
        <w:bottom w:val="none" w:sz="0" w:space="0" w:color="auto"/>
        <w:right w:val="none" w:sz="0" w:space="0" w:color="auto"/>
      </w:divBdr>
    </w:div>
    <w:div w:id="1423650425">
      <w:bodyDiv w:val="1"/>
      <w:marLeft w:val="0"/>
      <w:marRight w:val="0"/>
      <w:marTop w:val="0"/>
      <w:marBottom w:val="0"/>
      <w:divBdr>
        <w:top w:val="none" w:sz="0" w:space="0" w:color="auto"/>
        <w:left w:val="none" w:sz="0" w:space="0" w:color="auto"/>
        <w:bottom w:val="none" w:sz="0" w:space="0" w:color="auto"/>
        <w:right w:val="none" w:sz="0" w:space="0" w:color="auto"/>
      </w:divBdr>
    </w:div>
    <w:div w:id="1467161544">
      <w:bodyDiv w:val="1"/>
      <w:marLeft w:val="0"/>
      <w:marRight w:val="0"/>
      <w:marTop w:val="0"/>
      <w:marBottom w:val="0"/>
      <w:divBdr>
        <w:top w:val="none" w:sz="0" w:space="0" w:color="auto"/>
        <w:left w:val="none" w:sz="0" w:space="0" w:color="auto"/>
        <w:bottom w:val="none" w:sz="0" w:space="0" w:color="auto"/>
        <w:right w:val="none" w:sz="0" w:space="0" w:color="auto"/>
      </w:divBdr>
    </w:div>
    <w:div w:id="1506825019">
      <w:bodyDiv w:val="1"/>
      <w:marLeft w:val="0"/>
      <w:marRight w:val="0"/>
      <w:marTop w:val="0"/>
      <w:marBottom w:val="0"/>
      <w:divBdr>
        <w:top w:val="none" w:sz="0" w:space="0" w:color="auto"/>
        <w:left w:val="none" w:sz="0" w:space="0" w:color="auto"/>
        <w:bottom w:val="none" w:sz="0" w:space="0" w:color="auto"/>
        <w:right w:val="none" w:sz="0" w:space="0" w:color="auto"/>
      </w:divBdr>
    </w:div>
    <w:div w:id="1546529842">
      <w:bodyDiv w:val="1"/>
      <w:marLeft w:val="0"/>
      <w:marRight w:val="0"/>
      <w:marTop w:val="0"/>
      <w:marBottom w:val="0"/>
      <w:divBdr>
        <w:top w:val="none" w:sz="0" w:space="0" w:color="auto"/>
        <w:left w:val="none" w:sz="0" w:space="0" w:color="auto"/>
        <w:bottom w:val="none" w:sz="0" w:space="0" w:color="auto"/>
        <w:right w:val="none" w:sz="0" w:space="0" w:color="auto"/>
      </w:divBdr>
    </w:div>
    <w:div w:id="1550922369">
      <w:bodyDiv w:val="1"/>
      <w:marLeft w:val="0"/>
      <w:marRight w:val="0"/>
      <w:marTop w:val="0"/>
      <w:marBottom w:val="0"/>
      <w:divBdr>
        <w:top w:val="none" w:sz="0" w:space="0" w:color="auto"/>
        <w:left w:val="none" w:sz="0" w:space="0" w:color="auto"/>
        <w:bottom w:val="none" w:sz="0" w:space="0" w:color="auto"/>
        <w:right w:val="none" w:sz="0" w:space="0" w:color="auto"/>
      </w:divBdr>
    </w:div>
    <w:div w:id="1639409260">
      <w:bodyDiv w:val="1"/>
      <w:marLeft w:val="0"/>
      <w:marRight w:val="0"/>
      <w:marTop w:val="0"/>
      <w:marBottom w:val="0"/>
      <w:divBdr>
        <w:top w:val="none" w:sz="0" w:space="0" w:color="auto"/>
        <w:left w:val="none" w:sz="0" w:space="0" w:color="auto"/>
        <w:bottom w:val="none" w:sz="0" w:space="0" w:color="auto"/>
        <w:right w:val="none" w:sz="0" w:space="0" w:color="auto"/>
      </w:divBdr>
    </w:div>
    <w:div w:id="1731342197">
      <w:bodyDiv w:val="1"/>
      <w:marLeft w:val="0"/>
      <w:marRight w:val="0"/>
      <w:marTop w:val="0"/>
      <w:marBottom w:val="0"/>
      <w:divBdr>
        <w:top w:val="none" w:sz="0" w:space="0" w:color="auto"/>
        <w:left w:val="none" w:sz="0" w:space="0" w:color="auto"/>
        <w:bottom w:val="none" w:sz="0" w:space="0" w:color="auto"/>
        <w:right w:val="none" w:sz="0" w:space="0" w:color="auto"/>
      </w:divBdr>
    </w:div>
    <w:div w:id="1742603948">
      <w:bodyDiv w:val="1"/>
      <w:marLeft w:val="0"/>
      <w:marRight w:val="0"/>
      <w:marTop w:val="0"/>
      <w:marBottom w:val="0"/>
      <w:divBdr>
        <w:top w:val="none" w:sz="0" w:space="0" w:color="auto"/>
        <w:left w:val="none" w:sz="0" w:space="0" w:color="auto"/>
        <w:bottom w:val="none" w:sz="0" w:space="0" w:color="auto"/>
        <w:right w:val="none" w:sz="0" w:space="0" w:color="auto"/>
      </w:divBdr>
    </w:div>
    <w:div w:id="1937126420">
      <w:bodyDiv w:val="1"/>
      <w:marLeft w:val="0"/>
      <w:marRight w:val="0"/>
      <w:marTop w:val="0"/>
      <w:marBottom w:val="0"/>
      <w:divBdr>
        <w:top w:val="none" w:sz="0" w:space="0" w:color="auto"/>
        <w:left w:val="none" w:sz="0" w:space="0" w:color="auto"/>
        <w:bottom w:val="none" w:sz="0" w:space="0" w:color="auto"/>
        <w:right w:val="none" w:sz="0" w:space="0" w:color="auto"/>
      </w:divBdr>
    </w:div>
    <w:div w:id="2002467771">
      <w:bodyDiv w:val="1"/>
      <w:marLeft w:val="0"/>
      <w:marRight w:val="0"/>
      <w:marTop w:val="0"/>
      <w:marBottom w:val="0"/>
      <w:divBdr>
        <w:top w:val="none" w:sz="0" w:space="0" w:color="auto"/>
        <w:left w:val="none" w:sz="0" w:space="0" w:color="auto"/>
        <w:bottom w:val="none" w:sz="0" w:space="0" w:color="auto"/>
        <w:right w:val="none" w:sz="0" w:space="0" w:color="auto"/>
      </w:divBdr>
    </w:div>
    <w:div w:id="2003850248">
      <w:bodyDiv w:val="1"/>
      <w:marLeft w:val="0"/>
      <w:marRight w:val="0"/>
      <w:marTop w:val="0"/>
      <w:marBottom w:val="0"/>
      <w:divBdr>
        <w:top w:val="none" w:sz="0" w:space="0" w:color="auto"/>
        <w:left w:val="none" w:sz="0" w:space="0" w:color="auto"/>
        <w:bottom w:val="none" w:sz="0" w:space="0" w:color="auto"/>
        <w:right w:val="none" w:sz="0" w:space="0" w:color="auto"/>
      </w:divBdr>
    </w:div>
    <w:div w:id="2072340611">
      <w:bodyDiv w:val="1"/>
      <w:marLeft w:val="0"/>
      <w:marRight w:val="0"/>
      <w:marTop w:val="0"/>
      <w:marBottom w:val="0"/>
      <w:divBdr>
        <w:top w:val="none" w:sz="0" w:space="0" w:color="auto"/>
        <w:left w:val="none" w:sz="0" w:space="0" w:color="auto"/>
        <w:bottom w:val="none" w:sz="0" w:space="0" w:color="auto"/>
        <w:right w:val="none" w:sz="0" w:space="0" w:color="auto"/>
      </w:divBdr>
    </w:div>
    <w:div w:id="20818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2AF5-92B3-4595-9AB3-E1D57D89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35</Pages>
  <Words>13409</Words>
  <Characters>80320</Characters>
  <Application>Microsoft Office Word</Application>
  <DocSecurity>0</DocSecurity>
  <Lines>1639</Lines>
  <Paragraphs>544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93185</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23</cp:revision>
  <cp:lastPrinted>2015-02-04T12:09:00Z</cp:lastPrinted>
  <dcterms:created xsi:type="dcterms:W3CDTF">2015-02-04T16:48:00Z</dcterms:created>
  <dcterms:modified xsi:type="dcterms:W3CDTF">2015-03-10T10:12:00Z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