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25" w:rsidRDefault="004916DA">
      <w:pPr>
        <w:pStyle w:val="Pagedecouverture"/>
        <w:rPr>
          <w:noProof/>
        </w:rPr>
      </w:pPr>
      <w:bookmarkStart w:id="0" w:name="LW_BM_COVERPAGE"/>
      <w:bookmarkStart w:id="1" w:name="_GoBack"/>
      <w:bookmarkEnd w:id="1"/>
      <w:r>
        <w:rPr>
          <w:noProof/>
          <w:lang w:val="fr-BE" w:eastAsia="fr-BE" w:bidi="ar-SA"/>
        </w:rPr>
        <w:drawing>
          <wp:inline distT="0" distB="0" distL="0" distR="0">
            <wp:extent cx="5723890" cy="3895090"/>
            <wp:effectExtent l="0" t="0" r="0" b="0"/>
            <wp:docPr id="1" name="Picture 1" descr="C5CDEE29CB88485B9F51841147D6E6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5CDEE29CB88485B9F51841147D6E6D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3890" cy="3895090"/>
                    </a:xfrm>
                    <a:prstGeom prst="rect">
                      <a:avLst/>
                    </a:prstGeom>
                    <a:noFill/>
                    <a:ln>
                      <a:noFill/>
                    </a:ln>
                  </pic:spPr>
                </pic:pic>
              </a:graphicData>
            </a:graphic>
          </wp:inline>
        </w:drawing>
      </w:r>
    </w:p>
    <w:bookmarkEnd w:id="0"/>
    <w:p w:rsidR="005E5425" w:rsidRDefault="005E5425">
      <w:pPr>
        <w:rPr>
          <w:rFonts w:ascii="Times New Roman" w:hAnsi="Times New Roman"/>
          <w:noProof/>
          <w:sz w:val="24"/>
          <w:szCs w:val="24"/>
        </w:rPr>
        <w:sectPr w:rsidR="005E542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E5425" w:rsidRDefault="004916DA">
      <w:pPr>
        <w:pStyle w:val="PlainText"/>
        <w:jc w:val="both"/>
        <w:rPr>
          <w:rFonts w:ascii="Times New Roman" w:hAnsi="Times New Roman"/>
          <w:b/>
          <w:noProof/>
          <w:sz w:val="24"/>
          <w:szCs w:val="24"/>
        </w:rPr>
      </w:pPr>
      <w:r>
        <w:rPr>
          <w:rFonts w:ascii="Times New Roman" w:hAnsi="Times New Roman"/>
          <w:b/>
          <w:noProof/>
          <w:sz w:val="24"/>
        </w:rPr>
        <w:lastRenderedPageBreak/>
        <w:t>Предговор</w:t>
      </w:r>
    </w:p>
    <w:p w:rsidR="005E5425" w:rsidRDefault="005E5425">
      <w:pPr>
        <w:pStyle w:val="PlainText"/>
        <w:jc w:val="both"/>
        <w:rPr>
          <w:rFonts w:ascii="Times New Roman" w:hAnsi="Times New Roman"/>
          <w:noProof/>
          <w:sz w:val="24"/>
          <w:szCs w:val="24"/>
        </w:rPr>
      </w:pPr>
    </w:p>
    <w:p w:rsidR="005E5425" w:rsidRDefault="004916DA">
      <w:pPr>
        <w:pStyle w:val="PlainText"/>
        <w:jc w:val="both"/>
        <w:rPr>
          <w:rFonts w:ascii="Times New Roman" w:hAnsi="Times New Roman"/>
          <w:noProof/>
          <w:sz w:val="24"/>
          <w:szCs w:val="24"/>
        </w:rPr>
      </w:pPr>
      <w:r>
        <w:rPr>
          <w:rFonts w:ascii="Times New Roman" w:hAnsi="Times New Roman"/>
          <w:noProof/>
          <w:sz w:val="24"/>
        </w:rPr>
        <w:t xml:space="preserve">Приоритетните задачи на Комисията — и тези на Европа — са работните места и растежът.  </w:t>
      </w:r>
      <w:r>
        <w:rPr>
          <w:rFonts w:ascii="Times New Roman" w:hAnsi="Times New Roman"/>
          <w:noProof/>
          <w:sz w:val="24"/>
        </w:rPr>
        <w:t>Нашето предизвикателство, за да поеме Европа отново по пътя на растежа, е да бъдат отпуснати нужните инвестиции в европейските предприятия и инфраструктура.  Инвестиционният пакет на стойност 315 млрд. евро ще спомогне за началния тласък на този процес. За</w:t>
      </w:r>
      <w:r>
        <w:rPr>
          <w:rFonts w:ascii="Times New Roman" w:hAnsi="Times New Roman"/>
          <w:noProof/>
          <w:sz w:val="24"/>
        </w:rPr>
        <w:t xml:space="preserve"> осигуряването на дългосрочна устойчивост на инвестициите обаче е нужно да се изгради реален единен пазар на капитали — такъв би бил един съюз на капиталовите пазари на всички 28 държави членки.</w:t>
      </w:r>
    </w:p>
    <w:p w:rsidR="005E5425" w:rsidRDefault="005E5425">
      <w:pPr>
        <w:pStyle w:val="PlainText"/>
        <w:jc w:val="both"/>
        <w:rPr>
          <w:rFonts w:ascii="Times New Roman" w:hAnsi="Times New Roman"/>
          <w:noProof/>
          <w:sz w:val="24"/>
          <w:szCs w:val="24"/>
        </w:rPr>
      </w:pPr>
    </w:p>
    <w:p w:rsidR="005E5425" w:rsidRDefault="004916DA">
      <w:pPr>
        <w:pStyle w:val="PlainText"/>
        <w:jc w:val="both"/>
        <w:rPr>
          <w:rFonts w:ascii="Times New Roman" w:hAnsi="Times New Roman"/>
          <w:noProof/>
          <w:sz w:val="24"/>
          <w:szCs w:val="24"/>
        </w:rPr>
      </w:pPr>
      <w:r>
        <w:rPr>
          <w:rFonts w:ascii="Times New Roman" w:hAnsi="Times New Roman"/>
          <w:noProof/>
          <w:sz w:val="24"/>
        </w:rPr>
        <w:t>В сравнение с други части на света, европейските предприятия</w:t>
      </w:r>
      <w:r>
        <w:rPr>
          <w:rFonts w:ascii="Times New Roman" w:hAnsi="Times New Roman"/>
          <w:noProof/>
          <w:sz w:val="24"/>
        </w:rPr>
        <w:t xml:space="preserve"> продължават да се финансират в голяма степен чрез банките и относително по-малко — чрез капиталовите пазари. По-устойчивите капиталови пазари ще допълват банките като източник на финансиране, а също така:</w:t>
      </w:r>
    </w:p>
    <w:p w:rsidR="005E5425" w:rsidRDefault="005E5425">
      <w:pPr>
        <w:pStyle w:val="PlainText"/>
        <w:jc w:val="both"/>
        <w:rPr>
          <w:rFonts w:ascii="Times New Roman" w:hAnsi="Times New Roman"/>
          <w:noProof/>
          <w:sz w:val="24"/>
          <w:szCs w:val="24"/>
        </w:rPr>
      </w:pPr>
    </w:p>
    <w:p w:rsidR="005E5425" w:rsidRDefault="004916DA">
      <w:pPr>
        <w:pStyle w:val="PlainText"/>
        <w:numPr>
          <w:ilvl w:val="0"/>
          <w:numId w:val="5"/>
        </w:numPr>
        <w:jc w:val="both"/>
        <w:rPr>
          <w:rFonts w:ascii="Times New Roman" w:hAnsi="Times New Roman"/>
          <w:noProof/>
          <w:sz w:val="24"/>
          <w:szCs w:val="24"/>
        </w:rPr>
      </w:pPr>
      <w:r>
        <w:rPr>
          <w:rFonts w:ascii="Times New Roman" w:hAnsi="Times New Roman"/>
          <w:noProof/>
          <w:sz w:val="24"/>
        </w:rPr>
        <w:t>ще осигурят повече инвестиции за бизнеса, особено</w:t>
      </w:r>
      <w:r>
        <w:rPr>
          <w:rFonts w:ascii="Times New Roman" w:hAnsi="Times New Roman"/>
          <w:noProof/>
          <w:sz w:val="24"/>
        </w:rPr>
        <w:t xml:space="preserve"> за малките и средните предприятия, както и за инфраструктурни проекти;</w:t>
      </w:r>
    </w:p>
    <w:p w:rsidR="005E5425" w:rsidRDefault="005E5425">
      <w:pPr>
        <w:pStyle w:val="PlainText"/>
        <w:ind w:left="720"/>
        <w:jc w:val="both"/>
        <w:rPr>
          <w:rFonts w:ascii="Times New Roman" w:hAnsi="Times New Roman"/>
          <w:noProof/>
          <w:sz w:val="24"/>
          <w:szCs w:val="24"/>
        </w:rPr>
      </w:pPr>
    </w:p>
    <w:p w:rsidR="005E5425" w:rsidRDefault="004916DA">
      <w:pPr>
        <w:pStyle w:val="PlainText"/>
        <w:numPr>
          <w:ilvl w:val="0"/>
          <w:numId w:val="5"/>
        </w:numPr>
        <w:jc w:val="both"/>
        <w:rPr>
          <w:rFonts w:ascii="Times New Roman" w:hAnsi="Times New Roman"/>
          <w:noProof/>
          <w:sz w:val="24"/>
          <w:szCs w:val="24"/>
        </w:rPr>
      </w:pPr>
      <w:r>
        <w:rPr>
          <w:rFonts w:ascii="Times New Roman" w:hAnsi="Times New Roman"/>
          <w:noProof/>
          <w:sz w:val="24"/>
        </w:rPr>
        <w:t>ще привлекат в ЕС повече инвестиции от останалата част на света; както и</w:t>
      </w:r>
    </w:p>
    <w:p w:rsidR="005E5425" w:rsidRDefault="005E5425">
      <w:pPr>
        <w:pStyle w:val="PlainText"/>
        <w:jc w:val="both"/>
        <w:rPr>
          <w:rFonts w:ascii="Times New Roman" w:hAnsi="Times New Roman"/>
          <w:noProof/>
          <w:sz w:val="24"/>
          <w:szCs w:val="24"/>
        </w:rPr>
      </w:pPr>
    </w:p>
    <w:p w:rsidR="005E5425" w:rsidRDefault="004916DA">
      <w:pPr>
        <w:pStyle w:val="PlainText"/>
        <w:numPr>
          <w:ilvl w:val="0"/>
          <w:numId w:val="5"/>
        </w:numPr>
        <w:jc w:val="both"/>
        <w:rPr>
          <w:rFonts w:ascii="Times New Roman" w:hAnsi="Times New Roman"/>
          <w:noProof/>
          <w:sz w:val="24"/>
          <w:szCs w:val="24"/>
        </w:rPr>
      </w:pPr>
      <w:r>
        <w:rPr>
          <w:rFonts w:ascii="Times New Roman" w:hAnsi="Times New Roman"/>
          <w:noProof/>
          <w:sz w:val="24"/>
        </w:rPr>
        <w:t>ще стабилизират финансовата система чрез разширяване източниците на финансиране.</w:t>
      </w:r>
    </w:p>
    <w:p w:rsidR="005E5425" w:rsidRDefault="005E5425">
      <w:pPr>
        <w:pStyle w:val="PlainText"/>
        <w:jc w:val="both"/>
        <w:rPr>
          <w:rFonts w:ascii="Times New Roman" w:hAnsi="Times New Roman"/>
          <w:noProof/>
          <w:sz w:val="24"/>
          <w:szCs w:val="24"/>
        </w:rPr>
      </w:pPr>
    </w:p>
    <w:p w:rsidR="005E5425" w:rsidRDefault="004916DA">
      <w:pPr>
        <w:pStyle w:val="PlainText"/>
        <w:jc w:val="both"/>
        <w:rPr>
          <w:rFonts w:ascii="Times New Roman" w:hAnsi="Times New Roman"/>
          <w:noProof/>
          <w:sz w:val="24"/>
          <w:szCs w:val="24"/>
        </w:rPr>
      </w:pPr>
      <w:r>
        <w:rPr>
          <w:rFonts w:ascii="Times New Roman" w:hAnsi="Times New Roman"/>
          <w:noProof/>
          <w:sz w:val="24"/>
        </w:rPr>
        <w:t xml:space="preserve">По същество задачата ни е </w:t>
      </w:r>
      <w:r>
        <w:rPr>
          <w:rFonts w:ascii="Times New Roman" w:hAnsi="Times New Roman"/>
          <w:noProof/>
          <w:sz w:val="24"/>
        </w:rPr>
        <w:t>да се свържат в подкрепа на растежа инвеститорите и спестителите. Няма как да бъде създаден съюз на капиталовите пазари  посредством една-единствена мярка. Той ще бъде постигнат чрез редица стъпки — някои по-малки от други, но със значително общо въздейств</w:t>
      </w:r>
      <w:r>
        <w:rPr>
          <w:rFonts w:ascii="Times New Roman" w:hAnsi="Times New Roman"/>
          <w:noProof/>
          <w:sz w:val="24"/>
        </w:rPr>
        <w:t>ие. Трябва да се открият и отстранят пречките пред свързването на инвеститорските средства с инвестиционните възможности, да бъдат преодолени трудностите, които срещат дружествата при търсенето на инвеститори. Трябва също така да направим системата ни за н</w:t>
      </w:r>
      <w:r>
        <w:rPr>
          <w:rFonts w:ascii="Times New Roman" w:hAnsi="Times New Roman"/>
          <w:noProof/>
          <w:sz w:val="24"/>
        </w:rPr>
        <w:t>асочване на тези средства — инвестиционната верига — възможно най-ефективна както в национален, така и в трансграничен план.</w:t>
      </w:r>
    </w:p>
    <w:p w:rsidR="005E5425" w:rsidRDefault="005E5425">
      <w:pPr>
        <w:pStyle w:val="PlainText"/>
        <w:jc w:val="both"/>
        <w:rPr>
          <w:rFonts w:ascii="Times New Roman" w:hAnsi="Times New Roman"/>
          <w:noProof/>
          <w:sz w:val="24"/>
          <w:szCs w:val="24"/>
        </w:rPr>
      </w:pPr>
    </w:p>
    <w:p w:rsidR="005E5425" w:rsidRDefault="004916DA">
      <w:pPr>
        <w:pStyle w:val="PlainText"/>
        <w:jc w:val="both"/>
        <w:rPr>
          <w:rFonts w:ascii="Times New Roman" w:hAnsi="Times New Roman"/>
          <w:noProof/>
          <w:sz w:val="24"/>
          <w:szCs w:val="24"/>
        </w:rPr>
      </w:pPr>
      <w:r>
        <w:rPr>
          <w:rFonts w:ascii="Times New Roman" w:hAnsi="Times New Roman"/>
          <w:noProof/>
          <w:sz w:val="24"/>
        </w:rPr>
        <w:t>Защо си струва да направим това? Няколко примера илюстрират потенциалните ползи. В САЩ например средните предприятия, които в мног</w:t>
      </w:r>
      <w:r>
        <w:rPr>
          <w:rFonts w:ascii="Times New Roman" w:hAnsi="Times New Roman"/>
          <w:noProof/>
          <w:sz w:val="24"/>
        </w:rPr>
        <w:t>о държави са двигателите на растежа, получават пет пъти повече финансиране от капиталовите пазари, отколкото в ЕС. Ако нашите пазари на рисков капитал бяха също толкова развити, между 2008 и 2013 г. щяхме да разполагаме с 90 млрд. евро за финансиране на би</w:t>
      </w:r>
      <w:r>
        <w:rPr>
          <w:rFonts w:ascii="Times New Roman" w:hAnsi="Times New Roman"/>
          <w:noProof/>
          <w:sz w:val="24"/>
        </w:rPr>
        <w:t>знеса. Ако днешните равнища на секюритизаци на МСП биха могли да бъдат възстановени — по безопасен начин — дори само до половината от равнищата им през 2007 г., това би означавало около 20 млрд. евро допълнително финансиране.</w:t>
      </w:r>
    </w:p>
    <w:p w:rsidR="005E5425" w:rsidRDefault="005E5425">
      <w:pPr>
        <w:pStyle w:val="PlainText"/>
        <w:jc w:val="both"/>
        <w:rPr>
          <w:rFonts w:ascii="Times New Roman" w:hAnsi="Times New Roman"/>
          <w:noProof/>
          <w:sz w:val="24"/>
          <w:szCs w:val="24"/>
        </w:rPr>
      </w:pPr>
    </w:p>
    <w:p w:rsidR="005E5425" w:rsidRDefault="004916DA">
      <w:pPr>
        <w:pStyle w:val="PlainText"/>
        <w:jc w:val="both"/>
        <w:rPr>
          <w:rFonts w:ascii="Times New Roman" w:hAnsi="Times New Roman"/>
          <w:noProof/>
          <w:sz w:val="24"/>
          <w:szCs w:val="24"/>
        </w:rPr>
      </w:pPr>
      <w:r>
        <w:rPr>
          <w:rFonts w:ascii="Times New Roman" w:hAnsi="Times New Roman"/>
          <w:noProof/>
          <w:sz w:val="24"/>
        </w:rPr>
        <w:t>Вярно е, че редица от разглеж</w:t>
      </w:r>
      <w:r>
        <w:rPr>
          <w:rFonts w:ascii="Times New Roman" w:hAnsi="Times New Roman"/>
          <w:noProof/>
          <w:sz w:val="24"/>
        </w:rPr>
        <w:t>даните въпроси — правото в областта на несъстоятелността и ценните книжа или данъчното третиране — се обсъждат от много години.  Днес обаче постигането на напредък е нужно повече от всякога. Дългосрочният характер на проекта, който изисква постоянни усилия</w:t>
      </w:r>
      <w:r>
        <w:rPr>
          <w:rFonts w:ascii="Times New Roman" w:hAnsi="Times New Roman"/>
          <w:noProof/>
          <w:sz w:val="24"/>
        </w:rPr>
        <w:t xml:space="preserve"> в продължение на години, не би следвало да възпрепятства постигането на бърз напредък. Ето защо през следващите месеци ние:</w:t>
      </w:r>
    </w:p>
    <w:p w:rsidR="005E5425" w:rsidRDefault="005E5425">
      <w:pPr>
        <w:pStyle w:val="ListParagraph"/>
        <w:ind w:left="0"/>
        <w:rPr>
          <w:rFonts w:ascii="Times New Roman" w:hAnsi="Times New Roman"/>
          <w:noProof/>
          <w:sz w:val="24"/>
          <w:szCs w:val="24"/>
        </w:rPr>
      </w:pPr>
    </w:p>
    <w:p w:rsidR="005E5425" w:rsidRDefault="004916DA">
      <w:pPr>
        <w:pStyle w:val="PlainText"/>
        <w:numPr>
          <w:ilvl w:val="0"/>
          <w:numId w:val="6"/>
        </w:numPr>
        <w:jc w:val="both"/>
        <w:rPr>
          <w:rFonts w:ascii="Times New Roman" w:hAnsi="Times New Roman"/>
          <w:noProof/>
          <w:sz w:val="24"/>
          <w:szCs w:val="24"/>
        </w:rPr>
      </w:pPr>
      <w:r>
        <w:rPr>
          <w:rFonts w:ascii="Times New Roman" w:hAnsi="Times New Roman"/>
          <w:noProof/>
          <w:sz w:val="24"/>
        </w:rPr>
        <w:lastRenderedPageBreak/>
        <w:t>ще разработим предложения за насърчаване на висококачествена секюритизация и стимули за банките да отпускат заеми;</w:t>
      </w:r>
    </w:p>
    <w:p w:rsidR="005E5425" w:rsidRDefault="005E5425">
      <w:pPr>
        <w:pStyle w:val="PlainText"/>
        <w:ind w:left="720"/>
        <w:jc w:val="both"/>
        <w:rPr>
          <w:rFonts w:ascii="Times New Roman" w:hAnsi="Times New Roman"/>
          <w:noProof/>
          <w:sz w:val="24"/>
          <w:szCs w:val="24"/>
        </w:rPr>
      </w:pPr>
    </w:p>
    <w:p w:rsidR="005E5425" w:rsidRDefault="004916DA">
      <w:pPr>
        <w:pStyle w:val="PlainText"/>
        <w:numPr>
          <w:ilvl w:val="0"/>
          <w:numId w:val="6"/>
        </w:numPr>
        <w:jc w:val="both"/>
        <w:rPr>
          <w:rFonts w:ascii="Times New Roman" w:hAnsi="Times New Roman"/>
          <w:noProof/>
          <w:sz w:val="24"/>
          <w:szCs w:val="24"/>
        </w:rPr>
      </w:pPr>
      <w:r>
        <w:rPr>
          <w:rFonts w:ascii="Times New Roman" w:hAnsi="Times New Roman"/>
          <w:noProof/>
          <w:sz w:val="24"/>
        </w:rPr>
        <w:t>ще преразгледа</w:t>
      </w:r>
      <w:r>
        <w:rPr>
          <w:rFonts w:ascii="Times New Roman" w:hAnsi="Times New Roman"/>
          <w:noProof/>
          <w:sz w:val="24"/>
        </w:rPr>
        <w:t>ме Директивата за проспектите, за да се улеснят дружествата, особено по-малките, при набирането на средства и намирането на инвеститори зад граница;</w:t>
      </w:r>
    </w:p>
    <w:p w:rsidR="005E5425" w:rsidRDefault="005E5425">
      <w:pPr>
        <w:pStyle w:val="PlainText"/>
        <w:ind w:left="720"/>
        <w:jc w:val="both"/>
        <w:rPr>
          <w:rFonts w:ascii="Times New Roman" w:hAnsi="Times New Roman"/>
          <w:noProof/>
          <w:sz w:val="24"/>
          <w:szCs w:val="24"/>
        </w:rPr>
      </w:pPr>
    </w:p>
    <w:p w:rsidR="005E5425" w:rsidRDefault="004916DA">
      <w:pPr>
        <w:pStyle w:val="PlainText"/>
        <w:numPr>
          <w:ilvl w:val="0"/>
          <w:numId w:val="6"/>
        </w:numPr>
        <w:jc w:val="both"/>
        <w:rPr>
          <w:rFonts w:ascii="Times New Roman" w:hAnsi="Times New Roman"/>
          <w:noProof/>
          <w:sz w:val="24"/>
          <w:szCs w:val="24"/>
        </w:rPr>
      </w:pPr>
      <w:r>
        <w:rPr>
          <w:rFonts w:ascii="Times New Roman" w:hAnsi="Times New Roman"/>
          <w:noProof/>
          <w:sz w:val="24"/>
        </w:rPr>
        <w:t>ще подобрим информираността за кредитирането на МСП, така че за инвеститорите да бъде по-лесно да инвестир</w:t>
      </w:r>
      <w:r>
        <w:rPr>
          <w:rFonts w:ascii="Times New Roman" w:hAnsi="Times New Roman"/>
          <w:noProof/>
          <w:sz w:val="24"/>
        </w:rPr>
        <w:t>ат в тях;</w:t>
      </w:r>
    </w:p>
    <w:p w:rsidR="005E5425" w:rsidRDefault="005E5425">
      <w:pPr>
        <w:pStyle w:val="PlainText"/>
        <w:ind w:left="720"/>
        <w:jc w:val="both"/>
        <w:rPr>
          <w:rFonts w:ascii="Times New Roman" w:hAnsi="Times New Roman"/>
          <w:noProof/>
          <w:sz w:val="24"/>
          <w:szCs w:val="24"/>
        </w:rPr>
      </w:pPr>
    </w:p>
    <w:p w:rsidR="005E5425" w:rsidRDefault="004916DA">
      <w:pPr>
        <w:pStyle w:val="PlainText"/>
        <w:numPr>
          <w:ilvl w:val="0"/>
          <w:numId w:val="6"/>
        </w:numPr>
        <w:jc w:val="both"/>
        <w:rPr>
          <w:rFonts w:ascii="Times New Roman" w:hAnsi="Times New Roman"/>
          <w:noProof/>
          <w:sz w:val="24"/>
          <w:szCs w:val="24"/>
        </w:rPr>
      </w:pPr>
      <w:r>
        <w:rPr>
          <w:rFonts w:ascii="Times New Roman" w:hAnsi="Times New Roman"/>
          <w:noProof/>
          <w:sz w:val="24"/>
        </w:rPr>
        <w:t>ще сътрудничим с бизнеса за установяване на общовропейски режим на частните капиталовложения за насърчаване на преките инвестиции в малките предприятия; както и</w:t>
      </w:r>
    </w:p>
    <w:p w:rsidR="005E5425" w:rsidRDefault="005E5425">
      <w:pPr>
        <w:pStyle w:val="PlainText"/>
        <w:ind w:left="720"/>
        <w:jc w:val="both"/>
        <w:rPr>
          <w:rFonts w:ascii="Times New Roman" w:hAnsi="Times New Roman"/>
          <w:noProof/>
          <w:sz w:val="24"/>
          <w:szCs w:val="24"/>
        </w:rPr>
      </w:pPr>
    </w:p>
    <w:p w:rsidR="005E5425" w:rsidRDefault="004916DA">
      <w:pPr>
        <w:pStyle w:val="PlainText"/>
        <w:numPr>
          <w:ilvl w:val="0"/>
          <w:numId w:val="6"/>
        </w:numPr>
        <w:jc w:val="both"/>
        <w:rPr>
          <w:rFonts w:ascii="Times New Roman" w:hAnsi="Times New Roman"/>
          <w:noProof/>
          <w:sz w:val="24"/>
          <w:szCs w:val="24"/>
        </w:rPr>
      </w:pPr>
      <w:r>
        <w:rPr>
          <w:rFonts w:ascii="Times New Roman" w:hAnsi="Times New Roman"/>
          <w:noProof/>
          <w:sz w:val="24"/>
        </w:rPr>
        <w:t>ще подпомагаме навлизането на нови европейски фондове за дългосрочни инвестиции при</w:t>
      </w:r>
      <w:r>
        <w:rPr>
          <w:rFonts w:ascii="Times New Roman" w:hAnsi="Times New Roman"/>
          <w:noProof/>
          <w:sz w:val="24"/>
        </w:rPr>
        <w:t xml:space="preserve"> насочването на инвестициите в инфраструктурни и други дългосрочни проекти.</w:t>
      </w:r>
    </w:p>
    <w:p w:rsidR="005E5425" w:rsidRDefault="005E5425">
      <w:pPr>
        <w:pStyle w:val="ListParagraph"/>
        <w:ind w:left="360"/>
        <w:rPr>
          <w:rFonts w:ascii="Times New Roman" w:hAnsi="Times New Roman"/>
          <w:noProof/>
          <w:sz w:val="24"/>
          <w:szCs w:val="24"/>
        </w:rPr>
      </w:pPr>
    </w:p>
    <w:p w:rsidR="005E5425" w:rsidRDefault="004916DA">
      <w:pPr>
        <w:pStyle w:val="PlainText"/>
        <w:jc w:val="both"/>
        <w:rPr>
          <w:rFonts w:ascii="Times New Roman" w:hAnsi="Times New Roman"/>
          <w:noProof/>
          <w:sz w:val="24"/>
          <w:szCs w:val="24"/>
        </w:rPr>
      </w:pPr>
      <w:r>
        <w:rPr>
          <w:rFonts w:ascii="Times New Roman" w:hAnsi="Times New Roman"/>
          <w:noProof/>
          <w:sz w:val="24"/>
        </w:rPr>
        <w:t>Настоящата Зелена книга поставя началото на тримесечен консултационен период. Бихме искали да се запознаем с мненията на парламентаристите, на държавите членки, на работещите на к</w:t>
      </w:r>
      <w:r>
        <w:rPr>
          <w:rFonts w:ascii="Times New Roman" w:hAnsi="Times New Roman"/>
          <w:noProof/>
          <w:sz w:val="24"/>
        </w:rPr>
        <w:t>апиталовите пазари и на всички групи с отношение към работните места, растежа и интересите на европейските граждани.  Тази обратна информация ще ни помогне при разработването на план за действие за внедряване на необходимите компоненти за изграждането до 2</w:t>
      </w:r>
      <w:r>
        <w:rPr>
          <w:rFonts w:ascii="Times New Roman" w:hAnsi="Times New Roman"/>
          <w:noProof/>
          <w:sz w:val="24"/>
        </w:rPr>
        <w:t xml:space="preserve">019 г. на пълноценно функциониращ съюз на капиталовите пазари </w:t>
      </w:r>
    </w:p>
    <w:p w:rsidR="005E5425" w:rsidRDefault="005E5425">
      <w:pPr>
        <w:pStyle w:val="PlainText"/>
        <w:jc w:val="both"/>
        <w:rPr>
          <w:rFonts w:ascii="Times New Roman" w:hAnsi="Times New Roman"/>
          <w:noProof/>
          <w:sz w:val="24"/>
          <w:szCs w:val="24"/>
        </w:rPr>
      </w:pPr>
    </w:p>
    <w:p w:rsidR="005E5425" w:rsidRDefault="004916DA">
      <w:pPr>
        <w:spacing w:line="240" w:lineRule="auto"/>
        <w:jc w:val="both"/>
        <w:rPr>
          <w:rFonts w:ascii="Times New Roman" w:hAnsi="Times New Roman"/>
          <w:b/>
          <w:noProof/>
          <w:sz w:val="24"/>
          <w:szCs w:val="24"/>
        </w:rPr>
      </w:pPr>
      <w:r>
        <w:rPr>
          <w:rFonts w:ascii="Times New Roman" w:hAnsi="Times New Roman"/>
          <w:noProof/>
          <w:sz w:val="24"/>
        </w:rPr>
        <w:t>Посоката, в която трябва да се поеме, е ясна: да се изгради единен пазар на капитали на принципа „отдолу нагоре“, с идентифициране на съществуващите препятствия и отстраняване на всяко от тях,</w:t>
      </w:r>
      <w:r>
        <w:rPr>
          <w:rFonts w:ascii="Times New Roman" w:hAnsi="Times New Roman"/>
          <w:noProof/>
          <w:sz w:val="24"/>
        </w:rPr>
        <w:t xml:space="preserve"> създаване на усещане за динамика и усилване на чувството на доверие в инвестирането в бъдещето на Европа. Свободното движение на капитали е един от основополагащите принципи на ЕС. Повече от петдесет години след подписването на Римския договор нека да се </w:t>
      </w:r>
      <w:r>
        <w:rPr>
          <w:rFonts w:ascii="Times New Roman" w:hAnsi="Times New Roman"/>
          <w:noProof/>
          <w:sz w:val="24"/>
        </w:rPr>
        <w:t>възползваме от възможността да превърнем тази визия в действителност.</w:t>
      </w:r>
    </w:p>
    <w:p w:rsidR="005E5425" w:rsidRDefault="005E5425">
      <w:pPr>
        <w:spacing w:line="240" w:lineRule="auto"/>
        <w:rPr>
          <w:rFonts w:ascii="Times New Roman" w:hAnsi="Times New Roman"/>
          <w:b/>
          <w:noProof/>
          <w:sz w:val="24"/>
          <w:szCs w:val="24"/>
        </w:rPr>
      </w:pPr>
    </w:p>
    <w:p w:rsidR="005E5425" w:rsidRDefault="005E5425">
      <w:pPr>
        <w:spacing w:line="240" w:lineRule="auto"/>
        <w:rPr>
          <w:rFonts w:ascii="Times New Roman" w:hAnsi="Times New Roman"/>
          <w:b/>
          <w:noProof/>
          <w:sz w:val="24"/>
          <w:szCs w:val="24"/>
        </w:rPr>
      </w:pPr>
    </w:p>
    <w:p w:rsidR="005E5425" w:rsidRDefault="005E5425">
      <w:pPr>
        <w:spacing w:line="240" w:lineRule="auto"/>
        <w:rPr>
          <w:rFonts w:ascii="Times New Roman" w:hAnsi="Times New Roman"/>
          <w:b/>
          <w:noProof/>
          <w:sz w:val="24"/>
          <w:szCs w:val="24"/>
        </w:rPr>
      </w:pPr>
    </w:p>
    <w:p w:rsidR="005E5425" w:rsidRDefault="005E5425">
      <w:pPr>
        <w:spacing w:line="240" w:lineRule="auto"/>
        <w:rPr>
          <w:rFonts w:ascii="Times New Roman" w:hAnsi="Times New Roman"/>
          <w:b/>
          <w:noProof/>
          <w:sz w:val="24"/>
          <w:szCs w:val="24"/>
        </w:rPr>
      </w:pPr>
    </w:p>
    <w:p w:rsidR="005E5425" w:rsidRDefault="005E5425">
      <w:pPr>
        <w:spacing w:line="240" w:lineRule="auto"/>
        <w:rPr>
          <w:rFonts w:ascii="Times New Roman" w:hAnsi="Times New Roman"/>
          <w:b/>
          <w:noProof/>
          <w:sz w:val="24"/>
          <w:szCs w:val="24"/>
        </w:rPr>
      </w:pPr>
    </w:p>
    <w:p w:rsidR="005E5425" w:rsidRDefault="004916DA">
      <w:pPr>
        <w:spacing w:line="240" w:lineRule="auto"/>
        <w:rPr>
          <w:rFonts w:ascii="Times New Roman" w:hAnsi="Times New Roman"/>
          <w:b/>
          <w:noProof/>
          <w:sz w:val="24"/>
          <w:szCs w:val="24"/>
        </w:rPr>
      </w:pPr>
      <w:r>
        <w:rPr>
          <w:rFonts w:ascii="Times New Roman" w:hAnsi="Times New Roman"/>
          <w:noProof/>
        </w:rPr>
        <w:br w:type="page"/>
      </w:r>
      <w:r>
        <w:rPr>
          <w:rFonts w:ascii="Times New Roman" w:hAnsi="Times New Roman"/>
          <w:b/>
          <w:noProof/>
          <w:sz w:val="24"/>
        </w:rPr>
        <w:lastRenderedPageBreak/>
        <w:t>Раздел 1: Изграждане на съюз на капиталовите пазари</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Свободното движение на капитали бе заложено в Римския договор преди повече от петдесет години. Това е една от най-съществените свободи на Европейския съюз, залегнала в основата на единния пазар. И все пак, въпреки постигнатия напредък, капиталовите пазари </w:t>
      </w:r>
      <w:r>
        <w:rPr>
          <w:rFonts w:ascii="Times New Roman" w:hAnsi="Times New Roman"/>
          <w:noProof/>
          <w:sz w:val="24"/>
        </w:rPr>
        <w:t xml:space="preserve">днес остават разпокъсани и обикновено са организирани на национално равнище. След период на задълбочаване, от началото на кризата интегрирането на финансовите пазари в ЕС отслабна, като банките и инвеститорите се оттеглят към вътрешните пазари.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В сравнени</w:t>
      </w:r>
      <w:r>
        <w:rPr>
          <w:rFonts w:ascii="Times New Roman" w:hAnsi="Times New Roman"/>
          <w:noProof/>
          <w:sz w:val="24"/>
        </w:rPr>
        <w:t>е с други юрисдикции, финансирането от капиталовите пазари в Европа е относително слабо развито. Нашите капиталови и дългови инструменти, както и другите пазари играят по-малка роля при финансирането на растежа: европейските дружества продължават до голяма</w:t>
      </w:r>
      <w:r>
        <w:rPr>
          <w:rFonts w:ascii="Times New Roman" w:hAnsi="Times New Roman"/>
          <w:noProof/>
          <w:sz w:val="24"/>
        </w:rPr>
        <w:t xml:space="preserve"> степен да разчитат на банките, което прави икономиките ни чувствителни към евентуално затягане на банковото кредитиране. Също така е налице недостатъчно доверие на инвеститорите, а европейските спестявания не винаги се използват по най-ефективния начин. Е</w:t>
      </w:r>
      <w:r>
        <w:rPr>
          <w:rFonts w:ascii="Times New Roman" w:hAnsi="Times New Roman"/>
          <w:noProof/>
          <w:sz w:val="24"/>
        </w:rPr>
        <w:t>вропейските инвестиционни равнища са значително под равнищата си в миналото, а европейските капиталови пазари не са така конкурентоспособни на световния пазар.</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За да се подкрепи устойчивото връщане към растежа и създаването на работни места, капиталовите пазари, в съчетание с други реформи на деловата среда, трябва да играят по-голяма роля за насочване на финансирането на икономиката. На практика това означава да</w:t>
      </w:r>
      <w:r>
        <w:rPr>
          <w:rFonts w:ascii="Times New Roman" w:hAnsi="Times New Roman"/>
          <w:noProof/>
          <w:sz w:val="24"/>
        </w:rPr>
        <w:t xml:space="preserve"> се установят и преодолеят пречките пред движението на капитали между инвеститорите и онези, които се нуждаят от финансиране, независимо от това дали тези пречки са в национален или трансграничен план.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Изграждането на съюз за капиталовите пазари е ключов</w:t>
      </w:r>
      <w:r>
        <w:rPr>
          <w:rFonts w:ascii="Times New Roman" w:hAnsi="Times New Roman"/>
          <w:noProof/>
          <w:sz w:val="24"/>
        </w:rPr>
        <w:t>а инициатива в работната програма на Комисията. Чрез него ще се осигури по-диверсифицирано финансиране на икономиката и ще се намалят разходите за набиране на капитал, особено за МСП. По-интегрираните капиталови пазари, особено тези на капиталови инструмен</w:t>
      </w:r>
      <w:r>
        <w:rPr>
          <w:rFonts w:ascii="Times New Roman" w:hAnsi="Times New Roman"/>
          <w:noProof/>
          <w:sz w:val="24"/>
        </w:rPr>
        <w:t xml:space="preserve">ти, ще повишат устойчивостта на европейската икономика на сътресения и ще осигурят възможности за повече инвестиции без увеличаване на задлъжнялостта. Чрез ефикасна пазарна инфраструктура и посредници съюзът на капиталовите пазари следва да подобри потока </w:t>
      </w:r>
      <w:r>
        <w:rPr>
          <w:rFonts w:ascii="Times New Roman" w:hAnsi="Times New Roman"/>
          <w:noProof/>
          <w:sz w:val="24"/>
        </w:rPr>
        <w:t xml:space="preserve">на капитали от инвеститорите към европейските инвестиционни проекти, като подобри разпределянето на риска и капитала в ЕС и в крайна сметка направи Европа по-устойчива на бъдещи сътресения.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Ето защо Комисията се ангажира да внедри до 2019 г. основните ком</w:t>
      </w:r>
      <w:r>
        <w:rPr>
          <w:rFonts w:ascii="Times New Roman" w:hAnsi="Times New Roman"/>
          <w:noProof/>
          <w:sz w:val="24"/>
        </w:rPr>
        <w:t xml:space="preserve">поненти на добре регламентиран и интегриран съюз на капиталовите пазари, обхващащ всички държави членки, така че ползата за икономиката като цяло от капиталовите пазари и небанковите финансови институции бъде максимална.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С помощта на съюза на капиталовите</w:t>
      </w:r>
      <w:r>
        <w:rPr>
          <w:rFonts w:ascii="Times New Roman" w:hAnsi="Times New Roman"/>
          <w:noProof/>
          <w:sz w:val="24"/>
        </w:rPr>
        <w:t xml:space="preserve"> пазари ЕС следва да се доближи до етап, в който МСП ще могат да набират средства толкова лесно, колкото и големите дружества; разходите за инвестиране и достъпа до инвестиционни продукти на територията на ЕС ще се уеднаквят; получаването на финансиране чр</w:t>
      </w:r>
      <w:r>
        <w:rPr>
          <w:rFonts w:ascii="Times New Roman" w:hAnsi="Times New Roman"/>
          <w:noProof/>
          <w:sz w:val="24"/>
        </w:rPr>
        <w:t>ез капиталовите пазари ще се опростява все повече, а търсенето на финансиране в друга държава членка няма да е възпрепятствано от излишни законови или надзорни бариери. Въпреки че тези промени ще спомогнат за намаляване на дела на банковото финансиране, ба</w:t>
      </w:r>
      <w:r>
        <w:rPr>
          <w:rFonts w:ascii="Times New Roman" w:hAnsi="Times New Roman"/>
          <w:noProof/>
          <w:sz w:val="24"/>
        </w:rPr>
        <w:t>нките — като заемодатели на значителна част от икономиката и посредници на капиталовите пазари — ще продължат да играят централна роля в съюза на капиталовите пазари и жизненоважна роля в европейската икономика.</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Не всички от тези предизвикателства са нови,</w:t>
      </w:r>
      <w:r>
        <w:rPr>
          <w:rFonts w:ascii="Times New Roman" w:hAnsi="Times New Roman"/>
          <w:noProof/>
          <w:sz w:val="24"/>
        </w:rPr>
        <w:t xml:space="preserve"> но необходимостта на ЕС от растеж им придава неотложен характер.  Тя поражда и импулса, нужен за постигането на напредък. Целта на настоящата Зелена книга е да положи началото на дебат на равнище ЕС и на национално равнище, с участието на съзаконодателите</w:t>
      </w:r>
      <w:r>
        <w:rPr>
          <w:rFonts w:ascii="Times New Roman" w:hAnsi="Times New Roman"/>
          <w:noProof/>
          <w:sz w:val="24"/>
        </w:rPr>
        <w:t>, другите институции на ЕС, националните парламенти и всички заинтересовани страни, за възможните краткосрочни и дългосрочни мерки за постигане на тези цели.</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Съюзът на капиталовите пазари ще се различава от банковия съюз: развитието на капиталовите пазари </w:t>
      </w:r>
      <w:r>
        <w:rPr>
          <w:rFonts w:ascii="Times New Roman" w:hAnsi="Times New Roman"/>
          <w:noProof/>
          <w:sz w:val="24"/>
        </w:rPr>
        <w:t>изисква действия, различаващи се от основните елементи на банковия съюз. При все това, фокусът на банковия съюз, насочен към прекъсване на връзката между банковите фалити и държавния дълг в еврозоната, ще предостави платформа на стабилност в подкрепа на из</w:t>
      </w:r>
      <w:r>
        <w:rPr>
          <w:rFonts w:ascii="Times New Roman" w:hAnsi="Times New Roman"/>
          <w:noProof/>
          <w:sz w:val="24"/>
        </w:rPr>
        <w:t>граждането на съюза на капиталовите пазари във всички държави членки на ЕС. Добре интегрираните капиталови пазари ще допринесат и за устойчивостта на Икономическия и паричен съюз.</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Съюзът на капиталовите пазари следва да се ръководи от следните основни прин</w:t>
      </w:r>
      <w:r>
        <w:rPr>
          <w:rFonts w:ascii="Times New Roman" w:hAnsi="Times New Roman"/>
          <w:noProof/>
          <w:sz w:val="24"/>
        </w:rPr>
        <w:t xml:space="preserve">ципи: </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noProof/>
          <w:sz w:val="24"/>
        </w:rPr>
        <w:t xml:space="preserve">максимално увеличаване на ползата от капиталовите пазари за икономиката, заетостта и растежа; </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noProof/>
          <w:sz w:val="24"/>
        </w:rPr>
        <w:t>създаване на единен пазар на капитали за всичките 28 държави членки, като се премахнат пречките пред трансграничните инвестиции в рамките на ЕС и се изгра</w:t>
      </w:r>
      <w:r>
        <w:rPr>
          <w:rFonts w:ascii="Times New Roman" w:hAnsi="Times New Roman"/>
          <w:noProof/>
          <w:sz w:val="24"/>
        </w:rPr>
        <w:t xml:space="preserve">дят по-силни връзки със световните капиталови пазари; </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noProof/>
          <w:sz w:val="24"/>
        </w:rPr>
        <w:t xml:space="preserve">изграждане върху солидните основи на финансовата стабилност, с единна нормативна уредба за финансовите услуги — ефективна и последователно прилагана; </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noProof/>
          <w:sz w:val="24"/>
        </w:rPr>
        <w:t>осигуряване на ефективна защита на потребителите и</w:t>
      </w:r>
      <w:r>
        <w:rPr>
          <w:rFonts w:ascii="Times New Roman" w:hAnsi="Times New Roman"/>
          <w:noProof/>
          <w:sz w:val="24"/>
        </w:rPr>
        <w:t xml:space="preserve"> инвеститорите; както и</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noProof/>
          <w:sz w:val="24"/>
        </w:rPr>
        <w:t xml:space="preserve">подобряване на атрактивността за инвестиции от цял свят и увеличаване на конкурентоспособността на ЕС.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1.1</w:t>
      </w:r>
      <w:r>
        <w:rPr>
          <w:rFonts w:ascii="Times New Roman" w:hAnsi="Times New Roman"/>
          <w:noProof/>
        </w:rPr>
        <w:tab/>
      </w:r>
      <w:r>
        <w:rPr>
          <w:rFonts w:ascii="Times New Roman" w:hAnsi="Times New Roman"/>
          <w:noProof/>
          <w:sz w:val="24"/>
        </w:rPr>
        <w:t>Създаване на съюз на капиталовите пазари</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Изграждането на съюза на капиталовите пазари е дългосрочен проект.  Вече започна ра</w:t>
      </w:r>
      <w:r>
        <w:rPr>
          <w:rFonts w:ascii="Times New Roman" w:hAnsi="Times New Roman"/>
          <w:noProof/>
          <w:sz w:val="24"/>
        </w:rPr>
        <w:t>ботата по създаването на набор от единни норми, а редица ключови реформи</w:t>
      </w:r>
      <w:r>
        <w:rPr>
          <w:rStyle w:val="FootnoteReference"/>
          <w:rFonts w:ascii="Times New Roman" w:hAnsi="Times New Roman"/>
          <w:noProof/>
          <w:sz w:val="24"/>
        </w:rPr>
        <w:footnoteReference w:id="1"/>
      </w:r>
      <w:r>
        <w:rPr>
          <w:rFonts w:ascii="Times New Roman" w:hAnsi="Times New Roman"/>
          <w:noProof/>
          <w:sz w:val="24"/>
        </w:rPr>
        <w:t xml:space="preserve"> са в процес на прилагане. Подходът на Комисията ще се основава на оценка на основните приоритети, която ще отчита както вероятното въздействие, така и осъществимостта и ще бъде подкр</w:t>
      </w:r>
      <w:r>
        <w:rPr>
          <w:rFonts w:ascii="Times New Roman" w:hAnsi="Times New Roman"/>
          <w:noProof/>
          <w:sz w:val="24"/>
        </w:rPr>
        <w:t xml:space="preserve">епена от задълбочен икономически анализ, оценка на въздействието и консултации.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Въз основа на резултатите от тази консултация Комисията ще се стреми да определи необходимите действия за постигането на следните цели: </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noProof/>
          <w:sz w:val="24"/>
        </w:rPr>
        <w:t xml:space="preserve">подобряване на </w:t>
      </w:r>
      <w:r>
        <w:rPr>
          <w:rFonts w:ascii="Times New Roman" w:hAnsi="Times New Roman"/>
          <w:b/>
          <w:noProof/>
          <w:sz w:val="24"/>
        </w:rPr>
        <w:t>достъпа до финансиране</w:t>
      </w:r>
      <w:r>
        <w:rPr>
          <w:rFonts w:ascii="Times New Roman" w:hAnsi="Times New Roman"/>
          <w:noProof/>
          <w:sz w:val="24"/>
        </w:rPr>
        <w:t xml:space="preserve"> </w:t>
      </w:r>
      <w:r>
        <w:rPr>
          <w:rFonts w:ascii="Times New Roman" w:hAnsi="Times New Roman"/>
          <w:noProof/>
          <w:sz w:val="24"/>
        </w:rPr>
        <w:t xml:space="preserve">за всички дружества на територията на Европа (по-специално МСП) и за инвестиционни проекти (например </w:t>
      </w:r>
      <w:r>
        <w:rPr>
          <w:rFonts w:ascii="Times New Roman" w:hAnsi="Times New Roman"/>
          <w:noProof/>
          <w:sz w:val="24"/>
          <w:szCs w:val="24"/>
        </w:rPr>
        <w:t>инфраструктурни);</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b/>
          <w:noProof/>
          <w:sz w:val="24"/>
          <w:szCs w:val="24"/>
        </w:rPr>
        <w:t>увеличаване и разнообразяване на източниците на финансиране</w:t>
      </w:r>
      <w:r>
        <w:rPr>
          <w:rFonts w:ascii="Times New Roman" w:hAnsi="Times New Roman"/>
          <w:noProof/>
          <w:sz w:val="24"/>
          <w:szCs w:val="24"/>
        </w:rPr>
        <w:t>, предоставено от инвеститорите в ЕС и по света; както и</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b/>
          <w:noProof/>
          <w:sz w:val="24"/>
        </w:rPr>
        <w:t>по-ефективно и ефикас</w:t>
      </w:r>
      <w:r>
        <w:rPr>
          <w:rFonts w:ascii="Times New Roman" w:hAnsi="Times New Roman"/>
          <w:b/>
          <w:noProof/>
          <w:sz w:val="24"/>
        </w:rPr>
        <w:t>но функциониране на пазарите</w:t>
      </w:r>
      <w:r>
        <w:rPr>
          <w:rFonts w:ascii="Times New Roman" w:hAnsi="Times New Roman"/>
          <w:noProof/>
          <w:sz w:val="24"/>
        </w:rPr>
        <w:t>, което позволява на инвеститорите да се свързват с онези, които, както в национален, така и в международен план, се нуждаят от финансиране на по-ниска цена.</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Комисията започна широки консултации относно естеството на проблемите, възможните мерки и тяхното приоритизиране. Нормотворчеството не винаги е подходящ политически отговор на тези предизвикателства: в много случаи пазарът е този, който трябва да предостав</w:t>
      </w:r>
      <w:r>
        <w:rPr>
          <w:rFonts w:ascii="Times New Roman" w:hAnsi="Times New Roman"/>
          <w:noProof/>
          <w:sz w:val="24"/>
        </w:rPr>
        <w:t>и решения. Незаконодателните мерки и ефективното прилагане на законодателството в областта на конкуренцията и вътрешния пазар вероятно са най-добрият начин за постигане на напредък в други области. Комисията ще подкрепя пазарно-ориентираните решения, които</w:t>
      </w:r>
      <w:r>
        <w:rPr>
          <w:rFonts w:ascii="Times New Roman" w:hAnsi="Times New Roman"/>
          <w:noProof/>
          <w:sz w:val="24"/>
        </w:rPr>
        <w:t xml:space="preserve"> изглеждат ефективни, а промени в нормативната уредба — само ако са необходими.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Този документ е структуриран по следния начин:  В </w:t>
      </w:r>
      <w:r>
        <w:rPr>
          <w:rFonts w:ascii="Times New Roman" w:hAnsi="Times New Roman"/>
          <w:b/>
          <w:noProof/>
          <w:sz w:val="24"/>
        </w:rPr>
        <w:t>раздел 2</w:t>
      </w:r>
      <w:r>
        <w:rPr>
          <w:rFonts w:ascii="Times New Roman" w:hAnsi="Times New Roman"/>
          <w:noProof/>
          <w:sz w:val="24"/>
        </w:rPr>
        <w:t xml:space="preserve"> се описва настоящата структура на европейските капиталови пазари и се представя предварителен анализ на някои от пре</w:t>
      </w:r>
      <w:r>
        <w:rPr>
          <w:rFonts w:ascii="Times New Roman" w:hAnsi="Times New Roman"/>
          <w:noProof/>
          <w:sz w:val="24"/>
        </w:rPr>
        <w:t xml:space="preserve">чките развитието и интегрирането на капиталовите пазари.  Допълнителен анализ се съдържа в придружаващия работен документ.  В </w:t>
      </w:r>
      <w:r>
        <w:rPr>
          <w:rFonts w:ascii="Times New Roman" w:hAnsi="Times New Roman"/>
          <w:b/>
          <w:noProof/>
          <w:sz w:val="24"/>
        </w:rPr>
        <w:t>раздел 3</w:t>
      </w:r>
      <w:r>
        <w:rPr>
          <w:rFonts w:ascii="Times New Roman" w:hAnsi="Times New Roman"/>
          <w:noProof/>
          <w:sz w:val="24"/>
        </w:rPr>
        <w:t xml:space="preserve"> се търсят мнения за предварителните политически приоритети, които възнамеряваме да запазим, като за основа служи съобщени</w:t>
      </w:r>
      <w:r>
        <w:rPr>
          <w:rFonts w:ascii="Times New Roman" w:hAnsi="Times New Roman"/>
          <w:noProof/>
          <w:sz w:val="24"/>
        </w:rPr>
        <w:t>ето на Комисията, озаглавено „План за инвестиции за Европа“</w:t>
      </w:r>
      <w:r>
        <w:rPr>
          <w:rStyle w:val="FootnoteReference"/>
          <w:rFonts w:ascii="Times New Roman" w:hAnsi="Times New Roman"/>
          <w:i/>
          <w:noProof/>
          <w:sz w:val="24"/>
        </w:rPr>
        <w:footnoteReference w:id="2"/>
      </w:r>
      <w:r>
        <w:rPr>
          <w:rFonts w:ascii="Times New Roman" w:hAnsi="Times New Roman"/>
          <w:noProof/>
          <w:sz w:val="24"/>
        </w:rPr>
        <w:t xml:space="preserve">, в това число въпроси като прилагането на Регламента относно Европейските фондове за дългосрочни инвестиции (ЕФДИ), висококачествената секюритизация, информация за кредитирането на МСП, частните </w:t>
      </w:r>
      <w:r>
        <w:rPr>
          <w:rFonts w:ascii="Times New Roman" w:hAnsi="Times New Roman"/>
          <w:noProof/>
          <w:sz w:val="24"/>
        </w:rPr>
        <w:t xml:space="preserve">капиталовложения и преразглеждането на Директивата за проспектите. В </w:t>
      </w:r>
      <w:r>
        <w:rPr>
          <w:rFonts w:ascii="Times New Roman" w:hAnsi="Times New Roman"/>
          <w:b/>
          <w:noProof/>
          <w:sz w:val="24"/>
        </w:rPr>
        <w:t>Раздел 4</w:t>
      </w:r>
      <w:r>
        <w:rPr>
          <w:rFonts w:ascii="Times New Roman" w:hAnsi="Times New Roman"/>
          <w:noProof/>
          <w:sz w:val="24"/>
        </w:rPr>
        <w:t xml:space="preserve"> се търсят мнения относно пречките пред достъпа до финансиране, разширяването на източниците на финансиране и въпросите как пазарите да работят по-ефективно и как работата да се р</w:t>
      </w:r>
      <w:r>
        <w:rPr>
          <w:rFonts w:ascii="Times New Roman" w:hAnsi="Times New Roman"/>
          <w:noProof/>
          <w:sz w:val="24"/>
        </w:rPr>
        <w:t>азвива въз основа на получената обратна информация. Пречките пред трансграничните капиталови потоци се крият в законодателството в областта на несъстоятелността, дружествата, данъчното облагане и ценните книжа; необходими са допълнителен анализ и приток на</w:t>
      </w:r>
      <w:r>
        <w:rPr>
          <w:rFonts w:ascii="Times New Roman" w:hAnsi="Times New Roman"/>
          <w:noProof/>
          <w:sz w:val="24"/>
        </w:rPr>
        <w:t xml:space="preserve"> информация, за да се определи мащабът на трудностите във всяка област, както и подходящите решения и приоритетите.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Чрез допълнително отваряне на националните пазари за инвеститорите, емитентите и посредниците, насърчаване на свободното движение на капит</w:t>
      </w:r>
      <w:r>
        <w:rPr>
          <w:rFonts w:ascii="Times New Roman" w:hAnsi="Times New Roman"/>
          <w:noProof/>
          <w:sz w:val="24"/>
        </w:rPr>
        <w:t>али и обмен на добри практики съюзът на капиталовите пазари следва също така да се разглежда като начин за подпомагане на развитието на пазарите на национално равнище. Като се има предвид различното равнище на развитие на капиталовите пазари на територията</w:t>
      </w:r>
      <w:r>
        <w:rPr>
          <w:rFonts w:ascii="Times New Roman" w:hAnsi="Times New Roman"/>
          <w:noProof/>
          <w:sz w:val="24"/>
        </w:rPr>
        <w:t xml:space="preserve"> на ЕС и наличието на специфични предизвикателства в различни държави членки, политическите отговори може да изискват адаптирани действия на национално равнище, въз основа, наред с другото, на специфичните за всяка държава препоръки на Комисията в рамките </w:t>
      </w:r>
      <w:r>
        <w:rPr>
          <w:rFonts w:ascii="Times New Roman" w:hAnsi="Times New Roman"/>
          <w:noProof/>
          <w:sz w:val="24"/>
        </w:rPr>
        <w:t xml:space="preserve">на европейския семестър. Комисията приканва държавите членки да се консултират по специфични предизвикателства за развитието на техните капиталови пазари и да използват заключенията си в дебата. </w:t>
      </w:r>
    </w:p>
    <w:p w:rsidR="005E5425" w:rsidRDefault="004916DA">
      <w:pPr>
        <w:spacing w:line="240" w:lineRule="auto"/>
        <w:jc w:val="both"/>
        <w:rPr>
          <w:rFonts w:ascii="Times New Roman" w:eastAsia="SimSun" w:hAnsi="Times New Roman"/>
          <w:b/>
          <w:noProof/>
          <w:sz w:val="24"/>
          <w:szCs w:val="24"/>
        </w:rPr>
      </w:pPr>
      <w:r>
        <w:rPr>
          <w:rFonts w:ascii="Times New Roman" w:hAnsi="Times New Roman"/>
          <w:noProof/>
        </w:rPr>
        <w:br w:type="page"/>
      </w:r>
      <w:r>
        <w:rPr>
          <w:rFonts w:ascii="Times New Roman" w:hAnsi="Times New Roman"/>
          <w:b/>
          <w:noProof/>
          <w:sz w:val="24"/>
        </w:rPr>
        <w:t xml:space="preserve">Раздел 2: Настоящи предизвикателства пред европейските </w:t>
      </w:r>
      <w:r>
        <w:rPr>
          <w:rFonts w:ascii="Times New Roman" w:hAnsi="Times New Roman"/>
          <w:b/>
          <w:noProof/>
          <w:sz w:val="24"/>
        </w:rPr>
        <w:t>капиталови пазари</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2.1 </w:t>
      </w:r>
      <w:r>
        <w:rPr>
          <w:rFonts w:ascii="Times New Roman" w:hAnsi="Times New Roman"/>
          <w:noProof/>
        </w:rPr>
        <w:tab/>
      </w:r>
      <w:r>
        <w:rPr>
          <w:rFonts w:ascii="Times New Roman" w:hAnsi="Times New Roman"/>
          <w:noProof/>
          <w:sz w:val="24"/>
        </w:rPr>
        <w:t>Текущо състояние на капиталовите пазари в Европа</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Наред с преките банкови заеми капиталовите пазари са основният механизъм, чрез който потенциалните инвеститори могат да достигнат до онези, които търсят финансиране, и да предложат наб</w:t>
      </w:r>
      <w:r>
        <w:rPr>
          <w:rFonts w:ascii="Times New Roman" w:hAnsi="Times New Roman"/>
          <w:noProof/>
          <w:sz w:val="24"/>
        </w:rPr>
        <w:t xml:space="preserve">ор от разнообразни източници на финансиране на икономиката. Графика 1 онагледява потока на средства в икономиката. Капиталовите пазари осигуряват предимно пряко финансиране, като често обаче се намират в тесни връзки с финансови посредници, които насочват </w:t>
      </w:r>
      <w:r>
        <w:rPr>
          <w:rFonts w:ascii="Times New Roman" w:hAnsi="Times New Roman"/>
          <w:noProof/>
          <w:sz w:val="24"/>
        </w:rPr>
        <w:t>средствата от спестителите към инвеститорите.</w:t>
      </w:r>
    </w:p>
    <w:p w:rsidR="005E5425" w:rsidRDefault="005E5425">
      <w:pPr>
        <w:spacing w:line="240" w:lineRule="auto"/>
        <w:jc w:val="both"/>
        <w:rPr>
          <w:rFonts w:ascii="Times New Roman" w:eastAsia="Times New Roman" w:hAnsi="Times New Roman"/>
          <w:b/>
          <w:noProof/>
          <w:sz w:val="24"/>
          <w:szCs w:val="24"/>
        </w:rPr>
      </w:pPr>
    </w:p>
    <w:p w:rsidR="005E5425" w:rsidRDefault="004916DA">
      <w:pPr>
        <w:spacing w:line="240" w:lineRule="auto"/>
        <w:jc w:val="both"/>
        <w:rPr>
          <w:rFonts w:ascii="Times New Roman" w:eastAsia="Times New Roman" w:hAnsi="Times New Roman"/>
          <w:b/>
          <w:noProof/>
          <w:sz w:val="24"/>
          <w:szCs w:val="24"/>
        </w:rPr>
      </w:pPr>
      <w:r>
        <w:rPr>
          <w:rFonts w:ascii="Times New Roman" w:hAnsi="Times New Roman"/>
          <w:b/>
          <w:noProof/>
          <w:sz w:val="24"/>
        </w:rPr>
        <w:t>Графика 1: Стилизирана схема на капиталовите пазари в рамките на по-широката финансова система</w:t>
      </w:r>
    </w:p>
    <w:p w:rsidR="005E5425" w:rsidRDefault="004916DA">
      <w:pPr>
        <w:spacing w:line="240" w:lineRule="auto"/>
        <w:jc w:val="both"/>
        <w:rPr>
          <w:rFonts w:ascii="Times New Roman" w:eastAsia="Times New Roman" w:hAnsi="Times New Roman"/>
          <w:noProof/>
          <w:sz w:val="24"/>
          <w:szCs w:val="24"/>
        </w:rPr>
      </w:pPr>
      <w:r>
        <w:rPr>
          <w:noProof/>
          <w:lang w:val="fr-BE" w:eastAsia="fr-BE" w:bidi="ar-SA"/>
        </w:rPr>
        <w:drawing>
          <wp:inline distT="0" distB="0" distL="0" distR="0">
            <wp:extent cx="5759450" cy="3740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740785"/>
                    </a:xfrm>
                    <a:prstGeom prst="rect">
                      <a:avLst/>
                    </a:prstGeom>
                    <a:noFill/>
                    <a:ln>
                      <a:noFill/>
                    </a:ln>
                  </pic:spPr>
                </pic:pic>
              </a:graphicData>
            </a:graphic>
          </wp:inline>
        </w:drawing>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Капиталовите пазари в ЕС се разраснаха през последните десетилетия. В края на 2013 г. например общата капитализа</w:t>
      </w:r>
      <w:r>
        <w:rPr>
          <w:rFonts w:ascii="Times New Roman" w:hAnsi="Times New Roman"/>
          <w:noProof/>
          <w:sz w:val="24"/>
        </w:rPr>
        <w:t>ция на фондовия пазар на ЕС възлезе на 8,4 трилиона евро (около 65 % от БВП) спрямо 1,3 трилиона евро през 1992 г. (22 % от БВП), а през 2013 г. общата стойност на непогасените дългови ценни книжа надхвърли 22,3 трилиона евро (171 % от БВП) , в сравнение с</w:t>
      </w:r>
      <w:r>
        <w:rPr>
          <w:rFonts w:ascii="Times New Roman" w:hAnsi="Times New Roman"/>
          <w:noProof/>
          <w:sz w:val="24"/>
        </w:rPr>
        <w:t xml:space="preserve"> 4,7 трилиона евро (74 % от БВП) през 1992 г.</w:t>
      </w:r>
      <w:r>
        <w:rPr>
          <w:rFonts w:ascii="Times New Roman" w:hAnsi="Times New Roman"/>
          <w:noProof/>
          <w:sz w:val="24"/>
          <w:vertAlign w:val="superscript"/>
        </w:rPr>
        <w:footnoteReference w:id="3"/>
      </w:r>
      <w:r>
        <w:rPr>
          <w:rFonts w:ascii="Times New Roman" w:hAnsi="Times New Roman"/>
          <w:noProof/>
          <w:sz w:val="24"/>
        </w:rPr>
        <w:t xml:space="preserve"> </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Въпреки това пазарите остават недоразвити в сравнение с други юрисдикции. Като процент от БВП публичните капиталови пазари в ЕС са почти два пъти по-малки от тези в САЩ и три и половина пъти по-малки от тези </w:t>
      </w:r>
      <w:r>
        <w:rPr>
          <w:rFonts w:ascii="Times New Roman" w:hAnsi="Times New Roman"/>
          <w:noProof/>
          <w:sz w:val="24"/>
        </w:rPr>
        <w:t>в Швейцария (графика 2).</w:t>
      </w:r>
    </w:p>
    <w:tbl>
      <w:tblPr>
        <w:tblW w:w="2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1"/>
        <w:gridCol w:w="3881"/>
        <w:gridCol w:w="12"/>
        <w:gridCol w:w="4896"/>
        <w:gridCol w:w="51"/>
        <w:gridCol w:w="4152"/>
        <w:gridCol w:w="227"/>
        <w:gridCol w:w="4380"/>
      </w:tblGrid>
      <w:tr w:rsidR="005E5425">
        <w:trPr>
          <w:gridAfter w:val="2"/>
          <w:wAfter w:w="4644" w:type="dxa"/>
        </w:trPr>
        <w:tc>
          <w:tcPr>
            <w:tcW w:w="5494" w:type="dxa"/>
            <w:tcBorders>
              <w:top w:val="nil"/>
              <w:left w:val="nil"/>
              <w:bottom w:val="nil"/>
              <w:right w:val="nil"/>
            </w:tcBorders>
          </w:tcPr>
          <w:p w:rsidR="005E5425" w:rsidRDefault="005E5425">
            <w:pPr>
              <w:spacing w:line="240" w:lineRule="auto"/>
              <w:jc w:val="both"/>
              <w:rPr>
                <w:rFonts w:ascii="Times New Roman" w:hAnsi="Times New Roman"/>
                <w:b/>
                <w:noProof/>
                <w:sz w:val="24"/>
                <w:szCs w:val="24"/>
              </w:rPr>
            </w:pPr>
          </w:p>
          <w:p w:rsidR="005E5425" w:rsidRDefault="004916DA">
            <w:pPr>
              <w:spacing w:line="240" w:lineRule="auto"/>
              <w:jc w:val="both"/>
              <w:rPr>
                <w:rFonts w:ascii="Times New Roman" w:hAnsi="Times New Roman"/>
                <w:b/>
                <w:noProof/>
                <w:sz w:val="24"/>
                <w:szCs w:val="24"/>
              </w:rPr>
            </w:pPr>
            <w:r>
              <w:rPr>
                <w:rFonts w:ascii="Times New Roman" w:hAnsi="Times New Roman"/>
                <w:b/>
                <w:noProof/>
                <w:sz w:val="24"/>
              </w:rPr>
              <w:t>Графика</w:t>
            </w:r>
            <w:r>
              <w:rPr>
                <w:rFonts w:ascii="Times New Roman" w:hAnsi="Times New Roman"/>
                <w:noProof/>
                <w:sz w:val="24"/>
              </w:rPr>
              <w:t xml:space="preserve"> </w:t>
            </w:r>
            <w:r>
              <w:rPr>
                <w:rFonts w:ascii="Times New Roman" w:hAnsi="Times New Roman"/>
                <w:b/>
                <w:noProof/>
                <w:sz w:val="24"/>
              </w:rPr>
              <w:t>2</w:t>
            </w:r>
            <w:r>
              <w:rPr>
                <w:rFonts w:ascii="Times New Roman" w:hAnsi="Times New Roman"/>
                <w:noProof/>
                <w:sz w:val="24"/>
              </w:rPr>
              <w:t xml:space="preserve">: </w:t>
            </w:r>
            <w:r>
              <w:rPr>
                <w:rFonts w:ascii="Times New Roman" w:hAnsi="Times New Roman"/>
                <w:b/>
                <w:noProof/>
                <w:sz w:val="24"/>
              </w:rPr>
              <w:t>Капитализация на пазара на акции и дългови ценни книжа (% от БВП)</w:t>
            </w:r>
          </w:p>
        </w:tc>
        <w:tc>
          <w:tcPr>
            <w:tcW w:w="3898" w:type="dxa"/>
            <w:tcBorders>
              <w:top w:val="nil"/>
              <w:left w:val="nil"/>
              <w:bottom w:val="nil"/>
              <w:right w:val="nil"/>
            </w:tcBorders>
          </w:tcPr>
          <w:p w:rsidR="005E5425" w:rsidRDefault="005E5425">
            <w:pPr>
              <w:spacing w:line="240" w:lineRule="auto"/>
              <w:jc w:val="both"/>
              <w:rPr>
                <w:rFonts w:ascii="Times New Roman" w:eastAsia="Times New Roman" w:hAnsi="Times New Roman"/>
                <w:noProof/>
                <w:sz w:val="24"/>
                <w:szCs w:val="24"/>
              </w:rPr>
            </w:pPr>
          </w:p>
        </w:tc>
        <w:tc>
          <w:tcPr>
            <w:tcW w:w="4948" w:type="dxa"/>
            <w:gridSpan w:val="2"/>
            <w:tcBorders>
              <w:top w:val="nil"/>
              <w:left w:val="nil"/>
              <w:bottom w:val="nil"/>
              <w:right w:val="nil"/>
            </w:tcBorders>
            <w:shd w:val="clear" w:color="auto" w:fill="auto"/>
          </w:tcPr>
          <w:p w:rsidR="005E5425" w:rsidRDefault="005E5425">
            <w:pPr>
              <w:spacing w:line="240" w:lineRule="auto"/>
              <w:jc w:val="both"/>
              <w:rPr>
                <w:rFonts w:ascii="Times New Roman" w:eastAsia="Times New Roman" w:hAnsi="Times New Roman"/>
                <w:noProof/>
                <w:sz w:val="24"/>
                <w:szCs w:val="24"/>
              </w:rPr>
            </w:pPr>
          </w:p>
        </w:tc>
        <w:tc>
          <w:tcPr>
            <w:tcW w:w="4236" w:type="dxa"/>
            <w:gridSpan w:val="2"/>
            <w:tcBorders>
              <w:top w:val="nil"/>
              <w:left w:val="nil"/>
              <w:bottom w:val="nil"/>
              <w:right w:val="nil"/>
            </w:tcBorders>
            <w:shd w:val="clear" w:color="auto" w:fill="auto"/>
          </w:tcPr>
          <w:p w:rsidR="005E5425" w:rsidRDefault="005E5425">
            <w:pPr>
              <w:spacing w:line="240" w:lineRule="auto"/>
              <w:jc w:val="both"/>
              <w:rPr>
                <w:rFonts w:ascii="Times New Roman" w:eastAsia="Times New Roman" w:hAnsi="Times New Roman"/>
                <w:noProof/>
                <w:sz w:val="24"/>
                <w:szCs w:val="24"/>
              </w:rPr>
            </w:pPr>
          </w:p>
        </w:tc>
      </w:tr>
      <w:tr w:rsidR="005E5425">
        <w:trPr>
          <w:gridAfter w:val="2"/>
          <w:wAfter w:w="4644" w:type="dxa"/>
        </w:trPr>
        <w:tc>
          <w:tcPr>
            <w:tcW w:w="5494" w:type="dxa"/>
            <w:tcBorders>
              <w:top w:val="nil"/>
              <w:left w:val="nil"/>
              <w:bottom w:val="nil"/>
              <w:right w:val="nil"/>
            </w:tcBorders>
          </w:tcPr>
          <w:p w:rsidR="005E5425" w:rsidRDefault="004916DA">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val="fr-BE" w:eastAsia="fr-BE" w:bidi="ar-SA"/>
              </w:rPr>
              <w:drawing>
                <wp:inline distT="0" distB="0" distL="0" distR="0">
                  <wp:extent cx="3277870" cy="22447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7870" cy="2244725"/>
                          </a:xfrm>
                          <a:prstGeom prst="rect">
                            <a:avLst/>
                          </a:prstGeom>
                          <a:noFill/>
                          <a:ln>
                            <a:noFill/>
                          </a:ln>
                        </pic:spPr>
                      </pic:pic>
                    </a:graphicData>
                  </a:graphic>
                </wp:inline>
              </w:drawing>
            </w:r>
          </w:p>
        </w:tc>
        <w:tc>
          <w:tcPr>
            <w:tcW w:w="3898" w:type="dxa"/>
            <w:tcBorders>
              <w:top w:val="nil"/>
              <w:left w:val="nil"/>
              <w:bottom w:val="nil"/>
              <w:right w:val="nil"/>
            </w:tcBorders>
          </w:tcPr>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Извънборсовите пазари в САЩ също превишават около два пъти размера на тези в ЕС, а пазарите за частни емисии на ценни книжа там са до три пъти по-големи.   Същевременно развитието на капиталовите пазари в отделните държави членки на ЕС е изключително нерав</w:t>
            </w:r>
            <w:r>
              <w:rPr>
                <w:rFonts w:ascii="Times New Roman" w:hAnsi="Times New Roman"/>
                <w:noProof/>
                <w:sz w:val="24"/>
              </w:rPr>
              <w:t xml:space="preserve">номерно. Капитализацията на вътрешния пазар на акции в Обединеното кралство например надхвърля 121 % от БВП, докато в Латвия, Кипър и Литва тя е под 10 %.  </w:t>
            </w:r>
          </w:p>
        </w:tc>
        <w:tc>
          <w:tcPr>
            <w:tcW w:w="4948" w:type="dxa"/>
            <w:gridSpan w:val="2"/>
            <w:tcBorders>
              <w:top w:val="nil"/>
              <w:left w:val="nil"/>
              <w:bottom w:val="nil"/>
              <w:right w:val="nil"/>
            </w:tcBorders>
            <w:shd w:val="clear" w:color="auto" w:fill="auto"/>
          </w:tcPr>
          <w:p w:rsidR="005E5425" w:rsidRDefault="005E5425">
            <w:pPr>
              <w:spacing w:line="240" w:lineRule="auto"/>
              <w:jc w:val="both"/>
              <w:rPr>
                <w:rFonts w:ascii="Times New Roman" w:eastAsia="Times New Roman" w:hAnsi="Times New Roman"/>
                <w:noProof/>
                <w:sz w:val="24"/>
                <w:szCs w:val="24"/>
              </w:rPr>
            </w:pPr>
          </w:p>
        </w:tc>
        <w:tc>
          <w:tcPr>
            <w:tcW w:w="4236" w:type="dxa"/>
            <w:gridSpan w:val="2"/>
            <w:tcBorders>
              <w:top w:val="nil"/>
              <w:left w:val="nil"/>
              <w:bottom w:val="nil"/>
              <w:right w:val="nil"/>
            </w:tcBorders>
            <w:shd w:val="clear" w:color="auto" w:fill="auto"/>
          </w:tcPr>
          <w:p w:rsidR="005E5425" w:rsidRDefault="005E5425">
            <w:pPr>
              <w:spacing w:line="240" w:lineRule="auto"/>
              <w:jc w:val="both"/>
              <w:rPr>
                <w:rFonts w:ascii="Times New Roman" w:eastAsia="Times New Roman" w:hAnsi="Times New Roman"/>
                <w:noProof/>
                <w:sz w:val="24"/>
                <w:szCs w:val="24"/>
              </w:rPr>
            </w:pPr>
          </w:p>
        </w:tc>
      </w:tr>
      <w:tr w:rsidR="005E5425">
        <w:trPr>
          <w:gridAfter w:val="2"/>
          <w:wAfter w:w="4644" w:type="dxa"/>
        </w:trPr>
        <w:tc>
          <w:tcPr>
            <w:tcW w:w="5494" w:type="dxa"/>
            <w:tcBorders>
              <w:top w:val="nil"/>
              <w:left w:val="nil"/>
              <w:bottom w:val="nil"/>
              <w:right w:val="nil"/>
            </w:tcBorders>
          </w:tcPr>
          <w:p w:rsidR="005E5425" w:rsidRDefault="004916DA">
            <w:pPr>
              <w:spacing w:line="240" w:lineRule="auto"/>
              <w:jc w:val="both"/>
              <w:rPr>
                <w:rFonts w:ascii="Times New Roman" w:eastAsia="Times New Roman" w:hAnsi="Times New Roman"/>
                <w:i/>
                <w:noProof/>
                <w:sz w:val="20"/>
                <w:szCs w:val="20"/>
              </w:rPr>
            </w:pPr>
            <w:r>
              <w:rPr>
                <w:rFonts w:ascii="Times New Roman" w:hAnsi="Times New Roman"/>
                <w:i/>
                <w:noProof/>
                <w:sz w:val="20"/>
                <w:szCs w:val="20"/>
              </w:rPr>
              <w:t xml:space="preserve">Източник: Пакет от документи в областта на статистиката на Европейския институт за капиталовите </w:t>
            </w:r>
            <w:r>
              <w:rPr>
                <w:rFonts w:ascii="Times New Roman" w:hAnsi="Times New Roman"/>
                <w:i/>
                <w:noProof/>
                <w:sz w:val="20"/>
                <w:szCs w:val="20"/>
              </w:rPr>
              <w:t>пазари (ECMI)</w:t>
            </w:r>
          </w:p>
        </w:tc>
        <w:tc>
          <w:tcPr>
            <w:tcW w:w="3898" w:type="dxa"/>
            <w:tcBorders>
              <w:top w:val="nil"/>
              <w:left w:val="nil"/>
              <w:bottom w:val="nil"/>
              <w:right w:val="nil"/>
            </w:tcBorders>
          </w:tcPr>
          <w:p w:rsidR="005E5425" w:rsidRDefault="005E5425">
            <w:pPr>
              <w:spacing w:line="240" w:lineRule="auto"/>
              <w:jc w:val="both"/>
              <w:rPr>
                <w:rFonts w:ascii="Times New Roman" w:eastAsia="Times New Roman" w:hAnsi="Times New Roman"/>
                <w:noProof/>
                <w:sz w:val="24"/>
                <w:szCs w:val="24"/>
              </w:rPr>
            </w:pPr>
          </w:p>
        </w:tc>
        <w:tc>
          <w:tcPr>
            <w:tcW w:w="4948" w:type="dxa"/>
            <w:gridSpan w:val="2"/>
            <w:tcBorders>
              <w:top w:val="nil"/>
              <w:left w:val="nil"/>
              <w:bottom w:val="nil"/>
              <w:right w:val="nil"/>
            </w:tcBorders>
            <w:shd w:val="clear" w:color="auto" w:fill="auto"/>
          </w:tcPr>
          <w:p w:rsidR="005E5425" w:rsidRDefault="005E5425">
            <w:pPr>
              <w:spacing w:line="240" w:lineRule="auto"/>
              <w:jc w:val="both"/>
              <w:rPr>
                <w:rFonts w:ascii="Times New Roman" w:eastAsia="Times New Roman" w:hAnsi="Times New Roman"/>
                <w:noProof/>
                <w:sz w:val="24"/>
                <w:szCs w:val="24"/>
              </w:rPr>
            </w:pPr>
          </w:p>
        </w:tc>
        <w:tc>
          <w:tcPr>
            <w:tcW w:w="4236" w:type="dxa"/>
            <w:gridSpan w:val="2"/>
            <w:tcBorders>
              <w:top w:val="nil"/>
              <w:left w:val="nil"/>
              <w:bottom w:val="nil"/>
              <w:right w:val="nil"/>
            </w:tcBorders>
            <w:shd w:val="clear" w:color="auto" w:fill="auto"/>
          </w:tcPr>
          <w:p w:rsidR="005E5425" w:rsidRDefault="005E5425">
            <w:pPr>
              <w:spacing w:line="240" w:lineRule="auto"/>
              <w:jc w:val="both"/>
              <w:rPr>
                <w:rFonts w:ascii="Times New Roman" w:eastAsia="Times New Roman" w:hAnsi="Times New Roman"/>
                <w:noProof/>
                <w:sz w:val="24"/>
                <w:szCs w:val="24"/>
              </w:rPr>
            </w:pPr>
          </w:p>
        </w:tc>
      </w:tr>
      <w:tr w:rsidR="005E5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4" w:type="dxa"/>
          </w:tcPr>
          <w:p w:rsidR="005E5425" w:rsidRDefault="005E5425">
            <w:pPr>
              <w:spacing w:after="0" w:line="240" w:lineRule="auto"/>
              <w:rPr>
                <w:rFonts w:ascii="Times New Roman" w:eastAsia="Times New Roman" w:hAnsi="Times New Roman"/>
                <w:b/>
                <w:noProof/>
                <w:sz w:val="24"/>
                <w:szCs w:val="24"/>
              </w:rPr>
            </w:pPr>
          </w:p>
          <w:p w:rsidR="005E5425" w:rsidRDefault="004916DA">
            <w:pPr>
              <w:spacing w:after="0" w:line="240" w:lineRule="auto"/>
              <w:rPr>
                <w:rFonts w:ascii="Times New Roman" w:eastAsia="Times New Roman" w:hAnsi="Times New Roman"/>
                <w:noProof/>
                <w:sz w:val="24"/>
                <w:szCs w:val="24"/>
              </w:rPr>
            </w:pPr>
            <w:r>
              <w:rPr>
                <w:rFonts w:ascii="Times New Roman" w:hAnsi="Times New Roman"/>
                <w:b/>
                <w:noProof/>
                <w:sz w:val="24"/>
              </w:rPr>
              <w:t xml:space="preserve">Графика 3: </w:t>
            </w:r>
            <w:r>
              <w:rPr>
                <w:rFonts w:ascii="Times New Roman" w:hAnsi="Times New Roman"/>
                <w:b/>
                <w:noProof/>
              </w:rPr>
              <w:t>Начини на финансиране на предприятията (в % от общите пасиви)</w:t>
            </w:r>
          </w:p>
          <w:p w:rsidR="005E5425" w:rsidRDefault="005E5425">
            <w:pPr>
              <w:spacing w:after="0" w:line="240" w:lineRule="auto"/>
              <w:rPr>
                <w:rFonts w:ascii="Times New Roman" w:eastAsia="Times New Roman" w:hAnsi="Times New Roman"/>
                <w:noProof/>
                <w:sz w:val="24"/>
                <w:szCs w:val="24"/>
              </w:rPr>
            </w:pPr>
          </w:p>
          <w:p w:rsidR="005E5425" w:rsidRDefault="004916DA">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lang w:val="fr-BE" w:eastAsia="fr-BE" w:bidi="ar-SA"/>
              </w:rPr>
              <w:drawing>
                <wp:inline distT="0" distB="0" distL="0" distR="0">
                  <wp:extent cx="3432175" cy="2066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2175" cy="2066290"/>
                          </a:xfrm>
                          <a:prstGeom prst="rect">
                            <a:avLst/>
                          </a:prstGeom>
                          <a:noFill/>
                          <a:ln>
                            <a:noFill/>
                          </a:ln>
                        </pic:spPr>
                      </pic:pic>
                    </a:graphicData>
                  </a:graphic>
                </wp:inline>
              </w:drawing>
            </w:r>
          </w:p>
        </w:tc>
        <w:tc>
          <w:tcPr>
            <w:tcW w:w="3910" w:type="dxa"/>
            <w:gridSpan w:val="2"/>
          </w:tcPr>
          <w:p w:rsidR="005E5425" w:rsidRDefault="005E5425">
            <w:pPr>
              <w:spacing w:line="240" w:lineRule="auto"/>
              <w:jc w:val="both"/>
              <w:rPr>
                <w:rFonts w:ascii="Times New Roman" w:eastAsia="Times New Roman" w:hAnsi="Times New Roman"/>
                <w:noProof/>
                <w:sz w:val="24"/>
                <w:szCs w:val="24"/>
              </w:rPr>
            </w:pPr>
          </w:p>
          <w:p w:rsidR="005E5425" w:rsidRDefault="005E5425">
            <w:pPr>
              <w:spacing w:after="0" w:line="240" w:lineRule="auto"/>
              <w:jc w:val="both"/>
              <w:rPr>
                <w:rFonts w:ascii="Times New Roman" w:eastAsia="Times New Roman" w:hAnsi="Times New Roman"/>
                <w:noProof/>
                <w:sz w:val="24"/>
                <w:szCs w:val="24"/>
              </w:rPr>
            </w:pPr>
          </w:p>
          <w:p w:rsidR="005E5425" w:rsidRDefault="005E5425">
            <w:pPr>
              <w:spacing w:after="0" w:line="240" w:lineRule="auto"/>
              <w:jc w:val="both"/>
              <w:rPr>
                <w:rFonts w:ascii="Times New Roman" w:eastAsia="Times New Roman" w:hAnsi="Times New Roman"/>
                <w:noProof/>
                <w:sz w:val="24"/>
                <w:szCs w:val="24"/>
              </w:rPr>
            </w:pPr>
          </w:p>
          <w:p w:rsidR="005E5425" w:rsidRDefault="004916DA">
            <w:pPr>
              <w:spacing w:after="0" w:line="240" w:lineRule="auto"/>
              <w:jc w:val="both"/>
              <w:rPr>
                <w:rFonts w:ascii="Times New Roman" w:eastAsia="Times New Roman" w:hAnsi="Times New Roman"/>
                <w:noProof/>
                <w:sz w:val="24"/>
                <w:szCs w:val="24"/>
              </w:rPr>
            </w:pPr>
            <w:r>
              <w:rPr>
                <w:rFonts w:ascii="Times New Roman" w:hAnsi="Times New Roman"/>
                <w:noProof/>
                <w:sz w:val="24"/>
              </w:rPr>
              <w:t xml:space="preserve">В Европа винаги се е разчитало повече на банковото финансиране: банковото кредитиране е играло значително по-голяма роля във финансирането на бизнеса от </w:t>
            </w:r>
            <w:r>
              <w:rPr>
                <w:rFonts w:ascii="Times New Roman" w:hAnsi="Times New Roman"/>
                <w:noProof/>
                <w:sz w:val="24"/>
              </w:rPr>
              <w:t>емитирането на дългови ценни книжа и предлагането им на пазара (графика 3). Тази традиция прави европейската икономика — и особено МСП — по-чувствителна към евентуално затягане на банковото кредитиране, каквото се случи по време на финансовата криза.</w:t>
            </w:r>
          </w:p>
        </w:tc>
        <w:tc>
          <w:tcPr>
            <w:tcW w:w="4987" w:type="dxa"/>
            <w:gridSpan w:val="2"/>
            <w:shd w:val="clear" w:color="auto" w:fill="auto"/>
          </w:tcPr>
          <w:p w:rsidR="005E5425" w:rsidRDefault="005E5425">
            <w:pPr>
              <w:spacing w:after="0" w:line="240" w:lineRule="auto"/>
              <w:rPr>
                <w:rFonts w:ascii="Times New Roman" w:eastAsia="Times New Roman" w:hAnsi="Times New Roman"/>
                <w:noProof/>
                <w:sz w:val="24"/>
                <w:szCs w:val="24"/>
              </w:rPr>
            </w:pPr>
          </w:p>
        </w:tc>
        <w:tc>
          <w:tcPr>
            <w:tcW w:w="4414" w:type="dxa"/>
            <w:gridSpan w:val="2"/>
            <w:shd w:val="clear" w:color="auto" w:fill="auto"/>
          </w:tcPr>
          <w:p w:rsidR="005E5425" w:rsidRDefault="005E5425">
            <w:pPr>
              <w:spacing w:line="240" w:lineRule="auto"/>
              <w:jc w:val="both"/>
              <w:rPr>
                <w:rFonts w:ascii="Times New Roman" w:eastAsia="Times New Roman" w:hAnsi="Times New Roman"/>
                <w:noProof/>
                <w:sz w:val="24"/>
                <w:szCs w:val="24"/>
              </w:rPr>
            </w:pPr>
          </w:p>
        </w:tc>
        <w:tc>
          <w:tcPr>
            <w:tcW w:w="4415" w:type="dxa"/>
            <w:shd w:val="clear" w:color="auto" w:fill="auto"/>
          </w:tcPr>
          <w:p w:rsidR="005E5425" w:rsidRDefault="005E5425">
            <w:pPr>
              <w:spacing w:line="240" w:lineRule="auto"/>
              <w:jc w:val="both"/>
              <w:rPr>
                <w:rFonts w:ascii="Times New Roman" w:eastAsia="Times New Roman" w:hAnsi="Times New Roman"/>
                <w:noProof/>
                <w:sz w:val="24"/>
                <w:szCs w:val="24"/>
              </w:rPr>
            </w:pPr>
          </w:p>
        </w:tc>
      </w:tr>
      <w:tr w:rsidR="005E54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94" w:type="dxa"/>
          </w:tcPr>
          <w:p w:rsidR="005E5425" w:rsidRDefault="004916DA">
            <w:pPr>
              <w:spacing w:line="240" w:lineRule="auto"/>
              <w:jc w:val="both"/>
              <w:rPr>
                <w:rFonts w:ascii="Times New Roman" w:eastAsia="Times New Roman" w:hAnsi="Times New Roman"/>
                <w:i/>
                <w:noProof/>
                <w:sz w:val="20"/>
                <w:szCs w:val="20"/>
              </w:rPr>
            </w:pPr>
            <w:r>
              <w:rPr>
                <w:rFonts w:ascii="Times New Roman" w:hAnsi="Times New Roman"/>
                <w:i/>
                <w:noProof/>
                <w:sz w:val="20"/>
                <w:szCs w:val="20"/>
              </w:rPr>
              <w:t>И</w:t>
            </w:r>
            <w:r>
              <w:rPr>
                <w:rFonts w:ascii="Times New Roman" w:hAnsi="Times New Roman"/>
                <w:i/>
                <w:noProof/>
                <w:sz w:val="20"/>
                <w:szCs w:val="20"/>
              </w:rPr>
              <w:t xml:space="preserve">зточник: Евростат, ОИСР Забележка: Заемите включват банкови заеми и междудружествени заеми. </w:t>
            </w:r>
          </w:p>
          <w:p w:rsidR="005E5425" w:rsidRDefault="005E5425">
            <w:pPr>
              <w:spacing w:after="0" w:line="240" w:lineRule="auto"/>
              <w:rPr>
                <w:rFonts w:ascii="Times New Roman" w:eastAsia="Times New Roman" w:hAnsi="Times New Roman"/>
                <w:noProof/>
                <w:sz w:val="24"/>
                <w:szCs w:val="24"/>
              </w:rPr>
            </w:pPr>
          </w:p>
        </w:tc>
        <w:tc>
          <w:tcPr>
            <w:tcW w:w="3910" w:type="dxa"/>
            <w:gridSpan w:val="2"/>
          </w:tcPr>
          <w:p w:rsidR="005E5425" w:rsidRDefault="005E5425">
            <w:pPr>
              <w:spacing w:line="240" w:lineRule="auto"/>
              <w:jc w:val="both"/>
              <w:rPr>
                <w:rFonts w:ascii="Times New Roman" w:eastAsia="Times New Roman" w:hAnsi="Times New Roman"/>
                <w:noProof/>
                <w:sz w:val="24"/>
                <w:szCs w:val="24"/>
              </w:rPr>
            </w:pPr>
          </w:p>
        </w:tc>
        <w:tc>
          <w:tcPr>
            <w:tcW w:w="4987" w:type="dxa"/>
            <w:gridSpan w:val="2"/>
            <w:shd w:val="clear" w:color="auto" w:fill="auto"/>
          </w:tcPr>
          <w:p w:rsidR="005E5425" w:rsidRDefault="005E5425">
            <w:pPr>
              <w:spacing w:after="0" w:line="240" w:lineRule="auto"/>
              <w:rPr>
                <w:rFonts w:ascii="Times New Roman" w:eastAsia="Times New Roman" w:hAnsi="Times New Roman"/>
                <w:noProof/>
                <w:sz w:val="24"/>
                <w:szCs w:val="24"/>
              </w:rPr>
            </w:pPr>
          </w:p>
        </w:tc>
        <w:tc>
          <w:tcPr>
            <w:tcW w:w="4414" w:type="dxa"/>
            <w:gridSpan w:val="2"/>
            <w:shd w:val="clear" w:color="auto" w:fill="auto"/>
          </w:tcPr>
          <w:p w:rsidR="005E5425" w:rsidRDefault="005E5425">
            <w:pPr>
              <w:spacing w:line="240" w:lineRule="auto"/>
              <w:jc w:val="both"/>
              <w:rPr>
                <w:rFonts w:ascii="Times New Roman" w:eastAsia="Times New Roman" w:hAnsi="Times New Roman"/>
                <w:noProof/>
                <w:sz w:val="24"/>
                <w:szCs w:val="24"/>
              </w:rPr>
            </w:pPr>
          </w:p>
        </w:tc>
        <w:tc>
          <w:tcPr>
            <w:tcW w:w="4415" w:type="dxa"/>
            <w:shd w:val="clear" w:color="auto" w:fill="auto"/>
          </w:tcPr>
          <w:p w:rsidR="005E5425" w:rsidRDefault="005E5425">
            <w:pPr>
              <w:spacing w:line="240" w:lineRule="auto"/>
              <w:jc w:val="both"/>
              <w:rPr>
                <w:rFonts w:ascii="Times New Roman" w:eastAsia="Times New Roman" w:hAnsi="Times New Roman"/>
                <w:noProof/>
                <w:sz w:val="24"/>
                <w:szCs w:val="24"/>
              </w:rPr>
            </w:pPr>
          </w:p>
        </w:tc>
      </w:tr>
    </w:tbl>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Достъпът до капиталовите пазари в отделните държави членки на ЕС и сред отделните дружества е изключително неравномерен. Значително се е увеличило </w:t>
      </w:r>
      <w:r>
        <w:rPr>
          <w:rFonts w:ascii="Times New Roman" w:hAnsi="Times New Roman"/>
          <w:noProof/>
          <w:sz w:val="24"/>
        </w:rPr>
        <w:t>емитирането на корпоративни облигации от нефинансовите дружества в ЕС, което частично отразява благоприятния пазарен климат за емитентите на облигации, породен от ниските лихвени проценти. Въпреки това облигации емитират главно големите дружества, а не мал</w:t>
      </w:r>
      <w:r>
        <w:rPr>
          <w:rFonts w:ascii="Times New Roman" w:hAnsi="Times New Roman"/>
          <w:noProof/>
          <w:sz w:val="24"/>
        </w:rPr>
        <w:t>ките и средните предприятия (МСП). Също така емисиите се предлагат предимно на по-големи пазари, а не на пазарите, където финансирането на бизнеса е най-проблематично.</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Въпреки че преди кризата интегрирането на капиталовите пазари в ЕС напредна при трансгра</w:t>
      </w:r>
      <w:r>
        <w:rPr>
          <w:rFonts w:ascii="Times New Roman" w:hAnsi="Times New Roman"/>
          <w:noProof/>
          <w:sz w:val="24"/>
        </w:rPr>
        <w:t>ничните притежания на финансови инструменти, кризата показа, че то донякъде е било предизвикано от дългови потоци в резултат на банкиране с дружества, които потоци при сътресения са податливи на резки обрати. Пазарите на акции в ЕС продължават да се характ</w:t>
      </w:r>
      <w:r>
        <w:rPr>
          <w:rFonts w:ascii="Times New Roman" w:hAnsi="Times New Roman"/>
          <w:noProof/>
          <w:sz w:val="24"/>
        </w:rPr>
        <w:t>еризират с предпочитание към националните дружества, което означава, че потенциалните рискове и ползи не надскачат националните граници. Трансграничното притежаване на дългови ценни книжа също остава по-ниско, отколкото би могло да се очаква при един напъл</w:t>
      </w:r>
      <w:r>
        <w:rPr>
          <w:rFonts w:ascii="Times New Roman" w:hAnsi="Times New Roman"/>
          <w:noProof/>
          <w:sz w:val="24"/>
        </w:rPr>
        <w:t xml:space="preserve">но интегриран пазар. Дори и най-добре работещите национални пазари в ЕС нямат критична маса, което ограничава инвеститорската база и избора на финансови инструменти. </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2.2 </w:t>
      </w:r>
      <w:r>
        <w:rPr>
          <w:rFonts w:ascii="Times New Roman" w:hAnsi="Times New Roman"/>
          <w:noProof/>
        </w:rPr>
        <w:tab/>
      </w:r>
      <w:r>
        <w:rPr>
          <w:rFonts w:ascii="Times New Roman" w:hAnsi="Times New Roman"/>
          <w:noProof/>
          <w:sz w:val="24"/>
        </w:rPr>
        <w:t>Предизвикателства и възможности за изграждането на съюз на капиталовите пазари</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Пред </w:t>
      </w:r>
      <w:r>
        <w:rPr>
          <w:rFonts w:ascii="Times New Roman" w:hAnsi="Times New Roman"/>
          <w:noProof/>
          <w:sz w:val="24"/>
        </w:rPr>
        <w:t>интеграцията и развитието на капиталовите пазари в ЕС съществуват различни пречки от историческо, културно, икономическо и правно естество, някои от които са дълбоко вкоренени и трудно могат да бъдат преодолени.  Такива са например традиционно установеното</w:t>
      </w:r>
      <w:r>
        <w:rPr>
          <w:rFonts w:ascii="Times New Roman" w:hAnsi="Times New Roman"/>
          <w:noProof/>
          <w:sz w:val="24"/>
        </w:rPr>
        <w:t xml:space="preserve"> предпочитание на бизнеса към определени начини на финансиране, характеристиките на пенсионно осигуряване, прилагането на пруденциалните разпоредби, бюрокрацията, някои аспекти на корпоративната управленска култура и дружественото право, непълните данни и </w:t>
      </w:r>
      <w:r>
        <w:rPr>
          <w:rFonts w:ascii="Times New Roman" w:hAnsi="Times New Roman"/>
          <w:noProof/>
          <w:sz w:val="24"/>
        </w:rPr>
        <w:t>характеристиките на редица данъчни системи, както и неефективните пазарни структури. Някои от тези различия ще продължат да съществуват дори и при добре интегрираните капиталови пазари. За да може напълно интегрираният единен пазар на капитали да реализира</w:t>
      </w:r>
      <w:r>
        <w:rPr>
          <w:rFonts w:ascii="Times New Roman" w:hAnsi="Times New Roman"/>
          <w:noProof/>
          <w:sz w:val="24"/>
        </w:rPr>
        <w:t xml:space="preserve"> потенциала си е необходимо да се преодолеят предизвикателствата, главно в следните три ключови области. </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На първо място, по отношение на търсенето, важен приоритет представлява</w:t>
      </w:r>
      <w:r>
        <w:rPr>
          <w:rFonts w:ascii="Times New Roman" w:hAnsi="Times New Roman"/>
          <w:b/>
          <w:noProof/>
          <w:sz w:val="24"/>
        </w:rPr>
        <w:t xml:space="preserve"> подобряването на достъпа до финансиране, включително до рисков капитал, по-спе</w:t>
      </w:r>
      <w:r>
        <w:rPr>
          <w:rFonts w:ascii="Times New Roman" w:hAnsi="Times New Roman"/>
          <w:b/>
          <w:noProof/>
          <w:sz w:val="24"/>
        </w:rPr>
        <w:t>циално за МСП (сред които — бързоразвиващите се иновационни новосъздадени дружества)</w:t>
      </w:r>
      <w:r>
        <w:rPr>
          <w:rFonts w:ascii="Times New Roman" w:hAnsi="Times New Roman"/>
          <w:noProof/>
          <w:sz w:val="24"/>
        </w:rPr>
        <w:t>.  С течение на времето успехът ще зависи от преодоляването на информационните проблеми и на разпокъсаността на ключови пазарни сегменти, както и от намаляването на разходи</w:t>
      </w:r>
      <w:r>
        <w:rPr>
          <w:rFonts w:ascii="Times New Roman" w:hAnsi="Times New Roman"/>
          <w:noProof/>
          <w:sz w:val="24"/>
        </w:rPr>
        <w:t xml:space="preserve">те за достъп до капиталовите пазари.  Наред с това съществуват и специфични пречки пред финансирането на дългосрочни проекти като инвестициите в инфраструктурата. </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На второ място, по отношение на предлагането, развитието на капиталовите пазари в ЕС ще зави</w:t>
      </w:r>
      <w:r>
        <w:rPr>
          <w:rFonts w:ascii="Times New Roman" w:hAnsi="Times New Roman"/>
          <w:noProof/>
          <w:sz w:val="24"/>
        </w:rPr>
        <w:t xml:space="preserve">си от паричните потоци към инструментите на капиталовия пазар. </w:t>
      </w:r>
      <w:r>
        <w:rPr>
          <w:rFonts w:ascii="Times New Roman" w:hAnsi="Times New Roman"/>
          <w:b/>
          <w:noProof/>
          <w:sz w:val="24"/>
        </w:rPr>
        <w:t>Насочването</w:t>
      </w:r>
      <w:r>
        <w:rPr>
          <w:rFonts w:ascii="Times New Roman" w:hAnsi="Times New Roman"/>
          <w:noProof/>
          <w:sz w:val="24"/>
        </w:rPr>
        <w:t xml:space="preserve">, чрез насърчителни мерки, </w:t>
      </w:r>
      <w:r>
        <w:rPr>
          <w:rFonts w:ascii="Times New Roman" w:hAnsi="Times New Roman"/>
          <w:b/>
          <w:noProof/>
          <w:sz w:val="24"/>
        </w:rPr>
        <w:t>на средствата на институционалните и индивидуалните инвеститори</w:t>
      </w:r>
      <w:r>
        <w:rPr>
          <w:rFonts w:ascii="Times New Roman" w:hAnsi="Times New Roman"/>
          <w:noProof/>
          <w:sz w:val="24"/>
        </w:rPr>
        <w:t xml:space="preserve"> към капиталовите пазари би спомогнало за диверсифицирането на източниците на финансиране. Р</w:t>
      </w:r>
      <w:r>
        <w:rPr>
          <w:rFonts w:ascii="Times New Roman" w:hAnsi="Times New Roman"/>
          <w:noProof/>
          <w:sz w:val="24"/>
        </w:rPr>
        <w:t>азвитието на професионалното и частното пенсионно осигуряване в Европа би могло, чрез инструментите на капиталовия пазар, да привлече парични потоци към по-разнообразна гама от инвестиционни нужди и да засили дела на финансирането от пазара. От своя страна</w:t>
      </w:r>
      <w:r>
        <w:rPr>
          <w:rFonts w:ascii="Times New Roman" w:hAnsi="Times New Roman"/>
          <w:noProof/>
          <w:sz w:val="24"/>
        </w:rPr>
        <w:t>, повишаването на доверието на индивидуалните инвеститори в капиталовите пазари и финансовите посредници би привлякло потока на потребителски спестявания към инструментите на капиталовия пазар. Понастоящем тези спестявания са до голяма степен капиталовложе</w:t>
      </w:r>
      <w:r>
        <w:rPr>
          <w:rFonts w:ascii="Times New Roman" w:hAnsi="Times New Roman"/>
          <w:noProof/>
          <w:sz w:val="24"/>
        </w:rPr>
        <w:t>ния в недвижимо имущество и банкови депозити. Такова повишаване на общата конкурентоспособност и привлекателност на европейските капиталови пазари би могло да стимулира и притока на инвестиции.</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На трето място, създаването на по-големи, по-интегрирани и по-</w:t>
      </w:r>
      <w:r>
        <w:rPr>
          <w:rFonts w:ascii="Times New Roman" w:hAnsi="Times New Roman"/>
          <w:noProof/>
          <w:sz w:val="24"/>
        </w:rPr>
        <w:t xml:space="preserve">развити капиталови пазари ще зависи от преодоляването на пречките, които водят до разпокъсване на пазарите и затрудняват развитието на някои пазарни сегменти. </w:t>
      </w:r>
      <w:r>
        <w:rPr>
          <w:rFonts w:ascii="Times New Roman" w:hAnsi="Times New Roman"/>
          <w:b/>
          <w:noProof/>
          <w:sz w:val="24"/>
        </w:rPr>
        <w:t>Подобряването на ефективността на пазарите</w:t>
      </w:r>
      <w:r>
        <w:rPr>
          <w:rFonts w:ascii="Times New Roman" w:hAnsi="Times New Roman"/>
          <w:noProof/>
          <w:sz w:val="24"/>
        </w:rPr>
        <w:t xml:space="preserve"> ще позволи на ЕС да се възползва от предимствата на ед</w:t>
      </w:r>
      <w:r>
        <w:rPr>
          <w:rFonts w:ascii="Times New Roman" w:hAnsi="Times New Roman"/>
          <w:noProof/>
          <w:sz w:val="24"/>
        </w:rPr>
        <w:t xml:space="preserve">ин по-голям и по-развит пазар. Такъв пазар предлага засилена конкуренция, по-богат избор и по-ниски разходи за инвеститорите, както и по-ефикасно разпределение и по-добро споделяне на риска. С по-задълбочената интеграция на капиталовите пазари, особено на </w:t>
      </w:r>
      <w:r>
        <w:rPr>
          <w:rFonts w:ascii="Times New Roman" w:hAnsi="Times New Roman"/>
          <w:noProof/>
          <w:sz w:val="24"/>
        </w:rPr>
        <w:t>пазарите на дялово участие, ще се повиши устойчивостта на сътресения на европейската икономика и ще се насърчат инвестициите, без при това да се увеличава задлъжнялостта. Добре функциониращите капиталови пазари ще подобрят разпределението на капитал в икон</w:t>
      </w:r>
      <w:r>
        <w:rPr>
          <w:rFonts w:ascii="Times New Roman" w:hAnsi="Times New Roman"/>
          <w:noProof/>
          <w:sz w:val="24"/>
        </w:rPr>
        <w:t>омиката, като улеснят предприемачеството, поемането на риск и инвестициите в инфраструктурата и новите технологии.</w:t>
      </w:r>
    </w:p>
    <w:p w:rsidR="005E5425" w:rsidRDefault="004916DA">
      <w:pPr>
        <w:spacing w:line="240" w:lineRule="auto"/>
        <w:jc w:val="both"/>
        <w:rPr>
          <w:rFonts w:ascii="Times New Roman" w:hAnsi="Times New Roman"/>
          <w:b/>
          <w:noProof/>
          <w:sz w:val="24"/>
          <w:szCs w:val="24"/>
        </w:rPr>
      </w:pPr>
      <w:r>
        <w:rPr>
          <w:rFonts w:ascii="Times New Roman" w:hAnsi="Times New Roman"/>
          <w:noProof/>
        </w:rPr>
        <w:br w:type="page"/>
      </w:r>
      <w:r>
        <w:rPr>
          <w:rFonts w:ascii="Times New Roman" w:hAnsi="Times New Roman"/>
          <w:b/>
          <w:noProof/>
          <w:sz w:val="24"/>
        </w:rPr>
        <w:t>Раздел 3: Приоритети за непосредствени действия</w:t>
      </w:r>
    </w:p>
    <w:p w:rsidR="005E5425" w:rsidRDefault="004916DA">
      <w:pPr>
        <w:spacing w:line="240" w:lineRule="auto"/>
        <w:contextualSpacing/>
        <w:jc w:val="both"/>
        <w:rPr>
          <w:rFonts w:ascii="Times New Roman" w:eastAsia="MS Mincho" w:hAnsi="Times New Roman"/>
          <w:noProof/>
          <w:sz w:val="24"/>
          <w:szCs w:val="24"/>
        </w:rPr>
      </w:pPr>
      <w:r>
        <w:rPr>
          <w:rFonts w:ascii="Times New Roman" w:hAnsi="Times New Roman"/>
          <w:noProof/>
          <w:sz w:val="24"/>
        </w:rPr>
        <w:t xml:space="preserve">Комисията набеляза редица области, в които необходимостта от напредък е безспорна и чието </w:t>
      </w:r>
      <w:r>
        <w:rPr>
          <w:rFonts w:ascii="Times New Roman" w:hAnsi="Times New Roman"/>
          <w:noProof/>
          <w:sz w:val="24"/>
        </w:rPr>
        <w:t>положително въздействие би могло да се почувства бързо. В настоящия раздел са очертани различните пътища, като се разчита на становищата от заинтересованите страни по конкретните елементи при всяка област.</w:t>
      </w:r>
    </w:p>
    <w:p w:rsidR="005E5425" w:rsidRDefault="005E5425">
      <w:pPr>
        <w:spacing w:line="240" w:lineRule="auto"/>
        <w:contextualSpacing/>
        <w:jc w:val="both"/>
        <w:rPr>
          <w:rFonts w:ascii="Times New Roman" w:eastAsia="MS Mincho" w:hAnsi="Times New Roman"/>
          <w:noProof/>
          <w:sz w:val="24"/>
          <w:szCs w:val="24"/>
        </w:rPr>
      </w:pP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 xml:space="preserve">3.1 </w:t>
      </w:r>
      <w:r>
        <w:rPr>
          <w:rFonts w:ascii="Times New Roman" w:hAnsi="Times New Roman"/>
          <w:noProof/>
        </w:rPr>
        <w:tab/>
      </w:r>
      <w:r>
        <w:rPr>
          <w:rFonts w:ascii="Times New Roman" w:hAnsi="Times New Roman"/>
          <w:noProof/>
          <w:sz w:val="24"/>
        </w:rPr>
        <w:t xml:space="preserve">Намаляване на пречките пред достъпа до </w:t>
      </w:r>
      <w:r>
        <w:rPr>
          <w:rFonts w:ascii="Times New Roman" w:hAnsi="Times New Roman"/>
          <w:noProof/>
          <w:sz w:val="24"/>
        </w:rPr>
        <w:t>капиталовите пазари</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Проспектът е подробен документ, в който се предоставя информация за съответното дружество, както и за условията за дадено инвестиционно решение и свързаните с него рискове. Той е визитната картичка на кандидатстващите за финансиране дру</w:t>
      </w:r>
      <w:r>
        <w:rPr>
          <w:rFonts w:ascii="Times New Roman" w:hAnsi="Times New Roman"/>
          <w:noProof/>
          <w:sz w:val="24"/>
        </w:rPr>
        <w:t>жества пред капиталовите пазари, поради което повечето дружества, които имат намерение да емитират дълг или собствен капитал, трябва да изготвят такъв проспект. От решаващо значение е той да не действа като ненужна пречка за достъпа до капиталовите пазари.</w:t>
      </w:r>
      <w:r>
        <w:rPr>
          <w:rFonts w:ascii="Times New Roman" w:hAnsi="Times New Roman"/>
          <w:noProof/>
          <w:sz w:val="24"/>
        </w:rPr>
        <w:t xml:space="preserve"> Комисията ще </w:t>
      </w:r>
      <w:r>
        <w:rPr>
          <w:rFonts w:ascii="Times New Roman" w:hAnsi="Times New Roman"/>
          <w:b/>
          <w:noProof/>
          <w:sz w:val="24"/>
        </w:rPr>
        <w:t xml:space="preserve">преразгледа действащия режим при проспектите, като </w:t>
      </w:r>
      <w:r>
        <w:rPr>
          <w:rFonts w:ascii="Times New Roman" w:hAnsi="Times New Roman"/>
          <w:noProof/>
          <w:sz w:val="24"/>
        </w:rPr>
        <w:t>успоредно с настоящата Зелена книга</w:t>
      </w:r>
      <w:r>
        <w:rPr>
          <w:rFonts w:ascii="Times New Roman" w:hAnsi="Times New Roman"/>
          <w:b/>
          <w:noProof/>
          <w:sz w:val="24"/>
        </w:rPr>
        <w:t xml:space="preserve"> постави началото на специална обществена консултация</w:t>
      </w:r>
      <w:r>
        <w:rPr>
          <w:rFonts w:ascii="Times New Roman" w:hAnsi="Times New Roman"/>
          <w:noProof/>
          <w:sz w:val="24"/>
        </w:rPr>
        <w:t xml:space="preserve"> с оглед търсене на решения за улесняване набирането на капитал в ЕС от дружествата (включително МСП)</w:t>
      </w:r>
      <w:r>
        <w:rPr>
          <w:rStyle w:val="FootnoteReference"/>
          <w:rFonts w:ascii="Times New Roman" w:hAnsi="Times New Roman"/>
          <w:noProof/>
          <w:sz w:val="24"/>
        </w:rPr>
        <w:footnoteReference w:id="4"/>
      </w:r>
      <w:r>
        <w:rPr>
          <w:rFonts w:ascii="Times New Roman" w:hAnsi="Times New Roman"/>
          <w:noProof/>
          <w:sz w:val="24"/>
        </w:rPr>
        <w:t xml:space="preserve"> </w:t>
      </w:r>
      <w:r>
        <w:rPr>
          <w:rFonts w:ascii="Times New Roman" w:hAnsi="Times New Roman"/>
          <w:noProof/>
          <w:sz w:val="24"/>
        </w:rPr>
        <w:t>и стимулиране развитието на подкрепящите МСП пазари. При преразглеждането ще се преценява кога е необходим проспект, ще бъде рационализиран процесът на одобрение и ще се опрости информацията, включена в проспектите.</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 xml:space="preserve">3.2 </w:t>
      </w:r>
      <w:r>
        <w:rPr>
          <w:rFonts w:ascii="Times New Roman" w:hAnsi="Times New Roman"/>
          <w:noProof/>
        </w:rPr>
        <w:tab/>
      </w:r>
      <w:r>
        <w:rPr>
          <w:rFonts w:ascii="Times New Roman" w:hAnsi="Times New Roman"/>
          <w:noProof/>
          <w:sz w:val="24"/>
        </w:rPr>
        <w:t xml:space="preserve">Разширяване на кръга инвеститори в </w:t>
      </w:r>
      <w:r>
        <w:rPr>
          <w:rFonts w:ascii="Times New Roman" w:hAnsi="Times New Roman"/>
          <w:noProof/>
          <w:sz w:val="24"/>
        </w:rPr>
        <w:t>МСП</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По време на кризата достъпът на МСП до финансиране бе затруднен повече, отколкото при големите дружества.  Обикновено информацията за МСП е ограничена и достъп до нея имат банките, а и някои МСП трудно достигат до по-широкия кръг инвеститори от небанко</w:t>
      </w:r>
      <w:r>
        <w:rPr>
          <w:rFonts w:ascii="Times New Roman" w:hAnsi="Times New Roman"/>
          <w:noProof/>
          <w:sz w:val="24"/>
        </w:rPr>
        <w:t xml:space="preserve">вия сектор, които биха могли да удовлетворят нуждите им от финансиране. Подобряването на кредитната информация ще спомогне за изграждането на </w:t>
      </w:r>
      <w:r>
        <w:rPr>
          <w:rFonts w:ascii="Times New Roman" w:hAnsi="Times New Roman"/>
          <w:b/>
          <w:noProof/>
          <w:sz w:val="24"/>
        </w:rPr>
        <w:t>ефикасен и устойчив капиталов пазар за МСП</w:t>
      </w:r>
      <w:r>
        <w:rPr>
          <w:rFonts w:ascii="Times New Roman" w:hAnsi="Times New Roman"/>
          <w:noProof/>
          <w:sz w:val="24"/>
        </w:rPr>
        <w:t>. Разработването на общ минимален набор от сравнима информация за кредит</w:t>
      </w:r>
      <w:r>
        <w:rPr>
          <w:rFonts w:ascii="Times New Roman" w:hAnsi="Times New Roman"/>
          <w:noProof/>
          <w:sz w:val="24"/>
        </w:rPr>
        <w:t>ните статус и оценка би могло да помогне на МСП да привлекат средства. В допълнение, стандартизираната информация за кредитното качество би могла да допринесе за развитието на финансови инструменти за рефинансиране, например чрез секюритизация, на отпуснат</w:t>
      </w:r>
      <w:r>
        <w:rPr>
          <w:rFonts w:ascii="Times New Roman" w:hAnsi="Times New Roman"/>
          <w:noProof/>
          <w:sz w:val="24"/>
        </w:rPr>
        <w:t>и на МСП заеми.</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Започналата работа по оценяване на кредитния риск получи широка подкрепа от държавите членки. Оценката предоставя на инвеститорите и заемодателите информация за кредитоспособността на МСП. Все още обаче около 25 % от всички дружества и окол</w:t>
      </w:r>
      <w:r>
        <w:rPr>
          <w:rFonts w:ascii="Times New Roman" w:hAnsi="Times New Roman"/>
          <w:noProof/>
          <w:sz w:val="24"/>
        </w:rPr>
        <w:t>о 75 % от управляваните от собствениците си дружества в Европа нямат такава оценка. Възможните действия в тази област биха допринесли за диверсифициране финансирането на иновационните и новосъздадените бързоразвиващи се дружества. Като първа стъпка при изп</w:t>
      </w:r>
      <w:r>
        <w:rPr>
          <w:rFonts w:ascii="Times New Roman" w:hAnsi="Times New Roman"/>
          <w:noProof/>
          <w:sz w:val="24"/>
        </w:rPr>
        <w:t>ълнението на тази задача Комисията планира през 2015 г. да проведе работни срещи, посветени на информацията за платежоспособността на МСП.</w:t>
      </w:r>
    </w:p>
    <w:p w:rsidR="005E5425" w:rsidRDefault="004916DA">
      <w:pPr>
        <w:keepNext/>
        <w:spacing w:line="240" w:lineRule="auto"/>
        <w:jc w:val="both"/>
        <w:rPr>
          <w:rFonts w:ascii="Times New Roman" w:eastAsia="SimSun" w:hAnsi="Times New Roman"/>
          <w:noProof/>
          <w:sz w:val="24"/>
          <w:szCs w:val="24"/>
        </w:rPr>
      </w:pPr>
      <w:r>
        <w:rPr>
          <w:rFonts w:ascii="Times New Roman" w:hAnsi="Times New Roman"/>
          <w:noProof/>
          <w:sz w:val="24"/>
        </w:rPr>
        <w:t xml:space="preserve">3.3 </w:t>
      </w:r>
      <w:r>
        <w:rPr>
          <w:rFonts w:ascii="Times New Roman" w:hAnsi="Times New Roman"/>
          <w:noProof/>
        </w:rPr>
        <w:tab/>
      </w:r>
      <w:r>
        <w:rPr>
          <w:rFonts w:ascii="Times New Roman" w:hAnsi="Times New Roman"/>
          <w:noProof/>
          <w:sz w:val="24"/>
        </w:rPr>
        <w:t>Изграждане на устойчив секюритизационен пазар</w:t>
      </w:r>
    </w:p>
    <w:p w:rsidR="005E5425" w:rsidRDefault="004916DA">
      <w:pPr>
        <w:keepNext/>
        <w:spacing w:line="240" w:lineRule="auto"/>
        <w:jc w:val="both"/>
        <w:rPr>
          <w:rFonts w:ascii="Times New Roman" w:eastAsia="SimSun" w:hAnsi="Times New Roman"/>
          <w:noProof/>
          <w:sz w:val="24"/>
          <w:szCs w:val="24"/>
        </w:rPr>
      </w:pPr>
      <w:r>
        <w:rPr>
          <w:rFonts w:ascii="Times New Roman" w:hAnsi="Times New Roman"/>
          <w:noProof/>
          <w:sz w:val="24"/>
        </w:rPr>
        <w:t>Секюритизацията — т.е. процесът, чрез който активи, например ипоте</w:t>
      </w:r>
      <w:r>
        <w:rPr>
          <w:rFonts w:ascii="Times New Roman" w:hAnsi="Times New Roman"/>
          <w:noProof/>
          <w:sz w:val="24"/>
        </w:rPr>
        <w:t>ки, се обединяват в портфейл, който след това се предлага на инвеститорите — може да бъде мощен механизъм за прехвърляне на риска и увеличаване на кредитния капацитет на банките.  Тази дейност обаче, въпреки ниския процент на загуби от европейски секюритиз</w:t>
      </w:r>
      <w:r>
        <w:rPr>
          <w:rFonts w:ascii="Times New Roman" w:hAnsi="Times New Roman"/>
          <w:noProof/>
          <w:sz w:val="24"/>
        </w:rPr>
        <w:t xml:space="preserve">ации, </w:t>
      </w:r>
      <w:r>
        <w:rPr>
          <w:rFonts w:ascii="Times New Roman" w:hAnsi="Times New Roman"/>
          <w:noProof/>
          <w:sz w:val="24"/>
          <w:szCs w:val="24"/>
        </w:rPr>
        <w:t>все още не е достигнала предкризисните си равнища. Емитираните секюритизации в Европа през 2014 г. възлязоха на около 216 милиарда евро спрямо 594 милиарда евро през 2007 г.</w:t>
      </w:r>
      <w:r>
        <w:rPr>
          <w:rStyle w:val="FootnoteReference"/>
          <w:rFonts w:ascii="Times New Roman" w:hAnsi="Times New Roman"/>
          <w:noProof/>
          <w:sz w:val="24"/>
          <w:szCs w:val="24"/>
        </w:rPr>
        <w:footnoteReference w:id="5"/>
      </w:r>
      <w:r>
        <w:rPr>
          <w:rFonts w:ascii="Times New Roman" w:hAnsi="Times New Roman"/>
          <w:noProof/>
          <w:sz w:val="24"/>
          <w:szCs w:val="24"/>
        </w:rPr>
        <w:t xml:space="preserve"> Устойчивият </w:t>
      </w:r>
      <w:r>
        <w:rPr>
          <w:rFonts w:ascii="Times New Roman" w:hAnsi="Times New Roman"/>
          <w:b/>
          <w:noProof/>
          <w:sz w:val="24"/>
          <w:szCs w:val="24"/>
        </w:rPr>
        <w:t>висококачествен пазар на секюритизации</w:t>
      </w:r>
      <w:r>
        <w:rPr>
          <w:rFonts w:ascii="Times New Roman" w:hAnsi="Times New Roman"/>
          <w:noProof/>
          <w:sz w:val="24"/>
          <w:szCs w:val="24"/>
        </w:rPr>
        <w:t xml:space="preserve"> в ЕС, основаващ се</w:t>
      </w:r>
      <w:r>
        <w:rPr>
          <w:rFonts w:ascii="Times New Roman" w:hAnsi="Times New Roman"/>
          <w:noProof/>
          <w:sz w:val="24"/>
        </w:rPr>
        <w:t xml:space="preserve"> на пр</w:t>
      </w:r>
      <w:r>
        <w:rPr>
          <w:rFonts w:ascii="Times New Roman" w:hAnsi="Times New Roman"/>
          <w:noProof/>
          <w:sz w:val="24"/>
        </w:rPr>
        <w:t xml:space="preserve">ости, прозрачни и стандартизирани секюритизационни инструменти, би могъл да служи за мост между банките и капиталовите пазари. </w:t>
      </w:r>
    </w:p>
    <w:p w:rsidR="005E5425" w:rsidRDefault="004916DA">
      <w:pPr>
        <w:spacing w:line="240" w:lineRule="auto"/>
        <w:jc w:val="both"/>
        <w:rPr>
          <w:rFonts w:ascii="Times New Roman" w:eastAsia="SimSun" w:hAnsi="Times New Roman"/>
          <w:b/>
          <w:noProof/>
          <w:sz w:val="24"/>
          <w:szCs w:val="24"/>
        </w:rPr>
      </w:pPr>
      <w:r>
        <w:rPr>
          <w:rFonts w:ascii="Times New Roman" w:hAnsi="Times New Roman"/>
          <w:noProof/>
          <w:sz w:val="24"/>
        </w:rPr>
        <w:t>С наскоро публикуваните делегирани актове относно Платежоспособност II и коефициента на ликвидно покритие  вече започна работата</w:t>
      </w:r>
      <w:r>
        <w:rPr>
          <w:rFonts w:ascii="Times New Roman" w:hAnsi="Times New Roman"/>
          <w:noProof/>
          <w:sz w:val="24"/>
        </w:rPr>
        <w:t xml:space="preserve"> по определянето на всеобхватен и последователен пруденциален подход към опростено, прозрачно и стандартизирано секюритизиране. В допълнение към тези инициативи централните банки, надзорните органи, националните органи и представителите на частния сектор п</w:t>
      </w:r>
      <w:r>
        <w:rPr>
          <w:rFonts w:ascii="Times New Roman" w:hAnsi="Times New Roman"/>
          <w:noProof/>
          <w:sz w:val="24"/>
        </w:rPr>
        <w:t>ризоваваха за по-глобален подход за възстановяване на секюритизацията в ЕС.</w:t>
      </w:r>
      <w:r>
        <w:rPr>
          <w:rFonts w:ascii="Times New Roman" w:hAnsi="Times New Roman"/>
          <w:b/>
          <w:noProof/>
          <w:sz w:val="24"/>
        </w:rPr>
        <w:t xml:space="preserve"> </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За инвеститорите, една инициатива на ЕС трябва да осигури високи стандарти, правна сигурност и съпоставимост между секюритизационните инструменти. С такава уредба следва да се пов</w:t>
      </w:r>
      <w:r>
        <w:rPr>
          <w:rFonts w:ascii="Times New Roman" w:hAnsi="Times New Roman"/>
          <w:noProof/>
          <w:sz w:val="24"/>
        </w:rPr>
        <w:t xml:space="preserve">иши прозрачността, последователността и наличността на ключовата информация, особено за отпусканите на МСП заеми, и да се насърчи развитието на вторичните пазари, което ще бъде в подкрепа както на емитирането, така и на инвестициите. </w:t>
      </w:r>
      <w:r>
        <w:rPr>
          <w:rFonts w:ascii="Times New Roman" w:hAnsi="Times New Roman"/>
          <w:b/>
          <w:noProof/>
          <w:sz w:val="24"/>
        </w:rPr>
        <w:t>Успоредно с настоящата</w:t>
      </w:r>
      <w:r>
        <w:rPr>
          <w:rFonts w:ascii="Times New Roman" w:hAnsi="Times New Roman"/>
          <w:b/>
          <w:noProof/>
          <w:sz w:val="24"/>
        </w:rPr>
        <w:t xml:space="preserve"> Зелена книга Комисията ще проведе консултации относно конкретните мерки за постигане на тези цели.</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 xml:space="preserve">3.4 </w:t>
      </w:r>
      <w:r>
        <w:rPr>
          <w:rFonts w:ascii="Times New Roman" w:hAnsi="Times New Roman"/>
          <w:noProof/>
        </w:rPr>
        <w:tab/>
      </w:r>
      <w:r>
        <w:rPr>
          <w:rFonts w:ascii="Times New Roman" w:hAnsi="Times New Roman"/>
          <w:noProof/>
          <w:sz w:val="24"/>
        </w:rPr>
        <w:t xml:space="preserve"> Насърчаване на дългосрочните инвестиции</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Инвестициите в ЕС се свиха значително след пика си през 2007 г. и остават под равнищата си в миналото. Европей</w:t>
      </w:r>
      <w:r>
        <w:rPr>
          <w:rFonts w:ascii="Times New Roman" w:hAnsi="Times New Roman"/>
          <w:noProof/>
          <w:sz w:val="24"/>
        </w:rPr>
        <w:t>ската комисия вече обяви инвестиционен план, който със създаването на нов Европейски фонд за стратегически инвестиции (EFSI)</w:t>
      </w:r>
      <w:r>
        <w:rPr>
          <w:rStyle w:val="FootnoteReference"/>
          <w:rFonts w:ascii="Times New Roman" w:hAnsi="Times New Roman"/>
          <w:noProof/>
          <w:sz w:val="24"/>
        </w:rPr>
        <w:footnoteReference w:id="6"/>
      </w:r>
      <w:r>
        <w:rPr>
          <w:rFonts w:ascii="Times New Roman" w:hAnsi="Times New Roman"/>
          <w:noProof/>
          <w:sz w:val="24"/>
        </w:rPr>
        <w:t xml:space="preserve"> ще мобилизира публични и частни инвестиции в икономиката на стойност най-малко 315 млрд. евро през следващите три години, и публик</w:t>
      </w:r>
      <w:r>
        <w:rPr>
          <w:rFonts w:ascii="Times New Roman" w:hAnsi="Times New Roman"/>
          <w:noProof/>
          <w:sz w:val="24"/>
        </w:rPr>
        <w:t>ува съобщение относно дългосрочното финансиране на европейската икономика, в което бе определен набор от мерки за стимулиране на инвестициите. Наскоро завършената нормативна уредба на Европейските фондове за дългосрочни инвестиции (ELTIF) ще позволи на инв</w:t>
      </w:r>
      <w:r>
        <w:rPr>
          <w:rFonts w:ascii="Times New Roman" w:hAnsi="Times New Roman"/>
          <w:noProof/>
          <w:sz w:val="24"/>
        </w:rPr>
        <w:t>еститорите да вложат пари в дружества или инфраструктурни проекти в дългосрочен план. Очаква се ELTIF да предизвикват подчертан интерес у някои инвеститори като застрахователните дружества или пенсионните фондове, които се нуждаят от постоянни притоци на д</w:t>
      </w:r>
      <w:r>
        <w:rPr>
          <w:rFonts w:ascii="Times New Roman" w:hAnsi="Times New Roman"/>
          <w:noProof/>
          <w:sz w:val="24"/>
        </w:rPr>
        <w:t xml:space="preserve">оходи или увеличаване на капитала в дългосрочен план. </w:t>
      </w:r>
    </w:p>
    <w:p w:rsidR="005E5425" w:rsidRDefault="004916DA">
      <w:pPr>
        <w:spacing w:line="240" w:lineRule="auto"/>
        <w:jc w:val="both"/>
        <w:rPr>
          <w:rFonts w:ascii="Times New Roman" w:eastAsia="SimSun" w:hAnsi="Times New Roman"/>
          <w:noProof/>
          <w:sz w:val="24"/>
          <w:szCs w:val="24"/>
        </w:rPr>
      </w:pPr>
      <w:r>
        <w:rPr>
          <w:rFonts w:ascii="Times New Roman" w:hAnsi="Times New Roman"/>
          <w:b/>
          <w:noProof/>
          <w:sz w:val="24"/>
          <w:szCs w:val="24"/>
        </w:rPr>
        <w:t>Приветстват се становища за евентуалната допълнителна роля, която Комисията и държавите членки биха могли да изиграят в подкрепа на въвеждането на ELTIF,</w:t>
      </w:r>
      <w:r>
        <w:rPr>
          <w:rFonts w:ascii="Times New Roman" w:hAnsi="Times New Roman"/>
          <w:noProof/>
          <w:sz w:val="24"/>
          <w:szCs w:val="24"/>
        </w:rPr>
        <w:t xml:space="preserve"> включително включването на тези фондове в обхва</w:t>
      </w:r>
      <w:r>
        <w:rPr>
          <w:rFonts w:ascii="Times New Roman" w:hAnsi="Times New Roman"/>
          <w:noProof/>
          <w:sz w:val="24"/>
          <w:szCs w:val="24"/>
        </w:rPr>
        <w:t xml:space="preserve">та на действащите при националните режими предимства.  </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 xml:space="preserve">3.5 </w:t>
      </w:r>
      <w:r>
        <w:rPr>
          <w:rFonts w:ascii="Times New Roman" w:hAnsi="Times New Roman"/>
          <w:noProof/>
        </w:rPr>
        <w:tab/>
      </w:r>
      <w:r>
        <w:rPr>
          <w:rFonts w:ascii="Times New Roman" w:hAnsi="Times New Roman"/>
          <w:noProof/>
          <w:sz w:val="24"/>
        </w:rPr>
        <w:t>Развитие на европейските пазари за частни емисии на ценни книжа</w:t>
      </w:r>
    </w:p>
    <w:p w:rsidR="005E5425" w:rsidRDefault="004916DA">
      <w:pPr>
        <w:spacing w:line="240" w:lineRule="auto"/>
        <w:jc w:val="both"/>
        <w:rPr>
          <w:rFonts w:ascii="Times New Roman" w:eastAsia="SimSun" w:hAnsi="Times New Roman"/>
          <w:noProof/>
          <w:sz w:val="24"/>
          <w:szCs w:val="24"/>
          <w:u w:val="single"/>
        </w:rPr>
      </w:pPr>
      <w:r>
        <w:rPr>
          <w:rFonts w:ascii="Times New Roman" w:hAnsi="Times New Roman"/>
          <w:noProof/>
          <w:color w:val="000000"/>
          <w:sz w:val="24"/>
        </w:rPr>
        <w:t>Един от начините за дружествата да набират средства е чрез частни емисии на ценни книжа, при които дружеството предлага емисията из</w:t>
      </w:r>
      <w:r>
        <w:rPr>
          <w:rFonts w:ascii="Times New Roman" w:hAnsi="Times New Roman"/>
          <w:noProof/>
          <w:color w:val="000000"/>
          <w:sz w:val="24"/>
        </w:rPr>
        <w:t>вън публичните пазари — на един инвеститор или на малка група инвеститори. Тези емисии могат да осигурят на дружествата по-икономичен начин за набиране на средства и</w:t>
      </w:r>
      <w:r>
        <w:rPr>
          <w:rFonts w:ascii="Times New Roman" w:hAnsi="Times New Roman"/>
          <w:b/>
          <w:noProof/>
          <w:color w:val="000000"/>
          <w:sz w:val="24"/>
        </w:rPr>
        <w:t xml:space="preserve"> да увеличат финансирането</w:t>
      </w:r>
      <w:r>
        <w:rPr>
          <w:rFonts w:ascii="Times New Roman" w:hAnsi="Times New Roman"/>
          <w:noProof/>
          <w:color w:val="000000"/>
          <w:sz w:val="24"/>
        </w:rPr>
        <w:t xml:space="preserve"> за средните и големите дружества и евентуално — за инфраструктур</w:t>
      </w:r>
      <w:r>
        <w:rPr>
          <w:rFonts w:ascii="Times New Roman" w:hAnsi="Times New Roman"/>
          <w:noProof/>
          <w:color w:val="000000"/>
          <w:sz w:val="24"/>
        </w:rPr>
        <w:t xml:space="preserve">ните проекти. </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Средните дружества в Европа от години се финансират от пазара за частни емисии на ценни книжа в САЩ; през 2013 г., набраните от тях средства възлязоха на 15,3 млрд. евро</w:t>
      </w:r>
      <w:r>
        <w:rPr>
          <w:rFonts w:ascii="Times New Roman" w:hAnsi="Times New Roman"/>
          <w:noProof/>
          <w:sz w:val="24"/>
          <w:vertAlign w:val="superscript"/>
        </w:rPr>
        <w:footnoteReference w:id="7"/>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 xml:space="preserve">От началото на финансовата криза популярността на частните емисии на </w:t>
      </w:r>
      <w:r>
        <w:rPr>
          <w:rFonts w:ascii="Times New Roman" w:hAnsi="Times New Roman"/>
          <w:noProof/>
          <w:sz w:val="24"/>
        </w:rPr>
        <w:t>ценни книжа в Европа се повиши, като някои държави членки изградиха свои пазари на частни емисии. По-специално, стойността на дълговите инструменти на немските и френските национални пазари на частни емисии на ценни книжа възлезе през 2013 г. на около 15 м</w:t>
      </w:r>
      <w:r>
        <w:rPr>
          <w:rFonts w:ascii="Times New Roman" w:hAnsi="Times New Roman"/>
          <w:noProof/>
          <w:sz w:val="24"/>
        </w:rPr>
        <w:t>лрд. евро.</w:t>
      </w:r>
      <w:r>
        <w:rPr>
          <w:rFonts w:ascii="Times New Roman" w:hAnsi="Times New Roman"/>
          <w:noProof/>
          <w:sz w:val="24"/>
          <w:vertAlign w:val="superscript"/>
        </w:rPr>
        <w:t xml:space="preserve"> </w:t>
      </w:r>
      <w:r>
        <w:rPr>
          <w:rFonts w:ascii="Times New Roman" w:hAnsi="Times New Roman"/>
          <w:noProof/>
          <w:sz w:val="24"/>
        </w:rPr>
        <w:t>Сред пречките пред развитието на общоевропейски пазари са различното уреждане на несъстоятелността в националните законодателства и липсата на стандартизирани процедури, както и на документация и информация за кредитоспособността на емитентите.</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rPr>
        <w:t>Като първа стъпка към разработването на европейски пазари за частни емисии на ценни книжа консорциум от браншови организации изготви ръководство за общите пазарни практики, принципите и стандартизираната документация за частните емисии на ценни книжа, съвм</w:t>
      </w:r>
      <w:r>
        <w:rPr>
          <w:rFonts w:ascii="Times New Roman" w:hAnsi="Times New Roman"/>
          <w:noProof/>
          <w:sz w:val="24"/>
        </w:rPr>
        <w:t>естими с многообразни нормативни уредби. Ръководството беше публикувано наскоро, като не след дълго се очакват и първите емисии на ценни книжа. Комисията приветства този пазарноориентиран подход, с чиято помощ би могло да се ускори създаването на европейск</w:t>
      </w:r>
      <w:r>
        <w:rPr>
          <w:rFonts w:ascii="Times New Roman" w:hAnsi="Times New Roman"/>
          <w:noProof/>
          <w:sz w:val="24"/>
        </w:rPr>
        <w:t xml:space="preserve">и пазар на частни емисии на ценни книжа. </w:t>
      </w:r>
    </w:p>
    <w:p w:rsidR="005E5425" w:rsidRDefault="005E5425">
      <w:pPr>
        <w:spacing w:line="240" w:lineRule="auto"/>
        <w:jc w:val="both"/>
        <w:rPr>
          <w:rFonts w:ascii="Times New Roman" w:eastAsia="SimSun" w:hAnsi="Times New Roman"/>
          <w:noProof/>
          <w:sz w:val="24"/>
          <w:szCs w:val="24"/>
        </w:rPr>
      </w:pPr>
    </w:p>
    <w:p w:rsidR="005E5425" w:rsidRDefault="004916DA">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sz w:val="24"/>
          <w:szCs w:val="24"/>
        </w:rPr>
      </w:pPr>
      <w:r>
        <w:rPr>
          <w:rFonts w:ascii="Times New Roman" w:hAnsi="Times New Roman"/>
          <w:b/>
          <w:noProof/>
          <w:sz w:val="24"/>
        </w:rPr>
        <w:t>Въпроси</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 xml:space="preserve">1) Освен посочените пет приоритетни области за непосредствени действия, какви други области трябва да се превърнат в приоритет? </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 xml:space="preserve">2) Какви допълнителни стъпки във връзка с наличността и стандартизацията на </w:t>
      </w:r>
      <w:r>
        <w:rPr>
          <w:rFonts w:ascii="Times New Roman" w:hAnsi="Times New Roman"/>
          <w:b/>
          <w:i/>
          <w:noProof/>
          <w:sz w:val="24"/>
        </w:rPr>
        <w:t>информацията за платежоспособността на МСП</w:t>
      </w:r>
      <w:r>
        <w:rPr>
          <w:rFonts w:ascii="Times New Roman" w:hAnsi="Times New Roman"/>
          <w:i/>
          <w:noProof/>
          <w:sz w:val="24"/>
        </w:rPr>
        <w:t xml:space="preserve"> биха довели до по-развит пазар на финансиране на МСП и новосъздадените дружества, както и биха разширили кръга на инвеститорите? </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3) Как би могло да се насърчи използването на</w:t>
      </w:r>
      <w:r>
        <w:rPr>
          <w:rFonts w:ascii="Times New Roman" w:hAnsi="Times New Roman"/>
          <w:b/>
          <w:i/>
          <w:noProof/>
          <w:sz w:val="24"/>
        </w:rPr>
        <w:t xml:space="preserve"> ELTIF</w:t>
      </w:r>
      <w:r>
        <w:rPr>
          <w:rFonts w:ascii="Times New Roman" w:hAnsi="Times New Roman"/>
          <w:i/>
          <w:noProof/>
          <w:sz w:val="24"/>
        </w:rPr>
        <w:t>?</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i/>
          <w:noProof/>
          <w:sz w:val="24"/>
          <w:szCs w:val="24"/>
        </w:rPr>
      </w:pPr>
      <w:r>
        <w:rPr>
          <w:rFonts w:ascii="Times New Roman" w:hAnsi="Times New Roman"/>
          <w:i/>
          <w:noProof/>
          <w:sz w:val="24"/>
        </w:rPr>
        <w:t>4) Нужно ли е действие на равн</w:t>
      </w:r>
      <w:r>
        <w:rPr>
          <w:rFonts w:ascii="Times New Roman" w:hAnsi="Times New Roman"/>
          <w:i/>
          <w:noProof/>
          <w:sz w:val="24"/>
        </w:rPr>
        <w:t xml:space="preserve">ище ЕС в подкрепа на развитието на пазарите на </w:t>
      </w:r>
      <w:r>
        <w:rPr>
          <w:rFonts w:ascii="Times New Roman" w:hAnsi="Times New Roman"/>
          <w:b/>
          <w:i/>
          <w:noProof/>
          <w:sz w:val="24"/>
        </w:rPr>
        <w:t>частни емисии на ценни книжа</w:t>
      </w:r>
      <w:r>
        <w:rPr>
          <w:rFonts w:ascii="Times New Roman" w:hAnsi="Times New Roman"/>
          <w:i/>
          <w:noProof/>
          <w:sz w:val="24"/>
        </w:rPr>
        <w:t>, освен подкрепата за усилията за договарянето на съобразени с пазара общи стандарти?</w:t>
      </w:r>
    </w:p>
    <w:p w:rsidR="005E5425" w:rsidRDefault="004916DA">
      <w:pPr>
        <w:spacing w:line="240" w:lineRule="auto"/>
        <w:jc w:val="both"/>
        <w:rPr>
          <w:rFonts w:ascii="Times New Roman" w:hAnsi="Times New Roman"/>
          <w:b/>
          <w:noProof/>
          <w:sz w:val="24"/>
          <w:szCs w:val="24"/>
        </w:rPr>
      </w:pPr>
      <w:r>
        <w:rPr>
          <w:rFonts w:ascii="Times New Roman" w:hAnsi="Times New Roman"/>
          <w:noProof/>
        </w:rPr>
        <w:br w:type="page"/>
      </w:r>
      <w:r>
        <w:rPr>
          <w:rFonts w:ascii="Times New Roman" w:hAnsi="Times New Roman"/>
          <w:b/>
          <w:noProof/>
          <w:sz w:val="24"/>
        </w:rPr>
        <w:t>Раздел 4: Мерки за развитие и интегриране на капиталовите пазари</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За да може напълно интегриран</w:t>
      </w:r>
      <w:r>
        <w:rPr>
          <w:rFonts w:ascii="Times New Roman" w:hAnsi="Times New Roman"/>
          <w:noProof/>
          <w:sz w:val="24"/>
        </w:rPr>
        <w:t>ият единен пазар на капитали да реализира потенциала си е необходимо да се преодолеят предизвикателствата, главно в следните три ключови области:</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noProof/>
          <w:sz w:val="24"/>
        </w:rPr>
        <w:t xml:space="preserve">подобряване на </w:t>
      </w:r>
      <w:r>
        <w:rPr>
          <w:rFonts w:ascii="Times New Roman" w:hAnsi="Times New Roman"/>
          <w:b/>
          <w:noProof/>
          <w:sz w:val="24"/>
        </w:rPr>
        <w:t xml:space="preserve">достъпа до финансиране </w:t>
      </w:r>
      <w:r>
        <w:rPr>
          <w:rFonts w:ascii="Times New Roman" w:hAnsi="Times New Roman"/>
          <w:noProof/>
          <w:sz w:val="24"/>
        </w:rPr>
        <w:t>на целия европейски бизнес (в частност МСП), както и на възможностите за</w:t>
      </w:r>
      <w:r>
        <w:rPr>
          <w:rFonts w:ascii="Times New Roman" w:hAnsi="Times New Roman"/>
          <w:noProof/>
          <w:sz w:val="24"/>
        </w:rPr>
        <w:t xml:space="preserve"> финансиране на инвестиционни </w:t>
      </w:r>
      <w:r>
        <w:rPr>
          <w:rFonts w:ascii="Times New Roman" w:hAnsi="Times New Roman"/>
          <w:noProof/>
          <w:sz w:val="24"/>
          <w:szCs w:val="24"/>
        </w:rPr>
        <w:t>проекти (например инфраструктурни);</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b/>
          <w:noProof/>
          <w:sz w:val="24"/>
          <w:szCs w:val="24"/>
        </w:rPr>
        <w:t>увеличаване и разнообразяване на източниците на финансиране</w:t>
      </w:r>
      <w:r>
        <w:rPr>
          <w:rFonts w:ascii="Times New Roman" w:hAnsi="Times New Roman"/>
          <w:noProof/>
          <w:sz w:val="24"/>
          <w:szCs w:val="24"/>
        </w:rPr>
        <w:t>, предлагано от инвеститорите в ЕС и по света; както и</w:t>
      </w:r>
    </w:p>
    <w:p w:rsidR="005E5425" w:rsidRDefault="004916DA">
      <w:pPr>
        <w:numPr>
          <w:ilvl w:val="0"/>
          <w:numId w:val="1"/>
        </w:numPr>
        <w:spacing w:line="240" w:lineRule="auto"/>
        <w:jc w:val="both"/>
        <w:rPr>
          <w:rFonts w:ascii="Times New Roman" w:hAnsi="Times New Roman"/>
          <w:noProof/>
          <w:sz w:val="24"/>
          <w:szCs w:val="24"/>
        </w:rPr>
      </w:pPr>
      <w:r>
        <w:rPr>
          <w:rFonts w:ascii="Times New Roman" w:hAnsi="Times New Roman"/>
          <w:b/>
          <w:noProof/>
          <w:sz w:val="24"/>
        </w:rPr>
        <w:t>по-ефективно функциониране на пазарите</w:t>
      </w:r>
      <w:r>
        <w:rPr>
          <w:rFonts w:ascii="Times New Roman" w:hAnsi="Times New Roman"/>
          <w:noProof/>
          <w:sz w:val="24"/>
        </w:rPr>
        <w:t xml:space="preserve">, което да свързва — както в </w:t>
      </w:r>
      <w:r>
        <w:rPr>
          <w:rFonts w:ascii="Times New Roman" w:hAnsi="Times New Roman"/>
          <w:noProof/>
          <w:sz w:val="24"/>
        </w:rPr>
        <w:t>национален, така и в трансграничен план — инвеститорите с онези, които се нуждаят от по-ефикасно финансиране на по-ниска цена.</w:t>
      </w:r>
    </w:p>
    <w:p w:rsidR="005E5425" w:rsidRDefault="005E5425">
      <w:pPr>
        <w:spacing w:line="240" w:lineRule="auto"/>
        <w:jc w:val="both"/>
        <w:rPr>
          <w:rFonts w:ascii="Times New Roman" w:hAnsi="Times New Roman"/>
          <w:b/>
          <w:i/>
          <w:noProof/>
          <w:sz w:val="24"/>
          <w:szCs w:val="24"/>
        </w:rPr>
      </w:pPr>
    </w:p>
    <w:p w:rsidR="005E5425" w:rsidRDefault="004916DA">
      <w:pPr>
        <w:spacing w:line="240" w:lineRule="auto"/>
        <w:jc w:val="both"/>
        <w:rPr>
          <w:rFonts w:ascii="Times New Roman" w:hAnsi="Times New Roman"/>
          <w:b/>
          <w:i/>
          <w:noProof/>
          <w:sz w:val="24"/>
          <w:szCs w:val="24"/>
        </w:rPr>
      </w:pPr>
      <w:r>
        <w:rPr>
          <w:rFonts w:ascii="Times New Roman" w:hAnsi="Times New Roman"/>
          <w:b/>
          <w:i/>
          <w:noProof/>
          <w:sz w:val="24"/>
        </w:rPr>
        <w:t>4.1 Подобряване на достъпа до финансиране</w:t>
      </w:r>
    </w:p>
    <w:p w:rsidR="005E5425" w:rsidRDefault="004916DA">
      <w:pPr>
        <w:spacing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В крайна сметка, предвид техния размер и значение, едни добре функциониращи пазари на </w:t>
      </w:r>
      <w:r>
        <w:rPr>
          <w:rFonts w:ascii="Times New Roman" w:hAnsi="Times New Roman"/>
          <w:noProof/>
          <w:color w:val="000000"/>
          <w:sz w:val="24"/>
        </w:rPr>
        <w:t>акции и облигации ще бъдат от решаващо значение за осигуряването на ефективен съюз на капиталовите пазари и възможно най-широк достъп до финансиране. Инвестиционните потоци обаче не текат напълно свободно, като сериозни „затлачвания“ се наблюдават например</w:t>
      </w:r>
      <w:r>
        <w:rPr>
          <w:rFonts w:ascii="Times New Roman" w:hAnsi="Times New Roman"/>
          <w:noProof/>
          <w:color w:val="000000"/>
          <w:sz w:val="24"/>
        </w:rPr>
        <w:t xml:space="preserve"> при по-малките или средните предприятия, както и при дългосрочни проекти като инфраструктурните — въпреки че и едните, и другите са изключително важни за увеличаването на производствения капацитет и за икономическия растеж. Тези проблеми с финансирането с</w:t>
      </w:r>
      <w:r>
        <w:rPr>
          <w:rFonts w:ascii="Times New Roman" w:hAnsi="Times New Roman"/>
          <w:noProof/>
          <w:color w:val="000000"/>
          <w:sz w:val="24"/>
        </w:rPr>
        <w:t xml:space="preserve">а особено остри в най-засегнатите от кризата държави членки. </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rPr>
        <w:t xml:space="preserve">Традиционно </w:t>
      </w:r>
      <w:r>
        <w:rPr>
          <w:rFonts w:ascii="Times New Roman" w:hAnsi="Times New Roman"/>
          <w:b/>
          <w:noProof/>
        </w:rPr>
        <w:t>МСП</w:t>
      </w:r>
      <w:r>
        <w:rPr>
          <w:rFonts w:ascii="Times New Roman" w:hAnsi="Times New Roman"/>
          <w:noProof/>
        </w:rPr>
        <w:t xml:space="preserve"> се финансират главно от банките.</w:t>
      </w:r>
      <w:r>
        <w:rPr>
          <w:rFonts w:ascii="Times New Roman" w:hAnsi="Times New Roman"/>
          <w:noProof/>
          <w:sz w:val="24"/>
        </w:rPr>
        <w:t xml:space="preserve"> В условията на криза отпускането на банкови кредити неизбежно става по-селективно, като върху решенията тежат както ограниченията на собствения с</w:t>
      </w:r>
      <w:r>
        <w:rPr>
          <w:rFonts w:ascii="Times New Roman" w:hAnsi="Times New Roman"/>
          <w:noProof/>
          <w:sz w:val="24"/>
        </w:rPr>
        <w:t>четоводен баланс на банката, така и по-голямата вероятност за неизпълнение от страна на заемополучателя. При все че капиталовите пазари могат да допълват ролята на банковото кредитиране за МСП, многообразието и недостатъчната информация за платежоспособнос</w:t>
      </w:r>
      <w:r>
        <w:rPr>
          <w:rFonts w:ascii="Times New Roman" w:hAnsi="Times New Roman"/>
          <w:noProof/>
          <w:sz w:val="24"/>
        </w:rPr>
        <w:t xml:space="preserve">тта на МСП са причина за това по-подходящо да е кредитирането, основаващо се на взаимоотношения с клиента. </w:t>
      </w:r>
    </w:p>
    <w:p w:rsidR="005E5425" w:rsidRDefault="004916DA">
      <w:pPr>
        <w:spacing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Алтернативните източници на финансиране обаче могат да играят важна роля, по-конкретно за </w:t>
      </w:r>
      <w:r>
        <w:rPr>
          <w:rFonts w:ascii="Times New Roman" w:hAnsi="Times New Roman"/>
          <w:b/>
          <w:noProof/>
          <w:color w:val="000000"/>
          <w:sz w:val="24"/>
        </w:rPr>
        <w:t>новосъздадените и малките, но бързо развиващи се, дружеств</w:t>
      </w:r>
      <w:r>
        <w:rPr>
          <w:rFonts w:ascii="Times New Roman" w:hAnsi="Times New Roman"/>
          <w:b/>
          <w:noProof/>
          <w:color w:val="000000"/>
          <w:sz w:val="24"/>
        </w:rPr>
        <w:t>а в иновативните сектори.</w:t>
      </w:r>
      <w:r>
        <w:rPr>
          <w:rFonts w:ascii="Times New Roman" w:hAnsi="Times New Roman"/>
          <w:noProof/>
          <w:color w:val="000000"/>
          <w:sz w:val="24"/>
        </w:rPr>
        <w:t xml:space="preserve"> Обикновено първоначалните паричните потоци при тези дружества са слаби, поради което, за да развиват дейността си, те се нуждаят от външно финансиране. Достъпът до банково финансиране или до други инструменти за финансиране като л</w:t>
      </w:r>
      <w:r>
        <w:rPr>
          <w:rFonts w:ascii="Times New Roman" w:hAnsi="Times New Roman"/>
          <w:noProof/>
          <w:color w:val="000000"/>
          <w:sz w:val="24"/>
        </w:rPr>
        <w:t xml:space="preserve">изинг и факторинг често е труден или такова финансиране е недостатъчно за дружества със значителни нематериални активи, които не могат лесно да бъдат използвани като обезпечение за получаване на банкови заеми. </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Разходите за достъп до публичните капиталови </w:t>
      </w:r>
      <w:r>
        <w:rPr>
          <w:rFonts w:ascii="Times New Roman" w:hAnsi="Times New Roman"/>
          <w:noProof/>
          <w:sz w:val="24"/>
        </w:rPr>
        <w:t xml:space="preserve">пазари са бреме не само за МСП, а и за </w:t>
      </w:r>
      <w:r>
        <w:rPr>
          <w:rFonts w:ascii="Times New Roman" w:hAnsi="Times New Roman"/>
          <w:b/>
          <w:noProof/>
          <w:sz w:val="24"/>
        </w:rPr>
        <w:t>средно големите предприятия</w:t>
      </w:r>
      <w:r>
        <w:rPr>
          <w:rFonts w:ascii="Times New Roman" w:hAnsi="Times New Roman"/>
          <w:noProof/>
          <w:sz w:val="24"/>
        </w:rPr>
        <w:t>, които е по-вероятно да прибегнат до тези пазари за набиране на средства. Емитирането на собствен капитал и поемането на емисии на дългови инструменти водят със себе си значителни постоянни</w:t>
      </w:r>
      <w:r>
        <w:rPr>
          <w:rFonts w:ascii="Times New Roman" w:hAnsi="Times New Roman"/>
          <w:noProof/>
          <w:sz w:val="24"/>
        </w:rPr>
        <w:t xml:space="preserve"> разходи, свързани с надлежната проверка и нормативните изисквания. Сред тези разходи са разходите по оповестяване на изискуемата от инвеститорите или надзорните органи информация, по удовлетворяване на изискванията за корпоративно управление и по възлаган</w:t>
      </w:r>
      <w:r>
        <w:rPr>
          <w:rFonts w:ascii="Times New Roman" w:hAnsi="Times New Roman"/>
          <w:noProof/>
          <w:sz w:val="24"/>
        </w:rPr>
        <w:t>е на външен изпълнител на присъждане на рейтинг. Освен това оповестяването на подробна информация относно бизнес плана може да е в разрез с търговския интерес на дружествата в ранен етап на развитие. Възможно е те да не желаят да преотстъпят контролни прав</w:t>
      </w:r>
      <w:r>
        <w:rPr>
          <w:rFonts w:ascii="Times New Roman" w:hAnsi="Times New Roman"/>
          <w:noProof/>
          <w:sz w:val="24"/>
        </w:rPr>
        <w:t>омощия или да са обект на по-щателен външен надзор. Тези особености често пречат на малките и средните предприятия да получат достъп до публичните капиталови и дългови пазари и ги подтикват главно към съответните извънборсови пазари, които обикновено са по</w:t>
      </w:r>
      <w:r>
        <w:rPr>
          <w:rFonts w:ascii="Times New Roman" w:hAnsi="Times New Roman"/>
          <w:noProof/>
          <w:sz w:val="24"/>
        </w:rPr>
        <w:t xml:space="preserve">-сложни, стандартизирани са в по-малка степен и </w:t>
      </w:r>
      <w:r>
        <w:rPr>
          <w:rFonts w:ascii="Times New Roman" w:hAnsi="Times New Roman"/>
          <w:noProof/>
          <w:sz w:val="24"/>
          <w:szCs w:val="24"/>
        </w:rPr>
        <w:t>свързаните с тях разходи са по-големи.</w:t>
      </w:r>
    </w:p>
    <w:p w:rsidR="005E5425" w:rsidRDefault="004916DA">
      <w:pPr>
        <w:spacing w:line="240" w:lineRule="auto"/>
        <w:jc w:val="both"/>
        <w:rPr>
          <w:rFonts w:ascii="Times New Roman" w:eastAsia="SimSun" w:hAnsi="Times New Roman"/>
          <w:noProof/>
          <w:sz w:val="24"/>
          <w:szCs w:val="24"/>
        </w:rPr>
      </w:pPr>
      <w:r>
        <w:rPr>
          <w:rFonts w:ascii="Times New Roman" w:hAnsi="Times New Roman"/>
          <w:noProof/>
          <w:sz w:val="24"/>
          <w:szCs w:val="24"/>
        </w:rPr>
        <w:t xml:space="preserve">Размерът на </w:t>
      </w:r>
      <w:r>
        <w:rPr>
          <w:rFonts w:ascii="Times New Roman" w:hAnsi="Times New Roman"/>
          <w:b/>
          <w:noProof/>
          <w:sz w:val="24"/>
          <w:szCs w:val="24"/>
        </w:rPr>
        <w:t>големите предприятия</w:t>
      </w:r>
      <w:r>
        <w:rPr>
          <w:rFonts w:ascii="Times New Roman" w:hAnsi="Times New Roman"/>
          <w:noProof/>
          <w:sz w:val="24"/>
          <w:szCs w:val="24"/>
        </w:rPr>
        <w:t xml:space="preserve"> обикновено е достатъчен, за да оправдае постоянните разходи за прибягване до капиталовите пазари и за да направи всяка отделна емисия достатъчно значима за привличане вниманието на поемателите, инвеститорите и анализаторите. Въпреки това, докато емитиране</w:t>
      </w:r>
      <w:r>
        <w:rPr>
          <w:rFonts w:ascii="Times New Roman" w:hAnsi="Times New Roman"/>
          <w:noProof/>
          <w:sz w:val="24"/>
          <w:szCs w:val="24"/>
        </w:rPr>
        <w:t>то на корпоративни облигации значително се увеличи през последните години, което отчасти компенсира свиването на</w:t>
      </w:r>
      <w:r>
        <w:rPr>
          <w:rFonts w:ascii="Times New Roman" w:hAnsi="Times New Roman"/>
          <w:noProof/>
          <w:sz w:val="24"/>
        </w:rPr>
        <w:t xml:space="preserve"> банковото кредитиране, емитирането на котирани акции продължава да бележи ниски темпове в Европа. По-ефективните и ефикасни пазари могат да спо</w:t>
      </w:r>
      <w:r>
        <w:rPr>
          <w:rFonts w:ascii="Times New Roman" w:hAnsi="Times New Roman"/>
          <w:noProof/>
          <w:sz w:val="24"/>
        </w:rPr>
        <w:t>могнат за намаляване на разходите за достъп до тези пазари и биха били от полза за всички предприятия.</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И накрая, за да запази ЕС своята конкурентоспособност са необходими значителни </w:t>
      </w:r>
      <w:r>
        <w:rPr>
          <w:rFonts w:ascii="Times New Roman" w:hAnsi="Times New Roman"/>
          <w:b/>
          <w:noProof/>
          <w:sz w:val="24"/>
        </w:rPr>
        <w:t>нови инфраструктурни инвестиции</w:t>
      </w:r>
      <w:r>
        <w:rPr>
          <w:rFonts w:ascii="Times New Roman" w:hAnsi="Times New Roman"/>
          <w:noProof/>
          <w:sz w:val="24"/>
        </w:rPr>
        <w:t xml:space="preserve">. Притокът на средства към подобни проекти </w:t>
      </w:r>
      <w:r>
        <w:rPr>
          <w:rFonts w:ascii="Times New Roman" w:hAnsi="Times New Roman"/>
          <w:noProof/>
          <w:sz w:val="24"/>
        </w:rPr>
        <w:t xml:space="preserve">обаче е ограничен от стремежа към краткосрочни печалби, някои нормативни бариери и други фактори. Освен това редица инфраструктурни проекти притежават характеристики на обществени блага, което предполага, че използването само на частно финансиране може да </w:t>
      </w:r>
      <w:r>
        <w:rPr>
          <w:rFonts w:ascii="Times New Roman" w:hAnsi="Times New Roman"/>
          <w:noProof/>
          <w:sz w:val="24"/>
        </w:rPr>
        <w:t>не е подходящо за достигането до оптимално равнище на инвестиции. При все че EFSI ще има важен принос за увеличаването на инвестициите в инфраструктурни проекти</w:t>
      </w:r>
      <w:r>
        <w:rPr>
          <w:rStyle w:val="FootnoteReference"/>
          <w:rFonts w:ascii="Times New Roman" w:hAnsi="Times New Roman"/>
          <w:noProof/>
          <w:sz w:val="24"/>
        </w:rPr>
        <w:footnoteReference w:id="8"/>
      </w:r>
      <w:r>
        <w:rPr>
          <w:rFonts w:ascii="Times New Roman" w:hAnsi="Times New Roman"/>
          <w:noProof/>
          <w:sz w:val="24"/>
        </w:rPr>
        <w:t>, Комисията би желала да получи идеи за други средства за постигането на тази цел.</w:t>
      </w: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Повишаване н</w:t>
      </w:r>
      <w:r>
        <w:rPr>
          <w:rFonts w:ascii="Times New Roman" w:hAnsi="Times New Roman"/>
          <w:i/>
          <w:noProof/>
          <w:sz w:val="24"/>
        </w:rPr>
        <w:t xml:space="preserve">а информираността </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В Европа повечето МСП се обръщат за финансиране единствено към банките. Почти 13 % от исканията им биват отхвърлени, често пъти поради факта, че МСП, дори и да са жизнеспособни, не отговарят на търсените от банките рискови профили.  Въпр</w:t>
      </w:r>
      <w:r>
        <w:rPr>
          <w:rFonts w:ascii="Times New Roman" w:hAnsi="Times New Roman"/>
          <w:noProof/>
          <w:sz w:val="24"/>
        </w:rPr>
        <w:t>еки че понякога банките посочват на МСП алтернативни източници на финансиране, това не винаги дава резултат: понякога нито банките, нито МСП са достатъчно информирани за съществуващите алтернативи. Банките биха могат да бъдат насърчавани да осигуряват по-д</w:t>
      </w:r>
      <w:r>
        <w:rPr>
          <w:rFonts w:ascii="Times New Roman" w:hAnsi="Times New Roman"/>
          <w:noProof/>
          <w:sz w:val="24"/>
        </w:rPr>
        <w:t xml:space="preserve">обра обратна информация за онези МСП, чиито искания за кредит са били отхвърлени, и да повишават информираността относно алтернативните възможности за финансиране за такива МСП. </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Международните стандарти за финансово отчитане (МСФО) изиграха ключова роля з</w:t>
      </w:r>
      <w:r>
        <w:rPr>
          <w:rFonts w:ascii="Times New Roman" w:hAnsi="Times New Roman"/>
          <w:noProof/>
          <w:sz w:val="24"/>
        </w:rPr>
        <w:t>а разпространяването на единен счетоводен език в ЕС, улеснявайки достъпа до световните капиталови пазари на големите дружества от ЕС, чиито акции се котират на регулиран пазар.  От друга страна, изискването към по-малките дружества, в частност към търсещит</w:t>
      </w:r>
      <w:r>
        <w:rPr>
          <w:rFonts w:ascii="Times New Roman" w:hAnsi="Times New Roman"/>
          <w:noProof/>
          <w:sz w:val="24"/>
        </w:rPr>
        <w:t>е достъп до специални тържища, за пълно съблюдаване на МСФО би довело до допълнителни разходи. Разработването на опростени, общо възприети и висококачествени счетоводни стандарти, пригодени към дружествата, допуснати до определени тържища</w:t>
      </w:r>
      <w:r>
        <w:rPr>
          <w:rStyle w:val="FootnoteReference"/>
          <w:rFonts w:ascii="Times New Roman" w:hAnsi="Times New Roman"/>
          <w:noProof/>
          <w:sz w:val="24"/>
        </w:rPr>
        <w:footnoteReference w:id="9"/>
      </w:r>
      <w:r>
        <w:rPr>
          <w:rFonts w:ascii="Times New Roman" w:hAnsi="Times New Roman"/>
          <w:noProof/>
          <w:sz w:val="24"/>
        </w:rPr>
        <w:t>, би могло да бъд</w:t>
      </w:r>
      <w:r>
        <w:rPr>
          <w:rFonts w:ascii="Times New Roman" w:hAnsi="Times New Roman"/>
          <w:noProof/>
          <w:sz w:val="24"/>
        </w:rPr>
        <w:t>е крачка напред по отношение на прозрачността и съпоставимостта. Пропорционалното прилагане на тези стандарти би могло да бъде от полза на дружествата, които се стремят да бъдат по-привлекателни за трансграничните инвеститори. Стандартът може да стане пост</w:t>
      </w:r>
      <w:r>
        <w:rPr>
          <w:rFonts w:ascii="Times New Roman" w:hAnsi="Times New Roman"/>
          <w:noProof/>
          <w:sz w:val="24"/>
        </w:rPr>
        <w:t xml:space="preserve">оянен елемент на подкрепящите МСП пазари и да бъде достъпен за по-широка употреба.  </w:t>
      </w:r>
    </w:p>
    <w:p w:rsidR="005E5425" w:rsidRDefault="004916DA">
      <w:pPr>
        <w:spacing w:line="240" w:lineRule="auto"/>
        <w:jc w:val="both"/>
        <w:rPr>
          <w:rFonts w:ascii="Times New Roman" w:hAnsi="Times New Roman"/>
          <w:noProof/>
          <w:sz w:val="24"/>
          <w:szCs w:val="24"/>
        </w:rPr>
      </w:pPr>
      <w:r>
        <w:rPr>
          <w:rFonts w:ascii="Times New Roman" w:hAnsi="Times New Roman"/>
          <w:b/>
          <w:noProof/>
          <w:sz w:val="24"/>
        </w:rPr>
        <w:t>Прозрачността на инфраструктурните проекти</w:t>
      </w:r>
      <w:r>
        <w:rPr>
          <w:rFonts w:ascii="Times New Roman" w:hAnsi="Times New Roman"/>
          <w:noProof/>
          <w:sz w:val="24"/>
        </w:rPr>
        <w:t xml:space="preserve"> може да увеличи тяхната привлекателност за частните инвеститори и да спомогне за приемането от надзорните органи на по-адаптиран</w:t>
      </w:r>
      <w:r>
        <w:rPr>
          <w:rFonts w:ascii="Times New Roman" w:hAnsi="Times New Roman"/>
          <w:noProof/>
          <w:sz w:val="24"/>
        </w:rPr>
        <w:t xml:space="preserve"> пруденциален режим за инфраструктурните инвестиции. В доклада на работната група за инвестициите от декември 2014 г. се предлага създаването на централен уебсайт на равнище ЕС, чрез който да се предоставят връзки към проекти на държавите членки и на който</w:t>
      </w:r>
      <w:r>
        <w:rPr>
          <w:rFonts w:ascii="Times New Roman" w:hAnsi="Times New Roman"/>
          <w:noProof/>
          <w:sz w:val="24"/>
        </w:rPr>
        <w:t xml:space="preserve"> да се съдържа информация за проекти на ЕС (например в рамките на Механизма за свързване на Европа и европейските структурни и инвестиционни фондове).  Въз основа на доклад на работната група за инвестициите Комисията предложи създаването на Европейски мех</w:t>
      </w:r>
      <w:r>
        <w:rPr>
          <w:rFonts w:ascii="Times New Roman" w:hAnsi="Times New Roman"/>
          <w:noProof/>
          <w:sz w:val="24"/>
        </w:rPr>
        <w:t>анизъм за утвърждаване на инвестиционни проекти за улесняване на достъпа на инвеститорите до информация за възможностите за инвестиране в ЕС и за увеличаване на инвеститорското участие във финансирането</w:t>
      </w:r>
      <w:r>
        <w:rPr>
          <w:rStyle w:val="FootnoteReference"/>
          <w:rFonts w:ascii="Times New Roman" w:hAnsi="Times New Roman"/>
          <w:noProof/>
          <w:sz w:val="24"/>
        </w:rPr>
        <w:footnoteReference w:id="10"/>
      </w:r>
      <w:r>
        <w:rPr>
          <w:rFonts w:ascii="Times New Roman" w:hAnsi="Times New Roman"/>
          <w:noProof/>
          <w:sz w:val="24"/>
        </w:rPr>
        <w:t xml:space="preserve">. Това ще включва създаването на специален уебсайт и </w:t>
      </w:r>
      <w:r>
        <w:rPr>
          <w:rFonts w:ascii="Times New Roman" w:hAnsi="Times New Roman"/>
          <w:noProof/>
          <w:sz w:val="24"/>
        </w:rPr>
        <w:t xml:space="preserve">общи стандарти за представяне на информацията. Създаването на такъв набор от проекти ще се основава на работата, която вече е започнала в някои държави членки. </w:t>
      </w:r>
    </w:p>
    <w:p w:rsidR="005E5425" w:rsidRDefault="004916DA">
      <w:pPr>
        <w:spacing w:line="240" w:lineRule="auto"/>
        <w:jc w:val="both"/>
        <w:rPr>
          <w:rFonts w:ascii="Times New Roman" w:eastAsia="Times New Roman" w:hAnsi="Times New Roman"/>
          <w:i/>
          <w:noProof/>
          <w:sz w:val="24"/>
          <w:szCs w:val="24"/>
        </w:rPr>
      </w:pPr>
      <w:r>
        <w:rPr>
          <w:rFonts w:ascii="Times New Roman" w:hAnsi="Times New Roman"/>
          <w:i/>
          <w:noProof/>
          <w:sz w:val="24"/>
        </w:rPr>
        <w:t>Стандартизацията — тласък за пазарите</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Въпреки че стандартизацията не е без недостатъци, на някои пазари може да се даде първоначален тласък посредством общ набор от пазарни правила, прозрачност на продуктовите характеристики и последователен надзор и правоприлагане. Известна степен на стандарт</w:t>
      </w:r>
      <w:r>
        <w:rPr>
          <w:rFonts w:ascii="Times New Roman" w:hAnsi="Times New Roman"/>
          <w:noProof/>
          <w:sz w:val="24"/>
        </w:rPr>
        <w:t>изация може да привлече повече инвеститори и да стимулира пазарното развитие и ликвидността. Това важи най-вече за по-малките държави членки, чиито пазари няма да могат да достигнат минимална критична маса, за да бъдат ефикасни, ако бъдат ограничавани до в</w:t>
      </w:r>
      <w:r>
        <w:rPr>
          <w:rFonts w:ascii="Times New Roman" w:hAnsi="Times New Roman"/>
          <w:noProof/>
          <w:sz w:val="24"/>
        </w:rPr>
        <w:t>ътрешните капитали. Когато общи стандарти не са необходими или e трудно да бъдат създадени, стратегическите усилия биха могли да се насочат към установяването на най-добри практики в ЕС, с което да се насърчи развитието на определени финансови инструменти.</w:t>
      </w:r>
      <w:r>
        <w:rPr>
          <w:rFonts w:ascii="Times New Roman" w:hAnsi="Times New Roman"/>
          <w:noProof/>
          <w:sz w:val="24"/>
        </w:rPr>
        <w:t xml:space="preserve">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Изграждането на по-</w:t>
      </w:r>
      <w:r>
        <w:rPr>
          <w:rFonts w:ascii="Times New Roman" w:hAnsi="Times New Roman"/>
          <w:b/>
          <w:noProof/>
          <w:sz w:val="24"/>
        </w:rPr>
        <w:t>интегриран европейски пазар на обезпечени облигации</w:t>
      </w:r>
      <w:r>
        <w:rPr>
          <w:rFonts w:ascii="Times New Roman" w:hAnsi="Times New Roman"/>
          <w:noProof/>
          <w:sz w:val="24"/>
        </w:rPr>
        <w:t xml:space="preserve"> би могло да допринесе за разходо-ефективно финансиране на банките и да предостави на инвеститорите по-широка гама от инвестиционни възможности. Успехът на обезпечените облигации като </w:t>
      </w:r>
      <w:r>
        <w:rPr>
          <w:rFonts w:ascii="Times New Roman" w:hAnsi="Times New Roman"/>
          <w:noProof/>
          <w:sz w:val="24"/>
        </w:rPr>
        <w:t xml:space="preserve">инструменти за финансиране е тясно свързан със специфично нормотворчество в национален мащаб. През 2015 г. Комисията ще проведе консултации относно качествените характеристики и евентуалната форма на нормативна уредба на ЕС за обезпечените облигации и въз </w:t>
      </w:r>
      <w:r>
        <w:rPr>
          <w:rFonts w:ascii="Times New Roman" w:hAnsi="Times New Roman"/>
          <w:noProof/>
          <w:sz w:val="24"/>
        </w:rPr>
        <w:t>основа на опита при добре функциониращите национални уредби ще представи варианти за действие за постигането на по-интегрирани пазари на обезпечени облигации. Комисията ще обмисли също дали следва да се предостави на инвеститорите повече информация за обез</w:t>
      </w:r>
      <w:r>
        <w:rPr>
          <w:rFonts w:ascii="Times New Roman" w:hAnsi="Times New Roman"/>
          <w:noProof/>
          <w:sz w:val="24"/>
        </w:rPr>
        <w:t>печенията на обезпечените облигации и за другите структурирани дългове, по аналогия с изискванията при структурираните финансови инструменти за оповестяване на кредитни данни.</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Въпреки че в последно време емитирането на </w:t>
      </w:r>
      <w:r>
        <w:rPr>
          <w:rFonts w:ascii="Times New Roman" w:hAnsi="Times New Roman"/>
          <w:b/>
          <w:noProof/>
          <w:sz w:val="24"/>
        </w:rPr>
        <w:t>корпоративни облигации</w:t>
      </w:r>
      <w:r>
        <w:rPr>
          <w:rFonts w:ascii="Times New Roman" w:hAnsi="Times New Roman"/>
          <w:noProof/>
          <w:sz w:val="24"/>
        </w:rPr>
        <w:t xml:space="preserve"> се засили, про</w:t>
      </w:r>
      <w:r>
        <w:rPr>
          <w:rFonts w:ascii="Times New Roman" w:hAnsi="Times New Roman"/>
          <w:noProof/>
          <w:sz w:val="24"/>
        </w:rPr>
        <w:t>цесът се характеризира с ниско равнище на стандартизация и ценова прозрачност. Въпреки че през последните години в някои държави членки възникнаха</w:t>
      </w:r>
      <w:r>
        <w:rPr>
          <w:rFonts w:ascii="Times New Roman" w:hAnsi="Times New Roman"/>
          <w:b/>
          <w:noProof/>
          <w:sz w:val="24"/>
        </w:rPr>
        <w:t xml:space="preserve"> </w:t>
      </w:r>
      <w:r>
        <w:rPr>
          <w:rFonts w:ascii="Times New Roman" w:hAnsi="Times New Roman"/>
          <w:noProof/>
          <w:sz w:val="24"/>
        </w:rPr>
        <w:t>нови електронни платформи за търговия на облигации, предназначени за индивидуалните инвеститори, липсата на с</w:t>
      </w:r>
      <w:r>
        <w:rPr>
          <w:rFonts w:ascii="Times New Roman" w:hAnsi="Times New Roman"/>
          <w:noProof/>
          <w:sz w:val="24"/>
        </w:rPr>
        <w:t>тандартизация може да попречи на развитието на платформи за търгуване на облигации и на един ликвиден вторичен пазар. По-голямата стандартизация на корпоративните дългови инструменти би позволила развитието на по-ликвиден вторичен пазар за корпоративни обл</w:t>
      </w:r>
      <w:r>
        <w:rPr>
          <w:rFonts w:ascii="Times New Roman" w:hAnsi="Times New Roman"/>
          <w:noProof/>
          <w:sz w:val="24"/>
        </w:rPr>
        <w:t>игации. Комисията би желала да получи мнения дали има полза от допълнително проучване на възможността за изграждането на по-стандартизиран пазар на корпоративни дългови инструменти или това може да бъде най-добре постигнато чрез породена от нуждите на паза</w:t>
      </w:r>
      <w:r>
        <w:rPr>
          <w:rFonts w:ascii="Times New Roman" w:hAnsi="Times New Roman"/>
          <w:noProof/>
          <w:sz w:val="24"/>
        </w:rPr>
        <w:t xml:space="preserve">ра или нормотворческа инициатива.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Друга нововъзникваща инвестиционна категория с потенциал да предостави допълнителен достъп до финансиране са инвестициите в </w:t>
      </w:r>
      <w:r>
        <w:rPr>
          <w:rFonts w:ascii="Times New Roman" w:hAnsi="Times New Roman"/>
          <w:b/>
          <w:noProof/>
          <w:sz w:val="24"/>
        </w:rPr>
        <w:t>опазването на околната среда, в социалната сфера и в сферата на корпоративното управление</w:t>
      </w:r>
      <w:r>
        <w:rPr>
          <w:rFonts w:ascii="Times New Roman" w:hAnsi="Times New Roman"/>
          <w:noProof/>
          <w:sz w:val="24"/>
        </w:rPr>
        <w:t>, каквит</w:t>
      </w:r>
      <w:r>
        <w:rPr>
          <w:rFonts w:ascii="Times New Roman" w:hAnsi="Times New Roman"/>
          <w:noProof/>
          <w:sz w:val="24"/>
        </w:rPr>
        <w:t xml:space="preserve">о са например „зелените“ облигации. Постъпленията от „зелените“ облигации са предназначени за проекти и действия в областта на изменението на климата или свързани с други аспекти на устойчивото опазване на околната среда. Бързото разрастване на този пазар </w:t>
      </w:r>
      <w:r>
        <w:rPr>
          <w:rFonts w:ascii="Times New Roman" w:hAnsi="Times New Roman"/>
          <w:noProof/>
          <w:sz w:val="24"/>
        </w:rPr>
        <w:t>се подпомага от породен от нуждите на пазара процес на стандартизация, в който се взимат предвид критериите за подбор на „зелените“ облигации, разработени от Световната банка, Европейската инвестиционна банка, Европейската банка за възстановяване и развити</w:t>
      </w:r>
      <w:r>
        <w:rPr>
          <w:rFonts w:ascii="Times New Roman" w:hAnsi="Times New Roman"/>
          <w:noProof/>
          <w:sz w:val="24"/>
        </w:rPr>
        <w:t xml:space="preserve">е и др. Участниците на пазара понастоящем разработват необвързващи насоки, известни като „принципи на „зелените“ облигации“, в които се препоръчва прозрачност и се насърчава етичното поведение в развитието на пазарите на „зелени“ облигации чрез изясняване </w:t>
      </w:r>
      <w:r>
        <w:rPr>
          <w:rFonts w:ascii="Times New Roman" w:hAnsi="Times New Roman"/>
          <w:noProof/>
          <w:sz w:val="24"/>
        </w:rPr>
        <w:t>на подхода за емитиране на такива облигации.</w:t>
      </w: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Възможности за развитието на алтернативни средства за финансиране</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Въпреки изгледите определени фукнциониращи онлайн механизми като кредитирането между физически лица чрез специализирани платформи и колективното </w:t>
      </w:r>
      <w:r>
        <w:rPr>
          <w:rFonts w:ascii="Times New Roman" w:hAnsi="Times New Roman"/>
          <w:noProof/>
          <w:sz w:val="24"/>
        </w:rPr>
        <w:t>финансиране да са в състояние да допринесат значително за трансграничното финансиране на икономиката, признаците за трансгранична или общоевропейска дейност са слаби. Като последващо действие във връзка със съобщението относно колективното финансиране</w:t>
      </w:r>
      <w:r>
        <w:rPr>
          <w:rStyle w:val="FootnoteReference"/>
          <w:rFonts w:ascii="Times New Roman" w:hAnsi="Times New Roman"/>
          <w:noProof/>
          <w:sz w:val="24"/>
        </w:rPr>
        <w:footnoteReference w:id="11"/>
      </w:r>
      <w:r>
        <w:rPr>
          <w:rFonts w:ascii="Times New Roman" w:hAnsi="Times New Roman"/>
          <w:noProof/>
          <w:sz w:val="24"/>
        </w:rPr>
        <w:t>, Ко</w:t>
      </w:r>
      <w:r>
        <w:rPr>
          <w:rFonts w:ascii="Times New Roman" w:hAnsi="Times New Roman"/>
          <w:noProof/>
          <w:sz w:val="24"/>
        </w:rPr>
        <w:t>мисията понастоящем събира информация за браншовите подходи към оповестяването на информация и за подходите на държавите членки към нормативното уреждане на този въпрос. Предварителните резултати показват, че разнообразните национални подходи в тези област</w:t>
      </w:r>
      <w:r>
        <w:rPr>
          <w:rFonts w:ascii="Times New Roman" w:hAnsi="Times New Roman"/>
          <w:noProof/>
          <w:sz w:val="24"/>
        </w:rPr>
        <w:t xml:space="preserve">и могат да насърчат колективното финансиране на местно равнище, но да не бъдат непременно съвместими помежду си в трансграничен контекст. </w:t>
      </w:r>
    </w:p>
    <w:p w:rsidR="005E5425" w:rsidRDefault="005E5425">
      <w:pPr>
        <w:spacing w:line="240" w:lineRule="auto"/>
        <w:jc w:val="both"/>
        <w:rPr>
          <w:rFonts w:ascii="Times New Roman" w:hAnsi="Times New Roman"/>
          <w:noProof/>
          <w:sz w:val="24"/>
          <w:szCs w:val="24"/>
        </w:rPr>
      </w:pP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Въпроси</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 xml:space="preserve">5) Какви допълнителни мерки биха спомогнали за увеличаване на достъпа до финансиране и насочване на средствата към онези, които се нуждаят от тях?  </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6) Нужно ли е да бъдат взети мерки за насърчаване на по-голяма ликвидност на пазарите на корпоративни облиг</w:t>
      </w:r>
      <w:r>
        <w:rPr>
          <w:rFonts w:ascii="Times New Roman" w:hAnsi="Times New Roman"/>
          <w:i/>
          <w:noProof/>
          <w:sz w:val="24"/>
        </w:rPr>
        <w:t>ации като например стандартизиране? Ако сте съгласни — какви мерки са необходими и могат ли да бъдат предприети самостоятелно от пазара или е нужно нормотворческо действие?</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i/>
          <w:noProof/>
          <w:sz w:val="24"/>
        </w:rPr>
        <w:t>7) Освен да подпомага изготвянето на насоки от пазарните участници, нужно ли е ЕС д</w:t>
      </w:r>
      <w:r>
        <w:rPr>
          <w:rFonts w:ascii="Times New Roman" w:hAnsi="Times New Roman"/>
          <w:i/>
          <w:noProof/>
          <w:sz w:val="24"/>
        </w:rPr>
        <w:t>а предприеме и действия за улесняване разгръщането на стандартизирани, прозрачни и отговорни инвестиции в опазването на околната среда, социалната сфера и сферата на управлението, включително „зелени облигации“?</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 xml:space="preserve">8) Има ли смисъл да се разработи на равнище </w:t>
      </w:r>
      <w:r>
        <w:rPr>
          <w:rFonts w:ascii="Times New Roman" w:hAnsi="Times New Roman"/>
          <w:i/>
          <w:noProof/>
          <w:sz w:val="24"/>
        </w:rPr>
        <w:t>ЕС общ счетоводен стандарти за малките и средните предприятия, допуснати до МТС? Нужно ли е такъв стандарт да стане постоянен елемент на подкрепящите МСП пазари? Ако сте съгласни — при какви условия да стане това?</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i/>
          <w:noProof/>
          <w:sz w:val="24"/>
          <w:szCs w:val="24"/>
        </w:rPr>
      </w:pPr>
      <w:r>
        <w:rPr>
          <w:rFonts w:ascii="Times New Roman" w:hAnsi="Times New Roman"/>
          <w:i/>
          <w:noProof/>
          <w:sz w:val="24"/>
        </w:rPr>
        <w:t>9) Има ли пречки пред развитието, включите</w:t>
      </w:r>
      <w:r>
        <w:rPr>
          <w:rFonts w:ascii="Times New Roman" w:hAnsi="Times New Roman"/>
          <w:i/>
          <w:noProof/>
          <w:sz w:val="24"/>
        </w:rPr>
        <w:t>лно в трансграничен план, на подходящо регламентирани платформи за кредитиране между физически лица или за колективно финансиране? Ако такива са налице, как следва да бъдат преодолени?</w:t>
      </w:r>
    </w:p>
    <w:p w:rsidR="005E5425" w:rsidRDefault="005E5425">
      <w:pPr>
        <w:spacing w:line="240" w:lineRule="auto"/>
        <w:jc w:val="both"/>
        <w:rPr>
          <w:rFonts w:ascii="Times New Roman" w:hAnsi="Times New Roman"/>
          <w:b/>
          <w:i/>
          <w:noProof/>
          <w:sz w:val="24"/>
          <w:szCs w:val="24"/>
        </w:rPr>
      </w:pPr>
    </w:p>
    <w:p w:rsidR="005E5425" w:rsidRDefault="004916DA">
      <w:pPr>
        <w:spacing w:line="240" w:lineRule="auto"/>
        <w:jc w:val="both"/>
        <w:rPr>
          <w:rFonts w:ascii="Times New Roman" w:hAnsi="Times New Roman"/>
          <w:b/>
          <w:i/>
          <w:noProof/>
          <w:sz w:val="24"/>
          <w:szCs w:val="24"/>
        </w:rPr>
      </w:pPr>
      <w:r>
        <w:rPr>
          <w:rFonts w:ascii="Times New Roman" w:hAnsi="Times New Roman"/>
          <w:b/>
          <w:i/>
          <w:noProof/>
          <w:sz w:val="24"/>
        </w:rPr>
        <w:t>4.2 Разгръщане и диверсифициране на предлагането на финансиране</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Размер</w:t>
      </w:r>
      <w:r>
        <w:rPr>
          <w:rFonts w:ascii="Times New Roman" w:hAnsi="Times New Roman"/>
          <w:noProof/>
          <w:sz w:val="24"/>
        </w:rPr>
        <w:t xml:space="preserve">ът на капиталовите пазари зависи в крайна сметка от притока на спестявания към инструментите на капиталовия пазар. Поради това, за  да се развиват капиталовите пазари, е нужно те да привличат </w:t>
      </w:r>
      <w:r>
        <w:rPr>
          <w:rFonts w:ascii="Times New Roman" w:hAnsi="Times New Roman"/>
          <w:b/>
          <w:noProof/>
          <w:sz w:val="24"/>
        </w:rPr>
        <w:t>индивидуални, институционални и международни инвеститори</w:t>
      </w:r>
      <w:r>
        <w:rPr>
          <w:rFonts w:ascii="Times New Roman" w:hAnsi="Times New Roman"/>
          <w:noProof/>
          <w:sz w:val="24"/>
        </w:rPr>
        <w:t xml:space="preserve">. </w:t>
      </w: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Насър</w:t>
      </w:r>
      <w:r>
        <w:rPr>
          <w:rFonts w:ascii="Times New Roman" w:hAnsi="Times New Roman"/>
          <w:i/>
          <w:noProof/>
          <w:sz w:val="24"/>
        </w:rPr>
        <w:t>чаване на институционалните инвестиции</w:t>
      </w:r>
    </w:p>
    <w:p w:rsidR="005E5425" w:rsidRDefault="004916DA">
      <w:pPr>
        <w:spacing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Ролята, която дългосрочните инвестиции на институционалните инвеститори имат на капиталовите пазари, нарасна значително. Нормативни бариери и други фактори обаче могат да ограничат притока на тези дългосрочни инвестиц</w:t>
      </w:r>
      <w:r>
        <w:rPr>
          <w:rFonts w:ascii="Times New Roman" w:hAnsi="Times New Roman"/>
          <w:noProof/>
          <w:color w:val="000000"/>
          <w:sz w:val="24"/>
        </w:rPr>
        <w:t xml:space="preserve">ии към дългосрочни проекти, включително инфраструктурни.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С активи на стойност над 17 трилиона евро, </w:t>
      </w:r>
      <w:r>
        <w:rPr>
          <w:rFonts w:ascii="Times New Roman" w:hAnsi="Times New Roman"/>
          <w:b/>
          <w:noProof/>
          <w:sz w:val="24"/>
        </w:rPr>
        <w:t>европейският сектор на управление на активи</w:t>
      </w:r>
      <w:r>
        <w:rPr>
          <w:rFonts w:ascii="Times New Roman" w:hAnsi="Times New Roman"/>
          <w:noProof/>
          <w:sz w:val="24"/>
        </w:rPr>
        <w:t xml:space="preserve"> играе ключова роля при насочването на инвестициите към икономиката. Голяма част от този успех е пряк резултат от уредбата на европейските инвестиционни фондове. Уредбата на взаимните фондове в рамките на ПКИПЦК (предприятия за колективно инвестиране в пре</w:t>
      </w:r>
      <w:r>
        <w:rPr>
          <w:rFonts w:ascii="Times New Roman" w:hAnsi="Times New Roman"/>
          <w:noProof/>
          <w:sz w:val="24"/>
        </w:rPr>
        <w:t>хвърлими ценни книжа)</w:t>
      </w:r>
      <w:r>
        <w:rPr>
          <w:rStyle w:val="FootnoteReference"/>
          <w:rFonts w:ascii="Times New Roman" w:hAnsi="Times New Roman"/>
          <w:noProof/>
          <w:sz w:val="24"/>
        </w:rPr>
        <w:footnoteReference w:id="12"/>
      </w:r>
      <w:r>
        <w:rPr>
          <w:rFonts w:ascii="Times New Roman" w:hAnsi="Times New Roman"/>
          <w:noProof/>
          <w:sz w:val="24"/>
        </w:rPr>
        <w:t xml:space="preserve"> е признат международен стандарт. От своя страна, с Директивата относно лицата, управляващи алтернативни инвестиционни фондове</w:t>
      </w:r>
      <w:r>
        <w:rPr>
          <w:rStyle w:val="FootnoteReference"/>
          <w:rFonts w:ascii="Times New Roman" w:hAnsi="Times New Roman"/>
          <w:noProof/>
          <w:sz w:val="24"/>
        </w:rPr>
        <w:footnoteReference w:id="13"/>
      </w:r>
      <w:r>
        <w:rPr>
          <w:rFonts w:ascii="Times New Roman" w:hAnsi="Times New Roman"/>
          <w:noProof/>
          <w:sz w:val="24"/>
        </w:rPr>
        <w:t xml:space="preserve"> се урежда дейността на европейските лица, управляващи АИФ.</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Понастоящем нормативно определените разходи за </w:t>
      </w:r>
      <w:r>
        <w:rPr>
          <w:rFonts w:ascii="Times New Roman" w:hAnsi="Times New Roman"/>
          <w:noProof/>
          <w:sz w:val="24"/>
        </w:rPr>
        <w:t>създаването и трансграничното предлагане на фонд, както и за лицензирането на управляващо лице, се различават в отделните държави членки. Намаляването на разходите за създаването и в по-общ план — за трансграничното предлагане на фондовете ще снижат бариер</w:t>
      </w:r>
      <w:r>
        <w:rPr>
          <w:rFonts w:ascii="Times New Roman" w:hAnsi="Times New Roman"/>
          <w:noProof/>
          <w:sz w:val="24"/>
        </w:rPr>
        <w:t xml:space="preserve">ите пред навлизането на пазара и ще засилят конкуренцията. Важно е на пазара да навлизат нови участници, както и средствата да се увеличават, за да се възползват от икономии от мащаба. </w:t>
      </w:r>
      <w:r>
        <w:rPr>
          <w:rFonts w:ascii="Times New Roman" w:hAnsi="Times New Roman"/>
          <w:noProof/>
          <w:color w:val="000000"/>
          <w:sz w:val="24"/>
        </w:rPr>
        <w:t>Комисията търси да получи становища за евентуалните допълнителни мерки,</w:t>
      </w:r>
      <w:r>
        <w:rPr>
          <w:rFonts w:ascii="Times New Roman" w:hAnsi="Times New Roman"/>
          <w:noProof/>
          <w:color w:val="000000"/>
          <w:sz w:val="24"/>
        </w:rPr>
        <w:t xml:space="preserve"> които биха могли да насърчат институционалните инвеститори да набират и инвестират по-големи суми и в по-широк спектър от активи като дългосрочни проекти, новосъздадени предприятия и МСП.</w:t>
      </w:r>
    </w:p>
    <w:p w:rsidR="005E5425" w:rsidRDefault="004916DA">
      <w:pPr>
        <w:spacing w:line="240" w:lineRule="auto"/>
        <w:jc w:val="both"/>
        <w:rPr>
          <w:rFonts w:ascii="Times New Roman" w:hAnsi="Times New Roman"/>
          <w:b/>
          <w:noProof/>
          <w:sz w:val="24"/>
          <w:szCs w:val="24"/>
        </w:rPr>
      </w:pPr>
      <w:r>
        <w:rPr>
          <w:rFonts w:ascii="Times New Roman" w:hAnsi="Times New Roman"/>
          <w:noProof/>
          <w:sz w:val="24"/>
          <w:szCs w:val="24"/>
        </w:rPr>
        <w:t xml:space="preserve">Секторите на </w:t>
      </w:r>
      <w:r>
        <w:rPr>
          <w:rFonts w:ascii="Times New Roman" w:hAnsi="Times New Roman"/>
          <w:b/>
          <w:noProof/>
          <w:sz w:val="24"/>
          <w:szCs w:val="24"/>
        </w:rPr>
        <w:t>пенсионното осигуряване и застраховането</w:t>
      </w:r>
      <w:r>
        <w:rPr>
          <w:rFonts w:ascii="Times New Roman" w:hAnsi="Times New Roman"/>
          <w:noProof/>
          <w:sz w:val="24"/>
          <w:szCs w:val="24"/>
        </w:rPr>
        <w:t xml:space="preserve"> също притежават значителни активи в размер на около 12 трилиона евро, които могат да подпомогнат инвестициите.</w:t>
      </w:r>
      <w:r>
        <w:rPr>
          <w:rFonts w:ascii="Times New Roman" w:hAnsi="Times New Roman"/>
          <w:noProof/>
          <w:color w:val="000000"/>
          <w:sz w:val="24"/>
          <w:szCs w:val="24"/>
        </w:rPr>
        <w:t xml:space="preserve"> </w:t>
      </w:r>
      <w:r>
        <w:rPr>
          <w:rFonts w:ascii="Times New Roman" w:hAnsi="Times New Roman"/>
          <w:noProof/>
          <w:sz w:val="24"/>
          <w:szCs w:val="24"/>
        </w:rPr>
        <w:t>С Директивата „Платежоспособност II“</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  новият пруденциален режим, който ще се прилага за </w:t>
      </w:r>
      <w:r>
        <w:rPr>
          <w:rFonts w:ascii="Times New Roman" w:hAnsi="Times New Roman"/>
          <w:b/>
          <w:noProof/>
          <w:sz w:val="24"/>
          <w:szCs w:val="24"/>
        </w:rPr>
        <w:t>застрахователите</w:t>
      </w:r>
      <w:r>
        <w:rPr>
          <w:rFonts w:ascii="Times New Roman" w:hAnsi="Times New Roman"/>
          <w:noProof/>
          <w:sz w:val="24"/>
          <w:szCs w:val="24"/>
        </w:rPr>
        <w:t xml:space="preserve"> от 1 януари 2016 г. — се премахват н</w:t>
      </w:r>
      <w:r>
        <w:rPr>
          <w:rFonts w:ascii="Times New Roman" w:hAnsi="Times New Roman"/>
          <w:noProof/>
          <w:sz w:val="24"/>
          <w:szCs w:val="24"/>
        </w:rPr>
        <w:t>ационалните ограничения за състава на портфейла от активи на дружествата</w:t>
      </w:r>
      <w:r>
        <w:rPr>
          <w:rStyle w:val="FootnoteReference"/>
          <w:rFonts w:ascii="Times New Roman" w:hAnsi="Times New Roman"/>
          <w:noProof/>
          <w:sz w:val="24"/>
          <w:szCs w:val="24"/>
        </w:rPr>
        <w:footnoteReference w:id="15"/>
      </w:r>
      <w:r>
        <w:rPr>
          <w:rFonts w:ascii="Times New Roman" w:hAnsi="Times New Roman"/>
          <w:noProof/>
          <w:sz w:val="24"/>
          <w:szCs w:val="24"/>
        </w:rPr>
        <w:t>, което ще им позволи да увеличат инвестициите си в дългосрочни активи. Освен това Комисията се увери, че стандартната формула за изчисляване на капиталовите изисквания за застраховат</w:t>
      </w:r>
      <w:r>
        <w:rPr>
          <w:rFonts w:ascii="Times New Roman" w:hAnsi="Times New Roman"/>
          <w:noProof/>
          <w:sz w:val="24"/>
          <w:szCs w:val="24"/>
        </w:rPr>
        <w:t>елите</w:t>
      </w:r>
      <w:r>
        <w:rPr>
          <w:rFonts w:ascii="Times New Roman" w:hAnsi="Times New Roman"/>
          <w:noProof/>
          <w:sz w:val="24"/>
        </w:rPr>
        <w:t xml:space="preserve"> не създава пречки пред дългосрочните инвестиции и че дългосрочните пасиви са съобразени с дългосрочните активи</w:t>
      </w:r>
      <w:r>
        <w:rPr>
          <w:rFonts w:ascii="Times New Roman" w:hAnsi="Times New Roman"/>
          <w:noProof/>
          <w:sz w:val="24"/>
          <w:vertAlign w:val="superscript"/>
        </w:rPr>
        <w:footnoteReference w:id="16"/>
      </w:r>
      <w:r>
        <w:rPr>
          <w:rFonts w:ascii="Times New Roman" w:hAnsi="Times New Roman"/>
          <w:noProof/>
          <w:sz w:val="24"/>
        </w:rPr>
        <w:t>. Това действие получи положителен отзвук, макар че имаше и призиви за адаптирано третиране на инфраструктурните инвестиции във връзка с ка</w:t>
      </w:r>
      <w:r>
        <w:rPr>
          <w:rFonts w:ascii="Times New Roman" w:hAnsi="Times New Roman"/>
          <w:noProof/>
          <w:sz w:val="24"/>
        </w:rPr>
        <w:t>либрирането на капиталовите изисквания за застрахователите и банките. Необходима е още работа, за да бъдат установени нискорисковите инфраструктурни инвестиции — под формата на дългови или капиталови инструменти, с оглед евентуално преразглеждане на пруден</w:t>
      </w:r>
      <w:r>
        <w:rPr>
          <w:rFonts w:ascii="Times New Roman" w:hAnsi="Times New Roman"/>
          <w:noProof/>
          <w:sz w:val="24"/>
        </w:rPr>
        <w:t>циалните норми и създаването на инфраструктурни подкласове.</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Капиталопокривните схеми за </w:t>
      </w:r>
      <w:r>
        <w:rPr>
          <w:rFonts w:ascii="Times New Roman" w:hAnsi="Times New Roman"/>
          <w:b/>
          <w:noProof/>
          <w:sz w:val="24"/>
        </w:rPr>
        <w:t>пенсионно осигуряване</w:t>
      </w:r>
      <w:r>
        <w:rPr>
          <w:rFonts w:ascii="Times New Roman" w:hAnsi="Times New Roman"/>
          <w:noProof/>
          <w:sz w:val="24"/>
        </w:rPr>
        <w:t xml:space="preserve"> имат все по-важна роля в някои държави членки. Подобни схеми, управлявани разумно и по начин, отразяващ тяхната социална функция, могат да доприне</w:t>
      </w:r>
      <w:r>
        <w:rPr>
          <w:rFonts w:ascii="Times New Roman" w:hAnsi="Times New Roman"/>
          <w:noProof/>
          <w:sz w:val="24"/>
        </w:rPr>
        <w:t>сат за устойчивостта и адекватността на пенсионната система и стават все по-важни за инвеститорите в европейската икономика. С понастоящем обсъжданите нови правни норми за професионалното пенсионно осигуряване биха могли да се премахнат пречките пред засил</w:t>
      </w:r>
      <w:r>
        <w:rPr>
          <w:rFonts w:ascii="Times New Roman" w:hAnsi="Times New Roman"/>
          <w:noProof/>
          <w:sz w:val="24"/>
        </w:rPr>
        <w:t xml:space="preserve">ване на инвестициите на пенсионните схеми в дългосрочни активи. От своя страна, обменът на добри практики би могъл допълнително да сближи националните системи.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При личните пенсионни спестявания доставчиците са обект на редица различни законодателни актов</w:t>
      </w:r>
      <w:r>
        <w:rPr>
          <w:rFonts w:ascii="Times New Roman" w:hAnsi="Times New Roman"/>
          <w:noProof/>
          <w:sz w:val="24"/>
        </w:rPr>
        <w:t>е на ЕС. Това повдига въпроса дали въвеждането на стандартизиран продукт, например чрез общоевропейски или „29-и“ режим, и премахването на препятствията пред трансграничния достъп биха могли евентуално да укрепят единния пазар на лични пенсионни спестявани</w:t>
      </w:r>
      <w:r>
        <w:rPr>
          <w:rFonts w:ascii="Times New Roman" w:hAnsi="Times New Roman"/>
          <w:noProof/>
          <w:sz w:val="24"/>
        </w:rPr>
        <w:t xml:space="preserve">я. Всички промени ще трябва да осигурят ефективна степен на защита на потребителите, като същевременно се подобри покритието и се предприемат подходящи мерки за сигурността на спестяванията. </w:t>
      </w:r>
    </w:p>
    <w:p w:rsidR="005E5425" w:rsidRDefault="004916DA">
      <w:pPr>
        <w:spacing w:line="240" w:lineRule="auto"/>
        <w:jc w:val="both"/>
        <w:rPr>
          <w:rFonts w:ascii="Times New Roman" w:hAnsi="Times New Roman"/>
          <w:noProof/>
          <w:sz w:val="24"/>
          <w:szCs w:val="24"/>
        </w:rPr>
      </w:pPr>
      <w:r>
        <w:rPr>
          <w:rFonts w:ascii="Times New Roman" w:hAnsi="Times New Roman"/>
          <w:b/>
          <w:noProof/>
          <w:sz w:val="24"/>
          <w:szCs w:val="24"/>
        </w:rPr>
        <w:t>Дяловото участие и рисковият капитал</w:t>
      </w:r>
      <w:r>
        <w:rPr>
          <w:rFonts w:ascii="Times New Roman" w:hAnsi="Times New Roman"/>
          <w:noProof/>
          <w:sz w:val="24"/>
          <w:szCs w:val="24"/>
        </w:rPr>
        <w:t xml:space="preserve"> играят важна роля в европей</w:t>
      </w:r>
      <w:r>
        <w:rPr>
          <w:rFonts w:ascii="Times New Roman" w:hAnsi="Times New Roman"/>
          <w:noProof/>
          <w:sz w:val="24"/>
          <w:szCs w:val="24"/>
        </w:rPr>
        <w:t>ската икономика като алтернативна форма на финансиране спрямо традиционните банкови заеми или емитирането на дълг или собствен капитал. Пазарите на рисков капитал обаче често не са достатъчно мащабни, като това се отнася не само за фондовите борси, специал</w:t>
      </w:r>
      <w:r>
        <w:rPr>
          <w:rFonts w:ascii="Times New Roman" w:hAnsi="Times New Roman"/>
          <w:noProof/>
          <w:sz w:val="24"/>
          <w:szCs w:val="24"/>
        </w:rPr>
        <w:t>изирани във финансирането на бързо развиващи се дружества, а и за рисковия капитал в началния етап или в етапа на разработване на нови дружества или във високотехнологични дружества. Налице са също така значителни различия в развитието на пазарите на риско</w:t>
      </w:r>
      <w:r>
        <w:rPr>
          <w:rFonts w:ascii="Times New Roman" w:hAnsi="Times New Roman"/>
          <w:noProof/>
          <w:sz w:val="24"/>
          <w:szCs w:val="24"/>
        </w:rPr>
        <w:t>в капитал в отделните държави членки: около 90 % от всички лица, управляващи фондове за рисков капитал, са съсредоточени в осем държави членки</w:t>
      </w:r>
      <w:r>
        <w:rPr>
          <w:rStyle w:val="FootnoteReference"/>
          <w:rFonts w:ascii="Times New Roman" w:hAnsi="Times New Roman"/>
          <w:noProof/>
          <w:sz w:val="24"/>
          <w:szCs w:val="24"/>
        </w:rPr>
        <w:footnoteReference w:id="17"/>
      </w:r>
      <w:r>
        <w:rPr>
          <w:rFonts w:ascii="Times New Roman" w:hAnsi="Times New Roman"/>
          <w:noProof/>
          <w:sz w:val="24"/>
          <w:szCs w:val="24"/>
        </w:rPr>
        <w:t>.</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В някои държави членки фондовете за рисков капитал не успяват да достигнат необходимия им размер за разпределян</w:t>
      </w:r>
      <w:r>
        <w:rPr>
          <w:rFonts w:ascii="Times New Roman" w:hAnsi="Times New Roman"/>
          <w:noProof/>
          <w:sz w:val="24"/>
        </w:rPr>
        <w:t xml:space="preserve">е на портфейлния риск. Сред главните причини са липсата на култура на капиталови инвестиции, недостатъчната информация, разпокъсаността на пазара и високите разходи.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С цел да насърчи предоставянето при определени условия на новосъздадени или социални друж</w:t>
      </w:r>
      <w:r>
        <w:rPr>
          <w:rFonts w:ascii="Times New Roman" w:hAnsi="Times New Roman"/>
          <w:noProof/>
          <w:sz w:val="24"/>
        </w:rPr>
        <w:t>ества на рисков капитал под формата на дялово участие или заеми, през 2013 г. ЕС прие регламенти относно Европейските фондове за рисков капитал (EuVECA)</w:t>
      </w:r>
      <w:r>
        <w:rPr>
          <w:rStyle w:val="FootnoteReference"/>
          <w:rFonts w:ascii="Times New Roman" w:hAnsi="Times New Roman"/>
          <w:noProof/>
          <w:sz w:val="24"/>
        </w:rPr>
        <w:footnoteReference w:id="18"/>
      </w:r>
      <w:r>
        <w:rPr>
          <w:rFonts w:ascii="Times New Roman" w:hAnsi="Times New Roman"/>
          <w:noProof/>
          <w:sz w:val="24"/>
        </w:rPr>
        <w:t xml:space="preserve"> и Европейските фондове за социално предприемачество (EuSEF)</w:t>
      </w:r>
      <w:r>
        <w:rPr>
          <w:rStyle w:val="FootnoteReference"/>
          <w:rFonts w:ascii="Times New Roman" w:hAnsi="Times New Roman"/>
          <w:noProof/>
          <w:sz w:val="24"/>
        </w:rPr>
        <w:footnoteReference w:id="19"/>
      </w:r>
      <w:r>
        <w:rPr>
          <w:rFonts w:ascii="Times New Roman" w:hAnsi="Times New Roman"/>
          <w:noProof/>
          <w:sz w:val="24"/>
        </w:rPr>
        <w:t>. Резултатите до момента са окуражаващи, н</w:t>
      </w:r>
      <w:r>
        <w:rPr>
          <w:rFonts w:ascii="Times New Roman" w:hAnsi="Times New Roman"/>
          <w:noProof/>
          <w:sz w:val="24"/>
        </w:rPr>
        <w:t>о има потенциал за по-нататъшно развитие. Вероятно е редица пречки да възпрепятстват популяризирането на тези фондове.  Особена загриженост поражда фактът, че управители, чийто портфейл надхвърля 500 милиона евро, не могат нито да създават и управляват так</w:t>
      </w:r>
      <w:r>
        <w:rPr>
          <w:rFonts w:ascii="Times New Roman" w:hAnsi="Times New Roman"/>
          <w:noProof/>
          <w:sz w:val="24"/>
        </w:rPr>
        <w:t xml:space="preserve">ъв фонд, нито да използват тези наименования и да предлагат фондовете в ЕС.  Разширяването на кръга на участниците на пазара потенциално би могло да увеличи броя на наличните EuVECA и EuSEF. </w:t>
      </w:r>
    </w:p>
    <w:p w:rsidR="005E5425" w:rsidRDefault="004916DA">
      <w:pPr>
        <w:spacing w:line="240" w:lineRule="auto"/>
        <w:jc w:val="both"/>
        <w:rPr>
          <w:rFonts w:ascii="Times New Roman" w:hAnsi="Times New Roman"/>
          <w:b/>
          <w:noProof/>
          <w:sz w:val="24"/>
          <w:szCs w:val="24"/>
        </w:rPr>
      </w:pPr>
      <w:r>
        <w:rPr>
          <w:rFonts w:ascii="Times New Roman" w:hAnsi="Times New Roman"/>
          <w:noProof/>
          <w:sz w:val="24"/>
          <w:szCs w:val="24"/>
        </w:rPr>
        <w:t>Публичното финансиране също може да играе роля, тъй като областн</w:t>
      </w:r>
      <w:r>
        <w:rPr>
          <w:rFonts w:ascii="Times New Roman" w:hAnsi="Times New Roman"/>
          <w:noProof/>
          <w:sz w:val="24"/>
          <w:szCs w:val="24"/>
        </w:rPr>
        <w:t>ата администрация в редица държави членки е сред значимите вложители в рисков капитал. Финансовите инструменти на ЕС като Рамковата програма за конкурентоспособност и иновации (ПКИ), европейските структурни и инвестиционни фондове (ЕСИФ)</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и финансирането с</w:t>
      </w:r>
      <w:r>
        <w:rPr>
          <w:rFonts w:ascii="Times New Roman" w:hAnsi="Times New Roman"/>
          <w:noProof/>
          <w:sz w:val="24"/>
          <w:szCs w:val="24"/>
        </w:rPr>
        <w:t xml:space="preserve"> капиталови инструменти по линия на програмите на структурните фондове позволиха мобилизирането на рисков капитал за МСП. Програмата на ЕС за конкурентоспособност на МСП (COSME)</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и програмата „Хоризонт 2020“ се основават на този успех. Освен това, през юли</w:t>
      </w:r>
      <w:r>
        <w:rPr>
          <w:rFonts w:ascii="Times New Roman" w:hAnsi="Times New Roman"/>
          <w:noProof/>
          <w:sz w:val="24"/>
          <w:szCs w:val="24"/>
        </w:rPr>
        <w:t xml:space="preserve"> 2014 г. бяха изменени нормите относно държавната помощ, за да се даде възможност за повече държавна намеса, когато е необходимо, в развитието на пазара на финансиране с рисков капитал и за подобряване на достъпа на МСП и малките или иновационните дружеств</w:t>
      </w:r>
      <w:r>
        <w:rPr>
          <w:rFonts w:ascii="Times New Roman" w:hAnsi="Times New Roman"/>
          <w:noProof/>
          <w:sz w:val="24"/>
          <w:szCs w:val="24"/>
        </w:rPr>
        <w:t>а със средна капитализация</w:t>
      </w:r>
      <w:r>
        <w:rPr>
          <w:rStyle w:val="FootnoteReference"/>
          <w:rFonts w:ascii="Times New Roman" w:hAnsi="Times New Roman"/>
          <w:noProof/>
          <w:sz w:val="24"/>
          <w:szCs w:val="24"/>
        </w:rPr>
        <w:footnoteReference w:id="22"/>
      </w:r>
      <w:r>
        <w:rPr>
          <w:rFonts w:ascii="Times New Roman" w:hAnsi="Times New Roman"/>
          <w:noProof/>
          <w:sz w:val="24"/>
          <w:szCs w:val="24"/>
        </w:rPr>
        <w:t>.</w:t>
      </w:r>
      <w:r>
        <w:rPr>
          <w:rFonts w:ascii="Times New Roman" w:hAnsi="Times New Roman"/>
          <w:noProof/>
          <w:sz w:val="24"/>
        </w:rPr>
        <w:t xml:space="preserve"> Въпросът е как да се увеличи размерът на фондовете за рисков капитал и как публичното и частното финансиране могат заедно да допринесат за това.</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Липсата на възможности за изход за инвеститорите могат също да бъдат пречка за раз</w:t>
      </w:r>
      <w:r>
        <w:rPr>
          <w:rFonts w:ascii="Times New Roman" w:hAnsi="Times New Roman"/>
          <w:noProof/>
          <w:sz w:val="24"/>
        </w:rPr>
        <w:t>витието на финансирането с рисков капитал. Комисията би желала да узнае дали могат да бъдат взети мерки за създаването на по-благоприятна среда за бизнес ангелите</w:t>
      </w:r>
      <w:r>
        <w:rPr>
          <w:rStyle w:val="FootnoteReference"/>
          <w:rFonts w:ascii="Times New Roman" w:hAnsi="Times New Roman"/>
          <w:noProof/>
          <w:sz w:val="24"/>
        </w:rPr>
        <w:footnoteReference w:id="23"/>
      </w:r>
      <w:r>
        <w:rPr>
          <w:rFonts w:ascii="Times New Roman" w:hAnsi="Times New Roman"/>
          <w:noProof/>
          <w:sz w:val="24"/>
        </w:rPr>
        <w:t xml:space="preserve">, рисковия капитал и </w:t>
      </w:r>
      <w:r>
        <w:rPr>
          <w:rFonts w:ascii="Times New Roman" w:hAnsi="Times New Roman"/>
          <w:b/>
          <w:noProof/>
          <w:sz w:val="24"/>
        </w:rPr>
        <w:t>публични емисии на нови акции</w:t>
      </w:r>
      <w:r>
        <w:rPr>
          <w:rFonts w:ascii="Times New Roman" w:hAnsi="Times New Roman"/>
          <w:noProof/>
          <w:sz w:val="24"/>
        </w:rPr>
        <w:t>, за да се осигурят по-добри стратегии за и</w:t>
      </w:r>
      <w:r>
        <w:rPr>
          <w:rFonts w:ascii="Times New Roman" w:hAnsi="Times New Roman"/>
          <w:noProof/>
          <w:sz w:val="24"/>
        </w:rPr>
        <w:t>зход за инвеститорите и да се насърчи предлагането на рисков капитал на новосъздадените дружества.</w:t>
      </w:r>
    </w:p>
    <w:p w:rsidR="005E5425" w:rsidRDefault="004916DA">
      <w:pPr>
        <w:spacing w:line="240" w:lineRule="auto"/>
        <w:jc w:val="both"/>
        <w:rPr>
          <w:rFonts w:ascii="Times New Roman" w:hAnsi="Times New Roman"/>
          <w:b/>
          <w:noProof/>
          <w:sz w:val="24"/>
          <w:szCs w:val="24"/>
        </w:rPr>
      </w:pPr>
      <w:r>
        <w:rPr>
          <w:rFonts w:ascii="Times New Roman" w:hAnsi="Times New Roman"/>
          <w:noProof/>
          <w:sz w:val="24"/>
        </w:rPr>
        <w:t>Банките вероятно ще продължат да бъдат ключови участници в капиталовите пазари като емитенти, инвеститори и посредници, както и да играят основна роля при кр</w:t>
      </w:r>
      <w:r>
        <w:rPr>
          <w:rFonts w:ascii="Times New Roman" w:hAnsi="Times New Roman"/>
          <w:noProof/>
          <w:sz w:val="24"/>
        </w:rPr>
        <w:t xml:space="preserve">едитното посредничество чрез дейността си по финансиране и предоставяне на информация. Същевременно възникват нови технологии и бизнес модели като например кредитирането между физически лица чрез специализирани платформи или други форми на небанково пряко </w:t>
      </w:r>
      <w:r>
        <w:rPr>
          <w:rFonts w:ascii="Times New Roman" w:hAnsi="Times New Roman"/>
          <w:noProof/>
          <w:sz w:val="24"/>
        </w:rPr>
        <w:t>кредитиране, които предлагат финансиране на МСП и новосъздадените дружества. Комисията търси да получи становища за това дали съществуват значителни входни пазарни бариери за предоставянето и разгръщането на тези услуги успоредно с банковото кредитиране.</w:t>
      </w:r>
    </w:p>
    <w:p w:rsidR="005E5425" w:rsidRDefault="005E5425">
      <w:pPr>
        <w:spacing w:line="240" w:lineRule="auto"/>
        <w:jc w:val="both"/>
        <w:rPr>
          <w:rFonts w:ascii="Times New Roman" w:hAnsi="Times New Roman"/>
          <w:b/>
          <w:noProof/>
          <w:sz w:val="24"/>
          <w:szCs w:val="24"/>
        </w:rPr>
      </w:pP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bCs/>
          <w:i/>
          <w:iCs/>
          <w:noProof/>
          <w:sz w:val="24"/>
          <w:szCs w:val="24"/>
        </w:rPr>
      </w:pPr>
      <w:r>
        <w:rPr>
          <w:rFonts w:ascii="Times New Roman" w:hAnsi="Times New Roman"/>
          <w:i/>
          <w:noProof/>
          <w:sz w:val="24"/>
        </w:rPr>
        <w:t>Въпроси</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eastAsia="Times New Roman" w:hAnsi="Times New Roman"/>
          <w:i/>
          <w:noProof/>
          <w:color w:val="000000"/>
          <w:sz w:val="24"/>
          <w:szCs w:val="24"/>
        </w:rPr>
      </w:pPr>
      <w:r>
        <w:rPr>
          <w:rFonts w:ascii="Times New Roman" w:hAnsi="Times New Roman"/>
          <w:i/>
          <w:noProof/>
          <w:color w:val="000000"/>
          <w:sz w:val="24"/>
        </w:rPr>
        <w:t>10) Какви мерки биха могли да стимулират институционалните инвеститори да набират и инвестират повече средства и в по-широк спектър от активи, в частност — дългосрочни проекти, МСП и иновационни и бързо развиващи се новосъздадени дружества?</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bCs/>
          <w:i/>
          <w:iCs/>
          <w:noProof/>
          <w:sz w:val="24"/>
          <w:szCs w:val="24"/>
        </w:rPr>
      </w:pPr>
      <w:r>
        <w:rPr>
          <w:rFonts w:ascii="Times New Roman" w:hAnsi="Times New Roman"/>
          <w:i/>
          <w:noProof/>
          <w:sz w:val="24"/>
        </w:rPr>
        <w:t>11) Как</w:t>
      </w:r>
      <w:r>
        <w:rPr>
          <w:rFonts w:ascii="Times New Roman" w:hAnsi="Times New Roman"/>
          <w:i/>
          <w:noProof/>
          <w:sz w:val="24"/>
        </w:rPr>
        <w:t>ви мерки биха могли да се предприемат за намаляване на разходите на управителите на фондове за създаването на фондове и предлагането им в ЕС? Какви са пречките, които затрудняват фондовете да се възползват от икономии от мащаба?</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bCs/>
          <w:i/>
          <w:iCs/>
          <w:noProof/>
          <w:sz w:val="24"/>
          <w:szCs w:val="24"/>
        </w:rPr>
      </w:pPr>
      <w:r>
        <w:rPr>
          <w:rFonts w:ascii="Times New Roman" w:hAnsi="Times New Roman"/>
          <w:i/>
          <w:noProof/>
          <w:sz w:val="24"/>
        </w:rPr>
        <w:t>12) Дали работата върху ада</w:t>
      </w:r>
      <w:r>
        <w:rPr>
          <w:rFonts w:ascii="Times New Roman" w:hAnsi="Times New Roman"/>
          <w:i/>
          <w:noProof/>
          <w:sz w:val="24"/>
        </w:rPr>
        <w:t>птираното третиране на инфраструктурните инвестиции следва да визира някои ясно разграничими подкласове активи? Ако това е така, на кои от тях Комисията следва да даде приоритет в бъдещите преразглеждания на пруденциалните норми като ДКИIV/РКИ и „Платежосп</w:t>
      </w:r>
      <w:r>
        <w:rPr>
          <w:rFonts w:ascii="Times New Roman" w:hAnsi="Times New Roman"/>
          <w:i/>
          <w:noProof/>
          <w:sz w:val="24"/>
        </w:rPr>
        <w:t>особност II“?</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i/>
          <w:noProof/>
          <w:sz w:val="24"/>
          <w:szCs w:val="24"/>
        </w:rPr>
      </w:pPr>
      <w:r>
        <w:rPr>
          <w:rFonts w:ascii="Times New Roman" w:hAnsi="Times New Roman"/>
          <w:i/>
          <w:noProof/>
          <w:sz w:val="24"/>
        </w:rPr>
        <w:t>13) Ще засили ли единния пазар на пенсионно осигуряване въвеждането на стандартизиран продукт или премахването на съществуващите пречки пред трансграничния достъп?</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bCs/>
          <w:i/>
          <w:iCs/>
          <w:noProof/>
          <w:sz w:val="24"/>
          <w:szCs w:val="24"/>
        </w:rPr>
      </w:pPr>
      <w:r>
        <w:rPr>
          <w:rFonts w:ascii="Times New Roman" w:hAnsi="Times New Roman"/>
          <w:i/>
          <w:noProof/>
          <w:sz w:val="24"/>
        </w:rPr>
        <w:t xml:space="preserve">14) Дали промените в регламентите относно EuVECA и EuSEF ще улеснят дейността </w:t>
      </w:r>
      <w:r>
        <w:rPr>
          <w:rFonts w:ascii="Times New Roman" w:hAnsi="Times New Roman"/>
          <w:i/>
          <w:noProof/>
          <w:sz w:val="24"/>
        </w:rPr>
        <w:t>на лицата, управляващи по-големи фондове в ЕС? Какви други промени следва евентуално да се направят, за да се увеличи броят на тези видове фондове?</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bCs/>
          <w:i/>
          <w:iCs/>
          <w:noProof/>
          <w:sz w:val="24"/>
          <w:szCs w:val="24"/>
        </w:rPr>
      </w:pPr>
      <w:r>
        <w:rPr>
          <w:rFonts w:ascii="Times New Roman" w:hAnsi="Times New Roman"/>
          <w:i/>
          <w:noProof/>
          <w:sz w:val="24"/>
        </w:rPr>
        <w:t>15) Как ЕС може допълнително да развие поемането на дялово участие и рисковия капитал като алтернативни изто</w:t>
      </w:r>
      <w:r>
        <w:rPr>
          <w:rFonts w:ascii="Times New Roman" w:hAnsi="Times New Roman"/>
          <w:i/>
          <w:noProof/>
          <w:sz w:val="24"/>
        </w:rPr>
        <w:t xml:space="preserve">чници на финансиране на икономиката? По-специално, какви мерки биха спомогнали за увеличаване размера на фондовете за рисков капитал и биха разширили възможностите за изход за инвеститорите в рисков капитал? </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i/>
          <w:noProof/>
          <w:sz w:val="24"/>
        </w:rPr>
        <w:t xml:space="preserve">16) Има ли пречки пред безопасното увеличаване </w:t>
      </w:r>
      <w:r>
        <w:rPr>
          <w:rFonts w:ascii="Times New Roman" w:hAnsi="Times New Roman"/>
          <w:i/>
          <w:noProof/>
          <w:sz w:val="24"/>
        </w:rPr>
        <w:t>на прякото банково и небанково кредитиране на дружествата, които се нуждаят от финансиране?</w:t>
      </w:r>
    </w:p>
    <w:p w:rsidR="005E5425" w:rsidRDefault="005E5425">
      <w:pPr>
        <w:spacing w:line="240" w:lineRule="auto"/>
        <w:jc w:val="both"/>
        <w:rPr>
          <w:rFonts w:ascii="Times New Roman" w:hAnsi="Times New Roman"/>
          <w:i/>
          <w:noProof/>
          <w:sz w:val="24"/>
          <w:szCs w:val="24"/>
        </w:rPr>
      </w:pP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Насърчаване на индивидуалните инвеститори</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Индивидуалните инвеститори в ЕС не са твърде склонни да инвестират пряко на капиталовите пазари; повечето предпочитат кол</w:t>
      </w:r>
      <w:r>
        <w:rPr>
          <w:rFonts w:ascii="Times New Roman" w:hAnsi="Times New Roman"/>
          <w:noProof/>
          <w:sz w:val="24"/>
        </w:rPr>
        <w:t>ективните инвестиционни механизми. От друга страна европейските домакинства имат значителни банкови спестявания, които в някои случаи могат да се използват по-продуктивно. Намаляващите лихвени проценти по депозитите могат да стимулират домакинствата да пре</w:t>
      </w:r>
      <w:r>
        <w:rPr>
          <w:rFonts w:ascii="Times New Roman" w:hAnsi="Times New Roman"/>
          <w:noProof/>
          <w:sz w:val="24"/>
        </w:rPr>
        <w:t xml:space="preserve">насочат повече финансови средства от банките към котираните ценни книжа.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Продуктите на взаимните фондове като ПКИПЦК са популярни сред индивидуалните инвеститори механизми за инвестиране на капиталовите пазари. Въпреки това степента на пряко участие в ПКИ</w:t>
      </w:r>
      <w:r>
        <w:rPr>
          <w:rFonts w:ascii="Times New Roman" w:hAnsi="Times New Roman"/>
          <w:noProof/>
          <w:sz w:val="24"/>
        </w:rPr>
        <w:t>ПЦК от страна на индивидуалните инвеститори все още е относително ниска: през 2013 г. делът на частните домакинства в притежаването на инвестиционни фондове в еврозоната е бил едва 26 %</w:t>
      </w:r>
      <w:r>
        <w:rPr>
          <w:rStyle w:val="FootnoteReference"/>
          <w:rFonts w:ascii="Times New Roman" w:hAnsi="Times New Roman"/>
          <w:noProof/>
          <w:sz w:val="24"/>
        </w:rPr>
        <w:footnoteReference w:id="24"/>
      </w:r>
      <w:r>
        <w:rPr>
          <w:rFonts w:ascii="Times New Roman" w:hAnsi="Times New Roman"/>
          <w:noProof/>
          <w:sz w:val="24"/>
        </w:rPr>
        <w:t>. В стремежа си да осигури по-широк избор на продукти на инвестиционни</w:t>
      </w:r>
      <w:r>
        <w:rPr>
          <w:rFonts w:ascii="Times New Roman" w:hAnsi="Times New Roman"/>
          <w:noProof/>
          <w:sz w:val="24"/>
        </w:rPr>
        <w:t xml:space="preserve">те фондове и по-голяма конкуренция, Комисията се интересува от виждания за начините за насърчаване на трансграничното участие на индивидуалните инвеститори в ПКИПЦК.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Индивидуалните инвеститори ще бъдат склонни да инвестират на капиталови пазари само ако и</w:t>
      </w:r>
      <w:r>
        <w:rPr>
          <w:rFonts w:ascii="Times New Roman" w:hAnsi="Times New Roman"/>
          <w:noProof/>
          <w:sz w:val="24"/>
        </w:rPr>
        <w:t>мат доверие както в тях, така и в осъществяващите дейност на тях финансови посредници, а също така и ако смятат, че могат безопасно да получат по-добра възвращаемост от спестяванията си. Възстановяването на инвеститорското доверие е основна отговорност и з</w:t>
      </w:r>
      <w:r>
        <w:rPr>
          <w:rFonts w:ascii="Times New Roman" w:hAnsi="Times New Roman"/>
          <w:noProof/>
          <w:sz w:val="24"/>
        </w:rPr>
        <w:t>адача на финансовия сектор. От своя страна, повишаването на финансовата грамотност би позволило на потребителите по-ефективно и лесно да избират и съпоставят финансови продукти. В подкрепа на тази цел — повишаване на финансовата грамотност и подобряване на</w:t>
      </w:r>
      <w:r>
        <w:rPr>
          <w:rFonts w:ascii="Times New Roman" w:hAnsi="Times New Roman"/>
          <w:noProof/>
          <w:sz w:val="24"/>
        </w:rPr>
        <w:t xml:space="preserve"> обучението в тази област — са въведени редица национални програми, както и проектът на ЕС „Школа за потребителите“ („Consumer Classroom“).  В някои случаи полезни за потребителите биха могли да бъдат и наличните в някои държави членки по-стандартизирани и</w:t>
      </w:r>
      <w:r>
        <w:rPr>
          <w:rFonts w:ascii="Times New Roman" w:hAnsi="Times New Roman"/>
          <w:noProof/>
          <w:sz w:val="24"/>
        </w:rPr>
        <w:t xml:space="preserve"> по-прости финансови продукти.</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Нормативната уредба и надзорът са сред средствата за спечелване на инвеститорското доверие, поради което с Директивата за пазарите на финансови инструменти II</w:t>
      </w:r>
      <w:r>
        <w:rPr>
          <w:rStyle w:val="FootnoteReference"/>
          <w:rFonts w:ascii="Times New Roman" w:hAnsi="Times New Roman"/>
          <w:noProof/>
          <w:sz w:val="24"/>
        </w:rPr>
        <w:footnoteReference w:id="25"/>
      </w:r>
      <w:r>
        <w:rPr>
          <w:rFonts w:ascii="Times New Roman" w:hAnsi="Times New Roman"/>
          <w:noProof/>
          <w:sz w:val="24"/>
        </w:rPr>
        <w:t xml:space="preserve"> и други разпоредби Европейският орган за ценни книжа и пазари (ES</w:t>
      </w:r>
      <w:r>
        <w:rPr>
          <w:rFonts w:ascii="Times New Roman" w:hAnsi="Times New Roman"/>
          <w:noProof/>
          <w:sz w:val="24"/>
        </w:rPr>
        <w:t>MA) и Европейският орган за застраховане и професионално пенсионно осигуряване (EIOPA) получиха по-големи правомощия за инвеститорска защита. Както бе споменато в неотдавнашния преглед на Комисията на Европейските надзорни органи (ЕНО)</w:t>
      </w:r>
      <w:r>
        <w:rPr>
          <w:rStyle w:val="FootnoteReference"/>
          <w:rFonts w:ascii="Times New Roman" w:hAnsi="Times New Roman"/>
          <w:noProof/>
          <w:sz w:val="24"/>
        </w:rPr>
        <w:footnoteReference w:id="26"/>
      </w:r>
      <w:r>
        <w:rPr>
          <w:rFonts w:ascii="Times New Roman" w:hAnsi="Times New Roman"/>
          <w:noProof/>
          <w:sz w:val="24"/>
        </w:rPr>
        <w:t xml:space="preserve">, техните мандати в </w:t>
      </w:r>
      <w:r>
        <w:rPr>
          <w:rFonts w:ascii="Times New Roman" w:hAnsi="Times New Roman"/>
          <w:noProof/>
          <w:sz w:val="24"/>
        </w:rPr>
        <w:t>областта на потребителската/инвеститорската защита биха могли, където е необходимо, да бъдат изяснени и засилени.</w:t>
      </w:r>
    </w:p>
    <w:p w:rsidR="005E5425" w:rsidRDefault="004916DA">
      <w:pPr>
        <w:spacing w:line="240" w:lineRule="auto"/>
        <w:jc w:val="both"/>
        <w:rPr>
          <w:rFonts w:ascii="Times New Roman" w:hAnsi="Times New Roman"/>
          <w:noProof/>
          <w:sz w:val="24"/>
          <w:szCs w:val="24"/>
        </w:rPr>
      </w:pPr>
      <w:r>
        <w:rPr>
          <w:rFonts w:ascii="Times New Roman" w:hAnsi="Times New Roman"/>
          <w:b/>
          <w:noProof/>
          <w:sz w:val="24"/>
          <w:szCs w:val="24"/>
        </w:rPr>
        <w:t>Повишаването на трансграничната конкуренция при финансовите услуги за физически лица</w:t>
      </w:r>
      <w:r>
        <w:rPr>
          <w:rFonts w:ascii="Times New Roman" w:hAnsi="Times New Roman"/>
          <w:noProof/>
          <w:sz w:val="24"/>
          <w:szCs w:val="24"/>
        </w:rPr>
        <w:t xml:space="preserve"> би могло да доведе до по-голям избор, по-ниски цени и по-</w:t>
      </w:r>
      <w:r>
        <w:rPr>
          <w:rFonts w:ascii="Times New Roman" w:hAnsi="Times New Roman"/>
          <w:noProof/>
          <w:sz w:val="24"/>
          <w:szCs w:val="24"/>
        </w:rPr>
        <w:t>добри услуги. Финансовите услуги, предоставяни чрез електронни и мобилни средства, потенциално биха могли да допринесат за тази цел, при условие че чрез подходяща защита бъдат преодолени опасенията за измами, пиратство и пране на пари, като същевременно не</w:t>
      </w:r>
      <w:r>
        <w:rPr>
          <w:rFonts w:ascii="Times New Roman" w:hAnsi="Times New Roman"/>
          <w:noProof/>
          <w:sz w:val="24"/>
          <w:szCs w:val="24"/>
        </w:rPr>
        <w:t xml:space="preserve"> бъде утежнено използването им от клиентите. Комисията ще започне подготвителна работа за начините, по който единният пазар на финансови услуги за физически лица може да стане по-полезен за потребителите.</w:t>
      </w:r>
    </w:p>
    <w:p w:rsidR="005E5425" w:rsidRDefault="005E5425">
      <w:pPr>
        <w:spacing w:line="240" w:lineRule="auto"/>
        <w:jc w:val="both"/>
        <w:rPr>
          <w:rFonts w:ascii="Times New Roman" w:hAnsi="Times New Roman"/>
          <w:noProof/>
          <w:sz w:val="24"/>
          <w:szCs w:val="24"/>
        </w:rPr>
      </w:pP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Въпроси</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 xml:space="preserve">17) Как може да се повиши трансграничното </w:t>
      </w:r>
      <w:r>
        <w:rPr>
          <w:rFonts w:ascii="Times New Roman" w:hAnsi="Times New Roman"/>
          <w:i/>
          <w:noProof/>
          <w:sz w:val="24"/>
        </w:rPr>
        <w:t>участие на индивидуалните инвеститори в ПКИПЦК?</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 xml:space="preserve">18) Как ЕНО могат допълнително да подпомогнат осигуряването на потребителска и инвеститорска защита? </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i/>
          <w:noProof/>
          <w:sz w:val="24"/>
          <w:szCs w:val="24"/>
        </w:rPr>
      </w:pPr>
      <w:r>
        <w:rPr>
          <w:rFonts w:ascii="Times New Roman" w:hAnsi="Times New Roman"/>
          <w:i/>
          <w:noProof/>
          <w:sz w:val="24"/>
        </w:rPr>
        <w:t>19) Какви мерки биха довели до увеличаване на инвестициите от индивидуалните инвеститори? Какво още може д</w:t>
      </w:r>
      <w:r>
        <w:rPr>
          <w:rFonts w:ascii="Times New Roman" w:hAnsi="Times New Roman"/>
          <w:i/>
          <w:noProof/>
          <w:sz w:val="24"/>
        </w:rPr>
        <w:t>а се направи за осигуряването на гражданите на ЕС на достъп до капиталовите пазари и същевременно — на защита?</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bCs/>
          <w:i/>
          <w:noProof/>
          <w:sz w:val="24"/>
          <w:szCs w:val="24"/>
        </w:rPr>
      </w:pPr>
      <w:r>
        <w:rPr>
          <w:rFonts w:ascii="Times New Roman" w:hAnsi="Times New Roman"/>
          <w:i/>
          <w:noProof/>
          <w:sz w:val="24"/>
        </w:rPr>
        <w:t>20) Познавате ли национални най-добри практики в разработването на прости и прозрачни инвестиционни продукти за потребителите, които могат да бъд</w:t>
      </w:r>
      <w:r>
        <w:rPr>
          <w:rFonts w:ascii="Times New Roman" w:hAnsi="Times New Roman"/>
          <w:i/>
          <w:noProof/>
          <w:sz w:val="24"/>
        </w:rPr>
        <w:t>ат споделени?</w:t>
      </w:r>
    </w:p>
    <w:p w:rsidR="005E5425" w:rsidRDefault="005E5425">
      <w:pPr>
        <w:spacing w:line="240" w:lineRule="auto"/>
        <w:jc w:val="both"/>
        <w:rPr>
          <w:rFonts w:ascii="Times New Roman" w:hAnsi="Times New Roman"/>
          <w:b/>
          <w:i/>
          <w:noProof/>
          <w:sz w:val="24"/>
          <w:szCs w:val="24"/>
        </w:rPr>
      </w:pPr>
    </w:p>
    <w:p w:rsidR="005E5425" w:rsidRDefault="004916DA">
      <w:pPr>
        <w:spacing w:line="240" w:lineRule="auto"/>
        <w:jc w:val="both"/>
        <w:rPr>
          <w:rFonts w:ascii="Times New Roman" w:hAnsi="Times New Roman"/>
          <w:b/>
          <w:i/>
          <w:noProof/>
          <w:sz w:val="24"/>
          <w:szCs w:val="24"/>
        </w:rPr>
      </w:pPr>
      <w:r>
        <w:rPr>
          <w:rFonts w:ascii="Times New Roman" w:hAnsi="Times New Roman"/>
          <w:b/>
          <w:i/>
          <w:noProof/>
          <w:sz w:val="24"/>
        </w:rPr>
        <w:t>Привличане на чуждестранни инвестиции</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За да привличат чуждестранни инвестиции европейските капиталови пазари трябва да бъдат отворени и конкурентоспособни в световен мащаб, добре регламентирани и интегрирани, което означава, че трябва да бъд</w:t>
      </w:r>
      <w:r>
        <w:rPr>
          <w:rFonts w:ascii="Times New Roman" w:hAnsi="Times New Roman"/>
          <w:noProof/>
          <w:sz w:val="24"/>
        </w:rPr>
        <w:t>ат съхранени високите стандарти на ЕС за гарантиране на лоялни пазарни отношения, финансова стабилност и инвеститорска защита. Глобалният характер на капиталовите пазари налага при изграждането на съюза на капиталовите пазари да бъде отчетен международният</w:t>
      </w:r>
      <w:r>
        <w:rPr>
          <w:rFonts w:ascii="Times New Roman" w:hAnsi="Times New Roman"/>
          <w:noProof/>
          <w:sz w:val="24"/>
        </w:rPr>
        <w:t xml:space="preserve"> компонент.</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Посткризисното намаляване на брутните капиталови потоци засегна всички региони, но най-значителният спад на входящите и изходящите потоци на брутен капитал като процент от БВП бе отбелязан в ЕС (и по-специално в еврозоната). През 2013 г. всички</w:t>
      </w:r>
      <w:r>
        <w:rPr>
          <w:rFonts w:ascii="Times New Roman" w:hAnsi="Times New Roman"/>
          <w:noProof/>
          <w:sz w:val="24"/>
        </w:rPr>
        <w:t xml:space="preserve"> компоненти на брутните притоци на капитал (портфейлни инвестиции, преки чуждестранни инвестиции и кредитиране с банково посредничество) бяха по-ниски, отколкото през 2007 г.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По данни на Международния валутен фонд (МВФ), в края на 2013 г. общият размер на глобалните трансгранични портфейлни инвестиции е възлизал на 25 трилиона евро. От своя страна, общият размер на трансграничните портфейлни инвестиции между държавите членки на</w:t>
      </w:r>
      <w:r>
        <w:rPr>
          <w:rFonts w:ascii="Times New Roman" w:hAnsi="Times New Roman"/>
          <w:noProof/>
          <w:sz w:val="24"/>
        </w:rPr>
        <w:t xml:space="preserve"> ЕС е бил 9,6 трилиона евро, а портфейлните инвестиции от държави извън ЕС са възлезли на 5 трилиона евро. Това означава, че е налице голям потенциал за привличане на допълнителни инвестиции от трети държави под формата на капиталови и дългови инструменти.</w:t>
      </w:r>
      <w:r>
        <w:rPr>
          <w:rFonts w:ascii="Times New Roman" w:hAnsi="Times New Roman"/>
          <w:noProof/>
          <w:sz w:val="24"/>
        </w:rPr>
        <w:t xml:space="preserve">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Политиката на ЕС в областта на международната търговия и инвестициите</w:t>
      </w:r>
      <w:r>
        <w:rPr>
          <w:rStyle w:val="FootnoteReference"/>
          <w:rFonts w:ascii="Times New Roman" w:hAnsi="Times New Roman"/>
          <w:noProof/>
          <w:sz w:val="24"/>
        </w:rPr>
        <w:footnoteReference w:id="27"/>
      </w:r>
      <w:r>
        <w:rPr>
          <w:rFonts w:ascii="Times New Roman" w:hAnsi="Times New Roman"/>
          <w:noProof/>
          <w:sz w:val="24"/>
        </w:rPr>
        <w:t xml:space="preserve"> трябва да играе важна роля в подкрепянето на международните инвестиции. С международните търговски и инвестиционни споразумения се либерализира движението на капитали, регламентират с</w:t>
      </w:r>
      <w:r>
        <w:rPr>
          <w:rFonts w:ascii="Times New Roman" w:hAnsi="Times New Roman"/>
          <w:noProof/>
          <w:sz w:val="24"/>
        </w:rPr>
        <w:t>е достъпът до пазара и инвестициите, включително предоставянето на финансови услуги, и се допринася за осигуряването на подходяща степен на защита на инвеститорите в Европа и равни условия на конкуренция в ЕС</w:t>
      </w:r>
      <w:r>
        <w:rPr>
          <w:rStyle w:val="FootnoteReference"/>
          <w:rFonts w:ascii="Times New Roman" w:hAnsi="Times New Roman"/>
          <w:noProof/>
          <w:sz w:val="24"/>
        </w:rPr>
        <w:footnoteReference w:id="28"/>
      </w:r>
      <w:r>
        <w:rPr>
          <w:rFonts w:ascii="Times New Roman" w:hAnsi="Times New Roman"/>
          <w:noProof/>
          <w:sz w:val="24"/>
        </w:rPr>
        <w:t>. Освен това Комисията има принос в международн</w:t>
      </w:r>
      <w:r>
        <w:rPr>
          <w:rFonts w:ascii="Times New Roman" w:hAnsi="Times New Roman"/>
          <w:noProof/>
          <w:sz w:val="24"/>
        </w:rPr>
        <w:t xml:space="preserve">ите усилия в областта на свободното движение на капитали, например в кодексите на ОИСР за либерализиране на движението на капитали.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Трябва да се улесни прякото предлагане на пазарите в трети държави на инвестиционни фондове и други инвестиционни инструмен</w:t>
      </w:r>
      <w:r>
        <w:rPr>
          <w:rFonts w:ascii="Times New Roman" w:hAnsi="Times New Roman"/>
          <w:noProof/>
          <w:sz w:val="24"/>
        </w:rPr>
        <w:t>ти от ЕС. Това би могло да се постигне, като се снижат бариерите пред достъпа до тези пазари на финансовите институции и услуги от ЕС, включително, когато е целесъобразно, като в бъдещите търговски споразумения се предвиди отваряне на пазарите на трансгран</w:t>
      </w:r>
      <w:r>
        <w:rPr>
          <w:rFonts w:ascii="Times New Roman" w:hAnsi="Times New Roman"/>
          <w:noProof/>
          <w:sz w:val="24"/>
        </w:rPr>
        <w:t>ично управление на активи.</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В този контекст Комисията се интересува от виждания за възможните мерки за повишаване привлекателността на пазара на ЕС за международните инвеститори.</w:t>
      </w:r>
    </w:p>
    <w:p w:rsidR="005E5425" w:rsidRDefault="005E5425">
      <w:pPr>
        <w:spacing w:line="240" w:lineRule="auto"/>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E5425">
        <w:tc>
          <w:tcPr>
            <w:tcW w:w="9288" w:type="dxa"/>
            <w:shd w:val="clear" w:color="auto" w:fill="auto"/>
          </w:tcPr>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Въпроси</w:t>
            </w: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21 Какви евентуални допълнителни действия в областта на регламентиран</w:t>
            </w:r>
            <w:r>
              <w:rPr>
                <w:rFonts w:ascii="Times New Roman" w:hAnsi="Times New Roman"/>
                <w:i/>
                <w:noProof/>
                <w:sz w:val="24"/>
              </w:rPr>
              <w:t>ето на финансовите услуги биха могли да бъдат предприети, за да се осигури конкурентоспособността на ЕС в международен план и привлекателността му за инвеститорите?</w:t>
            </w:r>
          </w:p>
          <w:p w:rsidR="005E5425" w:rsidRDefault="004916DA">
            <w:pPr>
              <w:spacing w:line="240" w:lineRule="auto"/>
              <w:jc w:val="both"/>
              <w:rPr>
                <w:rFonts w:ascii="Times New Roman" w:hAnsi="Times New Roman"/>
                <w:noProof/>
                <w:sz w:val="24"/>
                <w:szCs w:val="24"/>
              </w:rPr>
            </w:pPr>
            <w:r>
              <w:rPr>
                <w:rFonts w:ascii="Times New Roman" w:hAnsi="Times New Roman"/>
                <w:i/>
                <w:noProof/>
                <w:sz w:val="24"/>
              </w:rPr>
              <w:t>22) Какви мерки могат да бъдат взети за улесняване достъпа на дружествата от ЕС до инвестит</w:t>
            </w:r>
            <w:r>
              <w:rPr>
                <w:rFonts w:ascii="Times New Roman" w:hAnsi="Times New Roman"/>
                <w:i/>
                <w:noProof/>
                <w:sz w:val="24"/>
              </w:rPr>
              <w:t xml:space="preserve">орите и капиталовите пазари в трети държави? </w:t>
            </w:r>
          </w:p>
        </w:tc>
      </w:tr>
    </w:tbl>
    <w:p w:rsidR="005E5425" w:rsidRDefault="005E5425">
      <w:pPr>
        <w:spacing w:line="240" w:lineRule="auto"/>
        <w:jc w:val="both"/>
        <w:rPr>
          <w:rFonts w:ascii="Times New Roman" w:hAnsi="Times New Roman"/>
          <w:noProof/>
          <w:sz w:val="24"/>
          <w:szCs w:val="24"/>
        </w:rPr>
      </w:pPr>
    </w:p>
    <w:p w:rsidR="005E5425" w:rsidRDefault="004916DA">
      <w:pPr>
        <w:keepNext/>
        <w:spacing w:line="240" w:lineRule="auto"/>
        <w:jc w:val="both"/>
        <w:rPr>
          <w:rFonts w:ascii="Times New Roman" w:hAnsi="Times New Roman"/>
          <w:b/>
          <w:i/>
          <w:noProof/>
          <w:sz w:val="24"/>
          <w:szCs w:val="24"/>
        </w:rPr>
      </w:pPr>
      <w:r>
        <w:rPr>
          <w:rFonts w:ascii="Times New Roman" w:hAnsi="Times New Roman"/>
          <w:b/>
          <w:i/>
          <w:noProof/>
          <w:sz w:val="24"/>
        </w:rPr>
        <w:t>4.3 Повишаване на пазарната ефективност — посредници, инфраструктура и обща нормативна уредба</w:t>
      </w:r>
    </w:p>
    <w:p w:rsidR="005E5425" w:rsidRDefault="004916DA">
      <w:pPr>
        <w:keepNext/>
        <w:spacing w:line="240" w:lineRule="auto"/>
        <w:jc w:val="both"/>
        <w:rPr>
          <w:rFonts w:ascii="Times New Roman" w:hAnsi="Times New Roman"/>
          <w:i/>
          <w:noProof/>
          <w:sz w:val="24"/>
          <w:szCs w:val="24"/>
        </w:rPr>
      </w:pPr>
      <w:r>
        <w:rPr>
          <w:rFonts w:ascii="Times New Roman" w:hAnsi="Times New Roman"/>
          <w:i/>
          <w:noProof/>
          <w:sz w:val="24"/>
        </w:rPr>
        <w:t>Единни норми, правоприлагане и конкуренция</w:t>
      </w:r>
    </w:p>
    <w:p w:rsidR="005E5425" w:rsidRDefault="004916DA">
      <w:pPr>
        <w:keepNext/>
        <w:spacing w:line="240" w:lineRule="auto"/>
        <w:jc w:val="both"/>
        <w:rPr>
          <w:rFonts w:ascii="Times New Roman" w:eastAsia="Times New Roman" w:hAnsi="Times New Roman"/>
          <w:noProof/>
          <w:sz w:val="24"/>
          <w:szCs w:val="24"/>
        </w:rPr>
      </w:pPr>
      <w:r>
        <w:rPr>
          <w:rFonts w:ascii="Times New Roman" w:hAnsi="Times New Roman"/>
          <w:noProof/>
          <w:sz w:val="24"/>
        </w:rPr>
        <w:t>Разработването на единни норми през последните години бе важна стъпка за хармонизиране регламентирането на капиталовите пазари, на които дружествата могат да се конкурират в трансграничен план при равни условия. Успехът на единните норми зависи от ефективн</w:t>
      </w:r>
      <w:r>
        <w:rPr>
          <w:rFonts w:ascii="Times New Roman" w:hAnsi="Times New Roman"/>
          <w:noProof/>
          <w:sz w:val="24"/>
        </w:rPr>
        <w:t xml:space="preserve">ото въвеждане и последователното им прилагане. Все още съществуват някои ключови елементи от правото на ЕС, които позволяват на държавите членки да добавят изисквания (т.нар. „свръхрегламентиране“); възникнаха и въпроси, свързани с различното тълкуване на </w:t>
      </w:r>
      <w:r>
        <w:rPr>
          <w:rFonts w:ascii="Times New Roman" w:hAnsi="Times New Roman"/>
          <w:noProof/>
          <w:sz w:val="24"/>
        </w:rPr>
        <w:t xml:space="preserve">нормите. Комисията, в сътрудничество с държавите членки и ЕНО, полага усилия, за да се увери, че финансовото законодателство на ЕС е правилно транспонирано и приведено в изпълнение по места. </w:t>
      </w:r>
    </w:p>
    <w:p w:rsidR="005E5425" w:rsidRDefault="004916DA">
      <w:pPr>
        <w:spacing w:after="0" w:line="240" w:lineRule="auto"/>
        <w:jc w:val="both"/>
        <w:rPr>
          <w:rFonts w:ascii="Times New Roman" w:eastAsia="Times New Roman" w:hAnsi="Times New Roman"/>
          <w:noProof/>
          <w:sz w:val="24"/>
          <w:szCs w:val="24"/>
        </w:rPr>
      </w:pPr>
      <w:r>
        <w:rPr>
          <w:rFonts w:ascii="Times New Roman" w:hAnsi="Times New Roman"/>
          <w:noProof/>
          <w:sz w:val="24"/>
        </w:rPr>
        <w:t>Конкуренцията играе ключова роля: тя гарантира, че потребителите</w:t>
      </w:r>
      <w:r>
        <w:rPr>
          <w:rFonts w:ascii="Times New Roman" w:hAnsi="Times New Roman"/>
          <w:noProof/>
          <w:sz w:val="24"/>
        </w:rPr>
        <w:t xml:space="preserve"> получават най-добрите продукти и услуги на приемливи цени, както и че инвестиционните потоци се насочват към най-продуктивните употреби. Където е възможно, входните пазарни бариери за конкуренти трябва да бъдат отстранени, както и да бъде осигурен достъп </w:t>
      </w:r>
      <w:r>
        <w:rPr>
          <w:rFonts w:ascii="Times New Roman" w:hAnsi="Times New Roman"/>
          <w:noProof/>
          <w:sz w:val="24"/>
        </w:rPr>
        <w:t>до инфраструктурата на финансовите пазари. В подкрепа на ефективността и доброто функциониране на капиталовите пазари Комисията прибегна до правомощията си в областта на конкуренцията и заведе през последните години няколко дела. Комисията ще продължи да с</w:t>
      </w:r>
      <w:r>
        <w:rPr>
          <w:rFonts w:ascii="Times New Roman" w:hAnsi="Times New Roman"/>
          <w:noProof/>
          <w:sz w:val="24"/>
        </w:rPr>
        <w:t>леди за стриктното прилагане на законодателството в областта на конкуренцията, за да се избегне ограничаването или изкривяването на конкуренцията, нанасящо ущърб на изграждането на интегрирани и добре функциониращите капиталови пазари.</w:t>
      </w:r>
    </w:p>
    <w:p w:rsidR="005E5425" w:rsidRDefault="005E5425">
      <w:pPr>
        <w:spacing w:after="0" w:line="240" w:lineRule="auto"/>
        <w:jc w:val="both"/>
        <w:rPr>
          <w:rFonts w:ascii="Times New Roman" w:eastAsia="Times New Roman" w:hAnsi="Times New Roman"/>
          <w:noProof/>
          <w:sz w:val="24"/>
          <w:szCs w:val="24"/>
        </w:rPr>
      </w:pP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Следва да се следи </w:t>
      </w:r>
      <w:r>
        <w:rPr>
          <w:rFonts w:ascii="Times New Roman" w:hAnsi="Times New Roman"/>
          <w:noProof/>
          <w:sz w:val="24"/>
        </w:rPr>
        <w:t>и за прилагането на принципа на свободно движение на капитали, за да не се позволи на неоснователни пречки да възпират инвестиционните потоци в рамките на ЕС. Пример за неоснователна пречка пред свободното движение на капитали  могат в някои случаи да са и</w:t>
      </w:r>
      <w:r>
        <w:rPr>
          <w:rFonts w:ascii="Times New Roman" w:hAnsi="Times New Roman"/>
          <w:noProof/>
          <w:sz w:val="24"/>
        </w:rPr>
        <w:t xml:space="preserve">зискванията, наложени от приемащите държави членки на пазарните участници с европейски паспорт за предлагане на ценни книжа, издаден от тяхната държава членка по произход. Една по-стабилна, прозрачна и предвидима за инвеститорите нормативна среда би могла </w:t>
      </w:r>
      <w:r>
        <w:rPr>
          <w:rFonts w:ascii="Times New Roman" w:hAnsi="Times New Roman"/>
          <w:noProof/>
          <w:sz w:val="24"/>
        </w:rPr>
        <w:t xml:space="preserve">да допринесе за спечелване на доверието им и за повишаване на дългосрочната привлекателност на единния пазар като инвестиционно средище.  </w:t>
      </w:r>
    </w:p>
    <w:p w:rsidR="005E5425" w:rsidRDefault="005E5425">
      <w:pPr>
        <w:spacing w:after="0" w:line="240" w:lineRule="auto"/>
        <w:jc w:val="both"/>
        <w:rPr>
          <w:rFonts w:ascii="Times New Roman" w:eastAsia="Times New Roman" w:hAnsi="Times New Roman"/>
          <w:noProof/>
          <w:sz w:val="24"/>
          <w:szCs w:val="24"/>
        </w:rPr>
      </w:pP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Сближаване в областта на надзора</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Въпреки че регламентирането на капиталовите пазари е до голяма степен </w:t>
      </w:r>
      <w:r>
        <w:rPr>
          <w:rFonts w:ascii="Times New Roman" w:hAnsi="Times New Roman"/>
          <w:noProof/>
          <w:sz w:val="24"/>
        </w:rPr>
        <w:t>хармонизирано, успехът на реформите зависи и от въвеждането и последователното прилагане на нормите. ЕНО играят ключова роля за насърчаване на сближаването. Неотдавна Комисията публикува доклад за функционирането на ЕНО и на Европейската система за финансо</w:t>
      </w:r>
      <w:r>
        <w:rPr>
          <w:rFonts w:ascii="Times New Roman" w:hAnsi="Times New Roman"/>
          <w:noProof/>
          <w:sz w:val="24"/>
        </w:rPr>
        <w:t>в надзор (ЕСФН)</w:t>
      </w:r>
      <w:r>
        <w:rPr>
          <w:rStyle w:val="FootnoteReference"/>
          <w:rFonts w:ascii="Times New Roman" w:hAnsi="Times New Roman"/>
          <w:noProof/>
          <w:sz w:val="24"/>
        </w:rPr>
        <w:footnoteReference w:id="29"/>
      </w:r>
      <w:r>
        <w:rPr>
          <w:rFonts w:ascii="Times New Roman" w:hAnsi="Times New Roman"/>
          <w:noProof/>
          <w:sz w:val="24"/>
        </w:rPr>
        <w:t>, в който бяха определени редица области, където би могло да се въведат подобрения в краткосрочен и средносрочен план.  Комисията ще продължи да прави преглед на функционирането и дейността на ЕНО, както и на тяхното управление и финансиран</w:t>
      </w:r>
      <w:r>
        <w:rPr>
          <w:rFonts w:ascii="Times New Roman" w:hAnsi="Times New Roman"/>
          <w:noProof/>
          <w:sz w:val="24"/>
        </w:rPr>
        <w:t>е.</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Европейските надзорни органи играят важна роля в подкрепа на сближаването на надзорните практики, на увеличаването на фокуса и използването на партньорските проверки, както и на предприемането на подходящи последващи действия. Освен това използването, к</w:t>
      </w:r>
      <w:r>
        <w:rPr>
          <w:rFonts w:ascii="Times New Roman" w:hAnsi="Times New Roman"/>
          <w:noProof/>
          <w:sz w:val="24"/>
        </w:rPr>
        <w:t xml:space="preserve">огато е необходимо, на средствата за разрешаване на спорове и на правомощията за провеждане на разследвания във връзка с подозрения за нарушение на правото на ЕС би могло да улесни последователното прилагане на правото на ЕС на единния пазар.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Тук ролята н</w:t>
      </w:r>
      <w:r>
        <w:rPr>
          <w:rFonts w:ascii="Times New Roman" w:hAnsi="Times New Roman"/>
          <w:noProof/>
          <w:sz w:val="24"/>
        </w:rPr>
        <w:t>а ЕНО би могла да се анализира допълнително.  Доколкото националните надзорни режими биха могли да породят различни степени на инвеститорска защита и пречки пред трансграничните операции, както и да затруднят дружествата, търсещи финансиране в други държав</w:t>
      </w:r>
      <w:r>
        <w:rPr>
          <w:rFonts w:ascii="Times New Roman" w:hAnsi="Times New Roman"/>
          <w:noProof/>
          <w:sz w:val="24"/>
        </w:rPr>
        <w:t>и членки, ЕНО биха могли да играят допълнителна роля за засилване на сближаването.</w:t>
      </w: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Данни и публикуване на информация</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Разработването на общи за ЕС данни и публикуване на информация би могло да насърчи интегрирането на капиталовите пазари.  Например на пазар</w:t>
      </w:r>
      <w:r>
        <w:rPr>
          <w:rFonts w:ascii="Times New Roman" w:hAnsi="Times New Roman"/>
          <w:noProof/>
          <w:sz w:val="24"/>
        </w:rPr>
        <w:t>ите на акции наличието на система за консолидирана борсова информация (т.нар. „consolidated tape“) е от изключително значение за осигуряването на качеството, наличието и навременността на информацията след сключването на сделка. Ако усилията на пазара се о</w:t>
      </w:r>
      <w:r>
        <w:rPr>
          <w:rFonts w:ascii="Times New Roman" w:hAnsi="Times New Roman"/>
          <w:noProof/>
          <w:sz w:val="24"/>
        </w:rPr>
        <w:t>кажат недостатъчни за осигуряването на такава система, която да е лесно достъпна и използваема от пазарните участници при разумни търговски условия, може да е необходимо да се помисли за други решения, включително да се възложи нейната експлоатация на търг</w:t>
      </w:r>
      <w:r>
        <w:rPr>
          <w:rFonts w:ascii="Times New Roman" w:hAnsi="Times New Roman"/>
          <w:noProof/>
          <w:sz w:val="24"/>
        </w:rPr>
        <w:t>овско дружество. Комисията също ще се стреми да направи така, че разпространението на консолидираната информация при разумни търговски условия да се осъществява безпрепятствено.</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Възприемането на по-ефективни подходи, с участието на националните органи или </w:t>
      </w:r>
      <w:r>
        <w:rPr>
          <w:rFonts w:ascii="Times New Roman" w:hAnsi="Times New Roman"/>
          <w:noProof/>
          <w:sz w:val="24"/>
        </w:rPr>
        <w:t>ESMA, за публикуване на информация за пазарни и надзорни цели, например по отношение на общи информационни механизми при някои изисквания за докладване, също може да бъде от полза за пазарните участници. Комисията търси да получи становища по въпроса, за д</w:t>
      </w:r>
      <w:r>
        <w:rPr>
          <w:rFonts w:ascii="Times New Roman" w:hAnsi="Times New Roman"/>
          <w:noProof/>
          <w:sz w:val="24"/>
        </w:rPr>
        <w:t>а прецени каква допълнителна работа е необходима за усъвършенстване на данните и публикуването на информация в ЕС.</w:t>
      </w: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Пазарна инфраструктура и нормативна уредба на ценните книжа</w:t>
      </w:r>
    </w:p>
    <w:p w:rsidR="005E5425" w:rsidRDefault="004916DA">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Пазарната инфраструктура и нормативната уредба на ценните книжа, т.е. механизмът,</w:t>
      </w:r>
      <w:r>
        <w:rPr>
          <w:rFonts w:ascii="Times New Roman" w:hAnsi="Times New Roman"/>
          <w:noProof/>
          <w:sz w:val="24"/>
        </w:rPr>
        <w:t xml:space="preserve"> който насочва инвестициите, и законите, на които е подвластен, са решаващи фактори за ефикасността и лекотата на инвестирането. Нормативната уредба на пазарните инфраструктури е в процес на въвеждане и включва норми за гарантиране стабилността на централн</w:t>
      </w:r>
      <w:r>
        <w:rPr>
          <w:rFonts w:ascii="Times New Roman" w:hAnsi="Times New Roman"/>
          <w:noProof/>
          <w:sz w:val="24"/>
        </w:rPr>
        <w:t>ите контрагенти (ЦК) и централните депозитари на ценни книжа (ЦДЦК), както и ръководения от Евросистемата проект „Target2—Securities“ (T2S). Комисията, според обявеното в работната ѝ програма, възнамерява да представи законодателно предложение за създаване</w:t>
      </w:r>
      <w:r>
        <w:rPr>
          <w:rFonts w:ascii="Times New Roman" w:hAnsi="Times New Roman"/>
          <w:noProof/>
          <w:sz w:val="24"/>
        </w:rPr>
        <w:t>то на европейска рамка за възстановяване и преструктуриране на финансови институции със системно значение, каквито са например централните контрагенти. Независимо от това, при някои аспекти, свързани с пазарните инфраструктури, върху които се основава търг</w:t>
      </w:r>
      <w:r>
        <w:rPr>
          <w:rFonts w:ascii="Times New Roman" w:hAnsi="Times New Roman"/>
          <w:noProof/>
          <w:sz w:val="24"/>
        </w:rPr>
        <w:t>овията, са възможни допълнителни подобрения.</w:t>
      </w:r>
    </w:p>
    <w:p w:rsidR="005E5425" w:rsidRDefault="005E5425">
      <w:pPr>
        <w:autoSpaceDE w:val="0"/>
        <w:autoSpaceDN w:val="0"/>
        <w:adjustRightInd w:val="0"/>
        <w:spacing w:after="0" w:line="240" w:lineRule="auto"/>
        <w:rPr>
          <w:rFonts w:ascii="Times New Roman" w:hAnsi="Times New Roman"/>
          <w:noProof/>
          <w:sz w:val="24"/>
          <w:szCs w:val="24"/>
        </w:rPr>
      </w:pP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b/>
          <w:noProof/>
          <w:sz w:val="24"/>
          <w:szCs w:val="24"/>
        </w:rPr>
        <w:t>Обезпечението</w:t>
      </w:r>
      <w:r>
        <w:rPr>
          <w:rFonts w:ascii="Times New Roman" w:hAnsi="Times New Roman"/>
          <w:noProof/>
          <w:sz w:val="24"/>
          <w:szCs w:val="24"/>
        </w:rPr>
        <w:t xml:space="preserve"> е жизненоважна част от финансовата система, тъй като е в основата на множество пазарни сделки и осигурява защита при възникването на проблеми. Понастоящем движението на обезпечение в ЕС не е безпр</w:t>
      </w:r>
      <w:r>
        <w:rPr>
          <w:rFonts w:ascii="Times New Roman" w:hAnsi="Times New Roman"/>
          <w:noProof/>
          <w:sz w:val="24"/>
          <w:szCs w:val="24"/>
        </w:rPr>
        <w:t>епятствено, което не позволява на пазарите да функционират ефективно. От финансовата криза насам търсенето на обезпечение се увеличи поради търсенето на пазара на по-сигурно финансиране, както и поради новите нормативни изисквания като изложените в Регламе</w:t>
      </w:r>
      <w:r>
        <w:rPr>
          <w:rFonts w:ascii="Times New Roman" w:hAnsi="Times New Roman"/>
          <w:noProof/>
          <w:sz w:val="24"/>
          <w:szCs w:val="24"/>
        </w:rPr>
        <w:t>нта за европейската пазарна инфраструктура (EMIR)</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и Регламента за капиталовите изисквания (РКИ)</w:t>
      </w:r>
      <w:r>
        <w:rPr>
          <w:rStyle w:val="FootnoteReference"/>
          <w:rFonts w:ascii="Times New Roman" w:hAnsi="Times New Roman"/>
          <w:noProof/>
          <w:sz w:val="24"/>
          <w:szCs w:val="24"/>
        </w:rPr>
        <w:footnoteReference w:id="31"/>
      </w:r>
      <w:r>
        <w:rPr>
          <w:rFonts w:ascii="Times New Roman" w:hAnsi="Times New Roman"/>
          <w:noProof/>
          <w:sz w:val="24"/>
          <w:szCs w:val="24"/>
        </w:rPr>
        <w:t>. Увеличеното търсене на</w:t>
      </w:r>
      <w:r>
        <w:rPr>
          <w:rFonts w:ascii="Times New Roman" w:hAnsi="Times New Roman"/>
          <w:noProof/>
          <w:sz w:val="24"/>
        </w:rPr>
        <w:t xml:space="preserve"> обезпечение би могло да породи риск от използването на едни и същи ценни книжа при множество сделки, какъвто беше случаят преди кризат</w:t>
      </w:r>
      <w:r>
        <w:rPr>
          <w:rFonts w:ascii="Times New Roman" w:hAnsi="Times New Roman"/>
          <w:noProof/>
          <w:sz w:val="24"/>
        </w:rPr>
        <w:t>а, поради което тези въпроси понастоящем се проучват. Комисията търси да получи становища за необходимостта от допълнителна работа с цел улесняване на едно подходящо регламентирано движение на обезпечения в рамките на ЕС.</w:t>
      </w:r>
    </w:p>
    <w:p w:rsidR="005E5425" w:rsidRDefault="004916DA">
      <w:pPr>
        <w:spacing w:line="240" w:lineRule="auto"/>
        <w:jc w:val="both"/>
        <w:rPr>
          <w:rFonts w:ascii="Times New Roman" w:hAnsi="Times New Roman"/>
          <w:b/>
          <w:noProof/>
          <w:sz w:val="24"/>
          <w:szCs w:val="24"/>
        </w:rPr>
      </w:pPr>
      <w:r>
        <w:rPr>
          <w:rFonts w:ascii="Times New Roman" w:hAnsi="Times New Roman"/>
          <w:noProof/>
          <w:sz w:val="24"/>
        </w:rPr>
        <w:t>Впрочем, въпреки постигнатия значи</w:t>
      </w:r>
      <w:r>
        <w:rPr>
          <w:rFonts w:ascii="Times New Roman" w:hAnsi="Times New Roman"/>
          <w:noProof/>
          <w:sz w:val="24"/>
        </w:rPr>
        <w:t xml:space="preserve">телен напредък в хармонизирането на нормите, целящи осигуряването на прозрачността и лоялните отношения на пазарите на ценни книжа, </w:t>
      </w:r>
      <w:r>
        <w:rPr>
          <w:rFonts w:ascii="Times New Roman" w:hAnsi="Times New Roman"/>
          <w:b/>
          <w:noProof/>
          <w:sz w:val="24"/>
        </w:rPr>
        <w:t>правата на инвеститорите в ценни книжа са уредени различно в отделните държави членки</w:t>
      </w:r>
      <w:r>
        <w:rPr>
          <w:rFonts w:ascii="Times New Roman" w:hAnsi="Times New Roman"/>
          <w:noProof/>
          <w:sz w:val="24"/>
        </w:rPr>
        <w:t xml:space="preserve">. В резултат на това инвеститорите се </w:t>
      </w:r>
      <w:r>
        <w:rPr>
          <w:rFonts w:ascii="Times New Roman" w:hAnsi="Times New Roman"/>
          <w:noProof/>
          <w:sz w:val="24"/>
        </w:rPr>
        <w:t>затрудняват при оценяването на риска от капиталови инвестиции в отделните държави членки. Този въпрос се обсъжда вече повече от десетилетие — от втория доклад „Giovaninni“ през 2003 г. Материята му е сложна, тъй като засяга собствеността, договорното и дру</w:t>
      </w:r>
      <w:r>
        <w:rPr>
          <w:rFonts w:ascii="Times New Roman" w:hAnsi="Times New Roman"/>
          <w:noProof/>
          <w:sz w:val="24"/>
        </w:rPr>
        <w:t>жественото право, несъстоятелността, както и законодателството относно притежаването на ценни книжа и стълкновителните норми. Според някои дисониращи мнения хармонизация на равнище ЕС и единна дефиниция на ЕС за ценни книжа не са нужни. Твърди се също така</w:t>
      </w:r>
      <w:r>
        <w:rPr>
          <w:rFonts w:ascii="Times New Roman" w:hAnsi="Times New Roman"/>
          <w:noProof/>
          <w:sz w:val="24"/>
        </w:rPr>
        <w:t>, че привеждането в действие на Target2—Securities в средата на 2015 г. ще отстрани правните и операционните рискове пред прехвърлянето и държането на ценни книжа в отделните юрисдикции, ще намали разходите и ще доведе до увеличаване на трансграничните инв</w:t>
      </w:r>
      <w:r>
        <w:rPr>
          <w:rFonts w:ascii="Times New Roman" w:hAnsi="Times New Roman"/>
          <w:noProof/>
          <w:sz w:val="24"/>
        </w:rPr>
        <w:t>естиции. С оглед на тези ограничения Комисията търси да получи становища дали са възможни и желателни известни целеви промени в разпоредбите относно притежаването на ценни книжа, които биха могли съществено да допринесат за по-висока степен на интеграция н</w:t>
      </w:r>
      <w:r>
        <w:rPr>
          <w:rFonts w:ascii="Times New Roman" w:hAnsi="Times New Roman"/>
          <w:noProof/>
          <w:sz w:val="24"/>
        </w:rPr>
        <w:t>а капиталовите пазари в ЕС.</w:t>
      </w:r>
    </w:p>
    <w:p w:rsidR="005E5425" w:rsidRDefault="004916DA">
      <w:pPr>
        <w:spacing w:line="240" w:lineRule="auto"/>
        <w:jc w:val="both"/>
        <w:rPr>
          <w:rFonts w:ascii="Times New Roman" w:hAnsi="Times New Roman"/>
          <w:b/>
          <w:noProof/>
          <w:sz w:val="24"/>
          <w:szCs w:val="24"/>
        </w:rPr>
      </w:pPr>
      <w:r>
        <w:rPr>
          <w:rFonts w:ascii="Times New Roman" w:hAnsi="Times New Roman"/>
          <w:noProof/>
          <w:sz w:val="24"/>
        </w:rPr>
        <w:t xml:space="preserve">Друг важен аспект от изграждането на общоевропейски пазар на секюритизации и финансови обезпечения, а също и на други дейности като например факторинг, е постигането на по-голяма правна сигурност при трансграничното прехвърляне </w:t>
      </w:r>
      <w:r>
        <w:rPr>
          <w:rFonts w:ascii="Times New Roman" w:hAnsi="Times New Roman"/>
          <w:noProof/>
          <w:sz w:val="24"/>
        </w:rPr>
        <w:t>на вземания и приоритетния ред на подобни прехвърляния, особено в случаи на несъстоятелност. През 2015 г. Комисията ще публикува доклад за определяне на проблемите и на възможните решения.</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Банките играят ключова роля не само при отпускането на заеми, но и </w:t>
      </w:r>
      <w:r>
        <w:rPr>
          <w:rFonts w:ascii="Times New Roman" w:hAnsi="Times New Roman"/>
          <w:noProof/>
          <w:sz w:val="24"/>
        </w:rPr>
        <w:t>като посредници на капиталовия пазар, по-специално като осигуряват ликвидност чрез поддържане на пазара. Според някои проучвания ликвидността в определени пазарни сегменти показва признаци на спад, но се подчертава също и вероятността цената на ликвидностт</w:t>
      </w:r>
      <w:r>
        <w:rPr>
          <w:rFonts w:ascii="Times New Roman" w:hAnsi="Times New Roman"/>
          <w:noProof/>
          <w:sz w:val="24"/>
        </w:rPr>
        <w:t>а в периода непосредствено преди кризата да е била прекалено ниска. Според някои намаляването на ликвидността се дължи на необходима корекция на пазара, на спада на доверието от страна на пазара след кризата, както и на други глобални нормативни  мерки, пр</w:t>
      </w:r>
      <w:r>
        <w:rPr>
          <w:rFonts w:ascii="Times New Roman" w:hAnsi="Times New Roman"/>
          <w:noProof/>
          <w:sz w:val="24"/>
        </w:rPr>
        <w:t>едприети след кризата. Комисията търси да получи становища за най-добрия начин за създаването на условия за по-стабилна ликвидност с по-добро ценообразуване и по-специално дали биха могли да се предприемат мерки за подкрепа на ликвидността в уязвими сегмен</w:t>
      </w:r>
      <w:r>
        <w:rPr>
          <w:rFonts w:ascii="Times New Roman" w:hAnsi="Times New Roman"/>
          <w:noProof/>
          <w:sz w:val="24"/>
        </w:rPr>
        <w:t>ти, както и дали съществуват входни бариери за нови пазарни участници, които биха били способни да допринесат за напасването между купувачи и продавачи.</w:t>
      </w:r>
      <w:r>
        <w:rPr>
          <w:rFonts w:ascii="Times New Roman" w:hAnsi="Times New Roman"/>
          <w:b/>
          <w:noProof/>
          <w:sz w:val="24"/>
        </w:rPr>
        <w:t xml:space="preserve"> </w:t>
      </w: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Дружествено право, корпоративно управление, несъстоятелност и данъчното облагане</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Уредба на равнище ЕС </w:t>
      </w:r>
      <w:r>
        <w:rPr>
          <w:rFonts w:ascii="Times New Roman" w:hAnsi="Times New Roman"/>
          <w:noProof/>
          <w:sz w:val="24"/>
        </w:rPr>
        <w:t xml:space="preserve">на </w:t>
      </w:r>
      <w:r>
        <w:rPr>
          <w:rFonts w:ascii="Times New Roman" w:hAnsi="Times New Roman"/>
          <w:b/>
          <w:noProof/>
          <w:sz w:val="24"/>
        </w:rPr>
        <w:t>корпоративното управление</w:t>
      </w:r>
      <w:r>
        <w:rPr>
          <w:rFonts w:ascii="Times New Roman" w:hAnsi="Times New Roman"/>
          <w:noProof/>
          <w:sz w:val="24"/>
        </w:rPr>
        <w:t xml:space="preserve"> съществува (напр. по отношение на декларациите за корпоративно управление</w:t>
      </w:r>
      <w:r>
        <w:rPr>
          <w:rStyle w:val="FootnoteReference"/>
          <w:rFonts w:ascii="Times New Roman" w:hAnsi="Times New Roman"/>
          <w:noProof/>
          <w:sz w:val="24"/>
        </w:rPr>
        <w:footnoteReference w:id="32"/>
      </w:r>
      <w:r>
        <w:rPr>
          <w:rFonts w:ascii="Times New Roman" w:hAnsi="Times New Roman"/>
          <w:noProof/>
          <w:sz w:val="24"/>
        </w:rPr>
        <w:t xml:space="preserve"> или трансграничното упражняване на правата на акционерите</w:t>
      </w:r>
      <w:r>
        <w:rPr>
          <w:rStyle w:val="FootnoteReference"/>
          <w:rFonts w:ascii="Times New Roman" w:hAnsi="Times New Roman"/>
          <w:noProof/>
          <w:sz w:val="24"/>
        </w:rPr>
        <w:footnoteReference w:id="33"/>
      </w:r>
      <w:r>
        <w:rPr>
          <w:rFonts w:ascii="Times New Roman" w:hAnsi="Times New Roman"/>
          <w:noProof/>
          <w:sz w:val="24"/>
        </w:rPr>
        <w:t xml:space="preserve">), но въпреки това то често е прерогатив на националното законодателство и стандарти. </w:t>
      </w:r>
      <w:r>
        <w:rPr>
          <w:rFonts w:ascii="Times New Roman" w:hAnsi="Times New Roman"/>
          <w:noProof/>
          <w:sz w:val="24"/>
          <w:szCs w:val="24"/>
        </w:rPr>
        <w:t>След фин</w:t>
      </w:r>
      <w:r>
        <w:rPr>
          <w:rFonts w:ascii="Times New Roman" w:hAnsi="Times New Roman"/>
          <w:noProof/>
          <w:sz w:val="24"/>
          <w:szCs w:val="24"/>
        </w:rPr>
        <w:t>ансовата криза  бяха предприети две консултации</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във връзка с преразглеждането на тази уредба на равнище ЕС.</w:t>
      </w:r>
      <w:r>
        <w:rPr>
          <w:rFonts w:ascii="Times New Roman" w:hAnsi="Times New Roman"/>
          <w:noProof/>
          <w:sz w:val="24"/>
        </w:rPr>
        <w:t xml:space="preserve"> В ход е изменение на Директивата относно правата на акционерите с цел да се насърчи дългосрочното финансиране на бизнеса от страна на институционал</w:t>
      </w:r>
      <w:r>
        <w:rPr>
          <w:rFonts w:ascii="Times New Roman" w:hAnsi="Times New Roman"/>
          <w:noProof/>
          <w:sz w:val="24"/>
        </w:rPr>
        <w:t xml:space="preserve">ните инвеститори и управляващите активи лица.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Със защитата на </w:t>
      </w:r>
      <w:r>
        <w:rPr>
          <w:rFonts w:ascii="Times New Roman" w:hAnsi="Times New Roman"/>
          <w:b/>
          <w:noProof/>
          <w:sz w:val="24"/>
        </w:rPr>
        <w:t>правата на миноритарните акционери се подобрява корпоративното управление и привлекателността на дружествата за чуждестранните инвеститори</w:t>
      </w:r>
      <w:r>
        <w:rPr>
          <w:rFonts w:ascii="Times New Roman" w:hAnsi="Times New Roman"/>
          <w:noProof/>
          <w:sz w:val="24"/>
        </w:rPr>
        <w:t>, които често биха могли самите те да бъдат миноритарни</w:t>
      </w:r>
      <w:r>
        <w:rPr>
          <w:rFonts w:ascii="Times New Roman" w:hAnsi="Times New Roman"/>
          <w:noProof/>
          <w:sz w:val="24"/>
        </w:rPr>
        <w:t xml:space="preserve"> инвеститори. Друг аспект на доброто корпоративно управление е ефективността на контрола, който управителните съвети на дадено предприятие упражняват върху ръководителите. Управителните съвети защитават интересите на инвеститорите, поради което ефективният</w:t>
      </w:r>
      <w:r>
        <w:rPr>
          <w:rFonts w:ascii="Times New Roman" w:hAnsi="Times New Roman"/>
          <w:noProof/>
          <w:sz w:val="24"/>
        </w:rPr>
        <w:t xml:space="preserve"> им и функциониращ характер също е от ключово значение за привличането на инвестиции.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Въпреки няколко законодателни акта в областта на дружественото право</w:t>
      </w:r>
      <w:r>
        <w:rPr>
          <w:rStyle w:val="FootnoteReference"/>
          <w:rFonts w:ascii="Times New Roman" w:hAnsi="Times New Roman"/>
          <w:noProof/>
          <w:sz w:val="24"/>
        </w:rPr>
        <w:footnoteReference w:id="35"/>
      </w:r>
      <w:r>
        <w:rPr>
          <w:rFonts w:ascii="Times New Roman" w:hAnsi="Times New Roman"/>
          <w:noProof/>
          <w:sz w:val="24"/>
        </w:rPr>
        <w:t>, дружествата все още срещат сериозни трудности при</w:t>
      </w:r>
      <w:r>
        <w:rPr>
          <w:rFonts w:ascii="Times New Roman" w:hAnsi="Times New Roman"/>
          <w:b/>
          <w:noProof/>
          <w:sz w:val="24"/>
        </w:rPr>
        <w:t xml:space="preserve"> трансграничната мобилност и преструктуриране</w:t>
      </w:r>
      <w:r>
        <w:rPr>
          <w:rFonts w:ascii="Times New Roman" w:hAnsi="Times New Roman"/>
          <w:noProof/>
          <w:sz w:val="24"/>
        </w:rPr>
        <w:t>. За</w:t>
      </w:r>
      <w:r>
        <w:rPr>
          <w:rFonts w:ascii="Times New Roman" w:hAnsi="Times New Roman"/>
          <w:noProof/>
          <w:sz w:val="24"/>
        </w:rPr>
        <w:t xml:space="preserve"> преодоляването на пречките пред трансграничното установяване и дейност на дружествата биха могли да спомогнат допълнителни реформи на дружественото право. </w:t>
      </w:r>
    </w:p>
    <w:p w:rsidR="005E5425" w:rsidRDefault="004916DA">
      <w:pPr>
        <w:spacing w:line="240" w:lineRule="auto"/>
        <w:jc w:val="both"/>
        <w:rPr>
          <w:rFonts w:ascii="Times New Roman" w:eastAsia="Times New Roman" w:hAnsi="Times New Roman"/>
          <w:noProof/>
          <w:sz w:val="24"/>
          <w:szCs w:val="24"/>
        </w:rPr>
      </w:pPr>
      <w:r>
        <w:rPr>
          <w:rFonts w:ascii="Times New Roman" w:hAnsi="Times New Roman"/>
          <w:noProof/>
          <w:sz w:val="24"/>
        </w:rPr>
        <w:t xml:space="preserve">Различаващото се сред държавите членки уреждане на </w:t>
      </w:r>
      <w:r>
        <w:rPr>
          <w:rFonts w:ascii="Times New Roman" w:hAnsi="Times New Roman"/>
          <w:b/>
          <w:noProof/>
          <w:sz w:val="24"/>
        </w:rPr>
        <w:t>стълкновенията на закони</w:t>
      </w:r>
      <w:r>
        <w:rPr>
          <w:rFonts w:ascii="Times New Roman" w:hAnsi="Times New Roman"/>
          <w:noProof/>
          <w:sz w:val="24"/>
        </w:rPr>
        <w:t xml:space="preserve"> по отношение на вътрешн</w:t>
      </w:r>
      <w:r>
        <w:rPr>
          <w:rFonts w:ascii="Times New Roman" w:hAnsi="Times New Roman"/>
          <w:noProof/>
          <w:sz w:val="24"/>
        </w:rPr>
        <w:t xml:space="preserve">ото функциониране на дружествата може да доведе до правна несигурност, тъй като ако дадено дружество е учредено в една държава членка, но основната му дейност е в друга държава членка, то може да се окаже едновременно обект на законите на различни държави </w:t>
      </w:r>
      <w:r>
        <w:rPr>
          <w:rFonts w:ascii="Times New Roman" w:hAnsi="Times New Roman"/>
          <w:noProof/>
          <w:sz w:val="24"/>
        </w:rPr>
        <w:t xml:space="preserve">членки.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szCs w:val="24"/>
        </w:rPr>
        <w:t xml:space="preserve">Ако поради сложността си дебатът за хармонизиране на </w:t>
      </w:r>
      <w:r>
        <w:rPr>
          <w:rFonts w:ascii="Times New Roman" w:hAnsi="Times New Roman"/>
          <w:b/>
          <w:noProof/>
          <w:sz w:val="24"/>
          <w:szCs w:val="24"/>
        </w:rPr>
        <w:t>уредбата на несъстоятелността</w:t>
      </w:r>
      <w:r>
        <w:rPr>
          <w:rFonts w:ascii="Times New Roman" w:hAnsi="Times New Roman"/>
          <w:noProof/>
          <w:sz w:val="24"/>
          <w:szCs w:val="24"/>
        </w:rPr>
        <w:t xml:space="preserve"> не отбеляза съществен напредък през последните трийсетина години, такъв бе постигнат при стълкновителните норми за трансграничните производства по несъстоятелност</w:t>
      </w:r>
      <w:r>
        <w:rPr>
          <w:rStyle w:val="FootnoteReference"/>
          <w:rFonts w:ascii="Times New Roman" w:hAnsi="Times New Roman"/>
          <w:noProof/>
          <w:sz w:val="24"/>
          <w:szCs w:val="24"/>
        </w:rPr>
        <w:footnoteReference w:id="36"/>
      </w:r>
      <w:r>
        <w:rPr>
          <w:rFonts w:ascii="Times New Roman" w:hAnsi="Times New Roman"/>
          <w:noProof/>
          <w:sz w:val="24"/>
          <w:szCs w:val="24"/>
        </w:rPr>
        <w:t>.</w:t>
      </w:r>
      <w:r>
        <w:rPr>
          <w:rFonts w:ascii="Times New Roman" w:hAnsi="Times New Roman"/>
          <w:noProof/>
          <w:sz w:val="24"/>
        </w:rPr>
        <w:t xml:space="preserve"> Въпреки това националните уредби на несъстоятелността все още се различават по основни черти и ефективност</w:t>
      </w:r>
      <w:r>
        <w:rPr>
          <w:rFonts w:ascii="Times New Roman" w:hAnsi="Times New Roman"/>
          <w:noProof/>
          <w:sz w:val="24"/>
          <w:vertAlign w:val="superscript"/>
        </w:rPr>
        <w:footnoteReference w:id="37"/>
      </w:r>
      <w:r>
        <w:rPr>
          <w:rFonts w:ascii="Times New Roman" w:hAnsi="Times New Roman"/>
          <w:noProof/>
          <w:sz w:val="24"/>
        </w:rPr>
        <w:t xml:space="preserve">. Едно сближаване би могло да допринесе за появата на общоевропейски пазари на капиталови и дългови инструменти, тъй като би се намалила </w:t>
      </w:r>
      <w:r>
        <w:rPr>
          <w:rFonts w:ascii="Times New Roman" w:hAnsi="Times New Roman"/>
          <w:noProof/>
          <w:sz w:val="24"/>
        </w:rPr>
        <w:t>несигурността за инвеститорите, на които се налага да оценяват рисковете в няколко държави членки.  Освен това, в редица държави членки не е предвидена правна възможност за ранно преструктуриране на дълга или тя е с неадекватен характер, липсват разпоредби</w:t>
      </w:r>
      <w:r>
        <w:rPr>
          <w:rFonts w:ascii="Times New Roman" w:hAnsi="Times New Roman"/>
          <w:noProof/>
          <w:sz w:val="24"/>
        </w:rPr>
        <w:t xml:space="preserve"> във връзка с „втория шанс“, а официалните производства по несъстоятелност са твърде дълги и скъпи; всичко това може да доведе до ниски равнища на събрани вземания за кредиторите и да има възпиращ ефект върху инвеститорите. За да се постигне напредък в обл</w:t>
      </w:r>
      <w:r>
        <w:rPr>
          <w:rFonts w:ascii="Times New Roman" w:hAnsi="Times New Roman"/>
          <w:noProof/>
          <w:sz w:val="24"/>
        </w:rPr>
        <w:t>астта на несъстоятелността Комисията прие препоръка за нов подход към фалита и несъстоятелността на предприятията</w:t>
      </w:r>
      <w:r>
        <w:rPr>
          <w:rFonts w:ascii="Times New Roman" w:hAnsi="Times New Roman"/>
          <w:noProof/>
          <w:sz w:val="24"/>
          <w:vertAlign w:val="superscript"/>
        </w:rPr>
        <w:footnoteReference w:id="38"/>
      </w:r>
      <w:r>
        <w:rPr>
          <w:rFonts w:ascii="Times New Roman" w:hAnsi="Times New Roman"/>
          <w:noProof/>
          <w:sz w:val="24"/>
        </w:rPr>
        <w:t>, в която призовава държавите членки да въведат процедури за ранно преструктуриране и разпоредби във връзка с „втория шанс“. В препоръката дър</w:t>
      </w:r>
      <w:r>
        <w:rPr>
          <w:rFonts w:ascii="Times New Roman" w:hAnsi="Times New Roman"/>
          <w:noProof/>
          <w:sz w:val="24"/>
        </w:rPr>
        <w:t xml:space="preserve">жавите членки се приканват и да обмислят прилагането на принципите към потребителската свръхзадлъжнялост и личната неплатежоспособност. През 2015 г. е предвидена оценка на препоръката.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Различаващите се </w:t>
      </w:r>
      <w:r>
        <w:rPr>
          <w:rFonts w:ascii="Times New Roman" w:hAnsi="Times New Roman"/>
          <w:b/>
          <w:noProof/>
          <w:sz w:val="24"/>
        </w:rPr>
        <w:t>данъчни режими</w:t>
      </w:r>
      <w:r>
        <w:rPr>
          <w:rFonts w:ascii="Times New Roman" w:hAnsi="Times New Roman"/>
          <w:noProof/>
          <w:sz w:val="24"/>
        </w:rPr>
        <w:t xml:space="preserve"> в отделните държави членки могат да в</w:t>
      </w:r>
      <w:r>
        <w:rPr>
          <w:rFonts w:ascii="Times New Roman" w:hAnsi="Times New Roman"/>
          <w:noProof/>
          <w:sz w:val="24"/>
        </w:rPr>
        <w:t>ъзпрепятстват развитието на единен пазар на капитали. Те могат например да възпрепятстват трансграничните инвестиции като пенсионните спестявания и застраховките „Живот“. Като последващи действия във връзка с Бялата книга относно пенсиите</w:t>
      </w:r>
      <w:r>
        <w:rPr>
          <w:rFonts w:ascii="Times New Roman" w:hAnsi="Times New Roman"/>
          <w:noProof/>
          <w:sz w:val="24"/>
          <w:vertAlign w:val="superscript"/>
        </w:rPr>
        <w:footnoteReference w:id="39"/>
      </w:r>
      <w:r>
        <w:rPr>
          <w:rFonts w:ascii="Times New Roman" w:hAnsi="Times New Roman"/>
          <w:noProof/>
          <w:sz w:val="24"/>
        </w:rPr>
        <w:t xml:space="preserve"> Комисията извърш</w:t>
      </w:r>
      <w:r>
        <w:rPr>
          <w:rFonts w:ascii="Times New Roman" w:hAnsi="Times New Roman"/>
          <w:noProof/>
          <w:sz w:val="24"/>
        </w:rPr>
        <w:t>и проучване на дискриминационните норми по отношение на капитала, вноските и плащанията при пенсионноосигурителните и животозастрахователни схеми. На по-късен етап Комисията ще предприеме необходимите действия, ако констатира дискриминационни норми и дискр</w:t>
      </w:r>
      <w:r>
        <w:rPr>
          <w:rFonts w:ascii="Times New Roman" w:hAnsi="Times New Roman"/>
          <w:noProof/>
          <w:sz w:val="24"/>
        </w:rPr>
        <w:t xml:space="preserve">иминационни данъчни разпоредби по отношение на трансграничните инвестиции в имоти от страна на животозастрахователните дружества и пенсионните фондове. Продължава и работата за </w:t>
      </w:r>
      <w:r>
        <w:rPr>
          <w:rFonts w:ascii="Times New Roman" w:hAnsi="Times New Roman"/>
          <w:b/>
          <w:noProof/>
          <w:sz w:val="24"/>
        </w:rPr>
        <w:t>опростяване, при услугите, предоставяни след сключването на сделка, на процедур</w:t>
      </w:r>
      <w:r>
        <w:rPr>
          <w:rFonts w:ascii="Times New Roman" w:hAnsi="Times New Roman"/>
          <w:b/>
          <w:noProof/>
          <w:sz w:val="24"/>
        </w:rPr>
        <w:t>ите за намаляване на удържания при източника данък</w:t>
      </w:r>
      <w:r>
        <w:rPr>
          <w:rFonts w:ascii="Times New Roman" w:hAnsi="Times New Roman"/>
          <w:noProof/>
          <w:sz w:val="24"/>
        </w:rPr>
        <w:t>.</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Освен че различните участници на пазара са обект на различно третиране в отделните държавите членки, различно е и данъчното третиране на различните видове финансиране, което може да доведе до изкривяване </w:t>
      </w:r>
      <w:r>
        <w:rPr>
          <w:rFonts w:ascii="Times New Roman" w:hAnsi="Times New Roman"/>
          <w:noProof/>
          <w:sz w:val="24"/>
        </w:rPr>
        <w:t>на конкуренцията. Различното третиране например на финансирането чрез собствен капитал и дълг би могло да увеличи прибягването от дружествата до дългови инструменти и банково финансиране.    Освен това различните определения, които дават държавите членки н</w:t>
      </w:r>
      <w:r>
        <w:rPr>
          <w:rFonts w:ascii="Times New Roman" w:hAnsi="Times New Roman"/>
          <w:noProof/>
          <w:sz w:val="24"/>
        </w:rPr>
        <w:t xml:space="preserve">а дълга и на собствения капитал и оттам — съответно различното им данъчно третиране, включително по отношение на инструментите на нормативно изискуемия капитал, могат да попречат на равните условия на конкуренция, да доведат до разпокъсаност на пазарите и </w:t>
      </w:r>
      <w:r>
        <w:rPr>
          <w:rFonts w:ascii="Times New Roman" w:hAnsi="Times New Roman"/>
          <w:noProof/>
          <w:sz w:val="24"/>
        </w:rPr>
        <w:t>да породят възможности за прехвърляне на печалбата.</w:t>
      </w:r>
    </w:p>
    <w:p w:rsidR="005E5425" w:rsidRDefault="004916DA">
      <w:pPr>
        <w:spacing w:line="240" w:lineRule="auto"/>
        <w:jc w:val="both"/>
        <w:rPr>
          <w:rFonts w:ascii="Times New Roman" w:hAnsi="Times New Roman"/>
          <w:b/>
          <w:noProof/>
          <w:sz w:val="24"/>
          <w:szCs w:val="24"/>
        </w:rPr>
      </w:pPr>
      <w:r>
        <w:rPr>
          <w:rFonts w:ascii="Times New Roman" w:hAnsi="Times New Roman"/>
          <w:noProof/>
          <w:sz w:val="24"/>
        </w:rPr>
        <w:t>Накрая може да се посочи, че получаването на финансиране е особено трудно за новосъздадените дружества, които, без финансови гаранции и доказан опит, не могат да предложат сигурност за доставчиците на фин</w:t>
      </w:r>
      <w:r>
        <w:rPr>
          <w:rFonts w:ascii="Times New Roman" w:hAnsi="Times New Roman"/>
          <w:noProof/>
          <w:sz w:val="24"/>
        </w:rPr>
        <w:t>ансиране. В същото време при тези дружества е по-голяма вероятността да доведат иновации, които да дестабилизират пазарната позиция на големите установени предприятия. В скорошно проучване, поръчано от Европейската комисия</w:t>
      </w:r>
      <w:r>
        <w:rPr>
          <w:rFonts w:ascii="Times New Roman" w:hAnsi="Times New Roman"/>
          <w:noProof/>
          <w:sz w:val="24"/>
          <w:vertAlign w:val="superscript"/>
        </w:rPr>
        <w:footnoteReference w:id="40"/>
      </w:r>
      <w:r>
        <w:rPr>
          <w:rFonts w:ascii="Times New Roman" w:hAnsi="Times New Roman"/>
          <w:noProof/>
          <w:sz w:val="24"/>
        </w:rPr>
        <w:t>, бе направен изводът, че насочва</w:t>
      </w:r>
      <w:r>
        <w:rPr>
          <w:rFonts w:ascii="Times New Roman" w:hAnsi="Times New Roman"/>
          <w:noProof/>
          <w:sz w:val="24"/>
        </w:rPr>
        <w:t xml:space="preserve">нето към новосъздадени иновативни дружества на </w:t>
      </w:r>
      <w:r>
        <w:rPr>
          <w:rFonts w:ascii="Times New Roman" w:hAnsi="Times New Roman"/>
          <w:b/>
          <w:noProof/>
          <w:sz w:val="24"/>
        </w:rPr>
        <w:t>данъчните стимули за разходи за научноизследователска и развойна дейност</w:t>
      </w:r>
      <w:r>
        <w:rPr>
          <w:rFonts w:ascii="Times New Roman" w:hAnsi="Times New Roman"/>
          <w:noProof/>
          <w:sz w:val="24"/>
        </w:rPr>
        <w:t xml:space="preserve"> е ефективна практика.  </w:t>
      </w:r>
    </w:p>
    <w:p w:rsidR="005E5425" w:rsidRDefault="004916DA">
      <w:pPr>
        <w:spacing w:line="240" w:lineRule="auto"/>
        <w:jc w:val="both"/>
        <w:rPr>
          <w:rFonts w:ascii="Times New Roman" w:hAnsi="Times New Roman"/>
          <w:i/>
          <w:noProof/>
          <w:sz w:val="24"/>
          <w:szCs w:val="24"/>
        </w:rPr>
      </w:pPr>
      <w:r>
        <w:rPr>
          <w:rFonts w:ascii="Times New Roman" w:hAnsi="Times New Roman"/>
          <w:i/>
          <w:noProof/>
          <w:sz w:val="24"/>
        </w:rPr>
        <w:t>Технологии</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szCs w:val="24"/>
        </w:rPr>
        <w:t>Важна движеща сила на интеграцията на капиталовите пазари е бързото развитие на новите технологии, ко</w:t>
      </w:r>
      <w:r>
        <w:rPr>
          <w:rFonts w:ascii="Times New Roman" w:hAnsi="Times New Roman"/>
          <w:noProof/>
          <w:sz w:val="24"/>
          <w:szCs w:val="24"/>
        </w:rPr>
        <w:t>ето допринесе например за развитието на платформите за търгуване по електронен път, за търгуването с висока честота на сделките и за т.нар. дружества „FinTech“. Понятието „FinTech“ може да се определи като комбинация от иновационни финансови услуги и налич</w:t>
      </w:r>
      <w:r>
        <w:rPr>
          <w:rFonts w:ascii="Times New Roman" w:hAnsi="Times New Roman"/>
          <w:noProof/>
          <w:sz w:val="24"/>
          <w:szCs w:val="24"/>
        </w:rPr>
        <w:t>ието на капитал, постигната чрез използването на предоставените от новите (цифрови) технологии механизми (например колективното финансиране). Според неотдавнашен доклад, от 2008 г. насам глобалните инвестиции в дружества „FinTech“ са се утроили, достигайки</w:t>
      </w:r>
      <w:r>
        <w:rPr>
          <w:rFonts w:ascii="Times New Roman" w:hAnsi="Times New Roman"/>
          <w:noProof/>
          <w:sz w:val="24"/>
          <w:szCs w:val="24"/>
        </w:rPr>
        <w:t xml:space="preserve"> през 2013 г. почти 3 милиарда щатски долара; тази тенденция е стабилна и се очаква да продължи, като общият размер на инвестициите през 2018 г. се оценява на  8 милиарда щатски долара</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w:t>
      </w:r>
    </w:p>
    <w:p w:rsidR="005E5425" w:rsidRDefault="004916DA">
      <w:pPr>
        <w:spacing w:line="240" w:lineRule="auto"/>
        <w:jc w:val="both"/>
        <w:rPr>
          <w:rFonts w:ascii="Times New Roman" w:hAnsi="Times New Roman"/>
          <w:noProof/>
          <w:sz w:val="24"/>
          <w:szCs w:val="24"/>
        </w:rPr>
      </w:pPr>
      <w:r>
        <w:rPr>
          <w:rFonts w:ascii="Times New Roman" w:hAnsi="Times New Roman"/>
          <w:noProof/>
          <w:sz w:val="24"/>
        </w:rPr>
        <w:t xml:space="preserve">Европейското и националното дружествено право изостават от темпа на технологично развитие, като например не </w:t>
      </w:r>
      <w:r>
        <w:rPr>
          <w:rFonts w:ascii="Times New Roman" w:hAnsi="Times New Roman"/>
          <w:b/>
          <w:noProof/>
          <w:sz w:val="24"/>
        </w:rPr>
        <w:t>отчитат</w:t>
      </w:r>
      <w:r>
        <w:rPr>
          <w:rFonts w:ascii="Times New Roman" w:hAnsi="Times New Roman"/>
          <w:noProof/>
          <w:sz w:val="24"/>
        </w:rPr>
        <w:t xml:space="preserve"> в достатъчна степен </w:t>
      </w:r>
      <w:r>
        <w:rPr>
          <w:rFonts w:ascii="Times New Roman" w:hAnsi="Times New Roman"/>
          <w:b/>
          <w:noProof/>
          <w:sz w:val="24"/>
        </w:rPr>
        <w:t>предимствата от цифровизацията</w:t>
      </w:r>
      <w:r>
        <w:rPr>
          <w:rFonts w:ascii="Times New Roman" w:hAnsi="Times New Roman"/>
          <w:noProof/>
          <w:sz w:val="24"/>
        </w:rPr>
        <w:t>. Информационният обмен между дружествата, акционерите и публичните органи все още често с</w:t>
      </w:r>
      <w:r>
        <w:rPr>
          <w:rFonts w:ascii="Times New Roman" w:hAnsi="Times New Roman"/>
          <w:noProof/>
          <w:sz w:val="24"/>
        </w:rPr>
        <w:t>е осъществява на хартиен носител. В редица дружества например акционерите все още не могат да гласуват по електронен път, а липсва и общоевропейски електронен дружествен регистър. Използването на съвременните технологии в тези области ще спомогне за съкращ</w:t>
      </w:r>
      <w:r>
        <w:rPr>
          <w:rFonts w:ascii="Times New Roman" w:hAnsi="Times New Roman"/>
          <w:noProof/>
          <w:sz w:val="24"/>
        </w:rPr>
        <w:t xml:space="preserve">аване на разходите и тежестите и ще осигури по-ефикасна комуникация, особено в трансграничен план. </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 xml:space="preserve">Въпроси </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23) Има ли механизми за подобряване на функционирането и ефективността на пазарите, които не са обхванати в настоящия документ, по-специално по отн</w:t>
      </w:r>
      <w:r>
        <w:rPr>
          <w:rFonts w:ascii="Times New Roman" w:hAnsi="Times New Roman"/>
          <w:i/>
          <w:noProof/>
          <w:sz w:val="24"/>
        </w:rPr>
        <w:t xml:space="preserve">ошение на функционирането на пазара на акции и облигации и на ликвидността? </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 xml:space="preserve">24) Има ли според вас области, в които единните норми са все още недостатъчно разгърнати? </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i/>
          <w:noProof/>
          <w:sz w:val="24"/>
        </w:rPr>
        <w:t>25) Смятате ли, че правомощията на ЕНО за гарантиране на последователен надзор са достат</w:t>
      </w:r>
      <w:r>
        <w:rPr>
          <w:rFonts w:ascii="Times New Roman" w:hAnsi="Times New Roman"/>
          <w:i/>
          <w:noProof/>
          <w:sz w:val="24"/>
        </w:rPr>
        <w:t>ъчни? Какви допълнителни мерки във връзка с надзора на равнище ЕС биха допринесли съществено за изграждането на съюз на капиталовите пазари?</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26) Предвид натрупания опит виждате ли целеви изменения на разпоредбите относно притежаването на ценни книжа, които</w:t>
      </w:r>
      <w:r>
        <w:rPr>
          <w:rFonts w:ascii="Times New Roman" w:hAnsi="Times New Roman"/>
          <w:i/>
          <w:noProof/>
          <w:sz w:val="24"/>
        </w:rPr>
        <w:t xml:space="preserve"> биха могли да допринесат за по-интегрирани капиталови пазари в рамките на ЕС?</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27) Какви мерки биха могли да се предприемат за подобряване на трансграничното движение на обезпечения? Необходими ли са усилия за подобряване на трансграничната юридическа вали</w:t>
      </w:r>
      <w:r>
        <w:rPr>
          <w:rFonts w:ascii="Times New Roman" w:hAnsi="Times New Roman"/>
          <w:i/>
          <w:noProof/>
          <w:sz w:val="24"/>
        </w:rPr>
        <w:t>дност на обезпеченията и споразуменията за приключващо нетиране?</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28) Кои са основните пречки пред интегрираните капиталови пазари, породени от дружественото право, включително от нормите в областта на корпоративното управление? Виждате ли целеви мерки, кои</w:t>
      </w:r>
      <w:r>
        <w:rPr>
          <w:rFonts w:ascii="Times New Roman" w:hAnsi="Times New Roman"/>
          <w:i/>
          <w:noProof/>
          <w:sz w:val="24"/>
        </w:rPr>
        <w:t>то биха могли да допринесат за преодоляването им?</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29) Кои специфични аспекти на нормативната уредба на несъстоятелността трябва да бъдат хармонизирани, за да се подкрепи развитието на общоевропейски капиталов пазар?</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30) Какви пречки около данъчното облаган</w:t>
      </w:r>
      <w:r>
        <w:rPr>
          <w:rFonts w:ascii="Times New Roman" w:hAnsi="Times New Roman"/>
          <w:i/>
          <w:noProof/>
          <w:sz w:val="24"/>
        </w:rPr>
        <w:t>е следва да бъдат разгледани с приоритет, за да се достигне по-висока степен на интеграция на капиталовите пазари в рамките на ЕС и за по-стабилна структура на финансиране на корпоративно равнище? Чрез какви инструменти?</w:t>
      </w:r>
    </w:p>
    <w:p w:rsidR="005E5425" w:rsidRDefault="004916D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szCs w:val="24"/>
        </w:rPr>
      </w:pPr>
      <w:r>
        <w:rPr>
          <w:rFonts w:ascii="Times New Roman" w:hAnsi="Times New Roman"/>
          <w:i/>
          <w:noProof/>
          <w:sz w:val="24"/>
        </w:rPr>
        <w:t>31) Как ЕС може най-добре да насърч</w:t>
      </w:r>
      <w:r>
        <w:rPr>
          <w:rFonts w:ascii="Times New Roman" w:hAnsi="Times New Roman"/>
          <w:i/>
          <w:noProof/>
          <w:sz w:val="24"/>
        </w:rPr>
        <w:t>и развитието на пазара на нови технологии и бизнес модели в подкрепа на по-интегрирани и ефикасни капиталови пазари?</w:t>
      </w:r>
    </w:p>
    <w:p w:rsidR="005E5425" w:rsidRDefault="004916DA">
      <w:pPr>
        <w:pBdr>
          <w:top w:val="single" w:sz="4" w:space="1" w:color="auto"/>
          <w:left w:val="single" w:sz="4" w:space="4" w:color="auto"/>
          <w:bottom w:val="single" w:sz="4" w:space="1" w:color="auto"/>
          <w:right w:val="single" w:sz="4" w:space="4" w:color="auto"/>
        </w:pBdr>
        <w:autoSpaceDE w:val="0"/>
        <w:autoSpaceDN w:val="0"/>
        <w:spacing w:line="240" w:lineRule="auto"/>
        <w:jc w:val="both"/>
        <w:rPr>
          <w:rFonts w:ascii="Times New Roman" w:hAnsi="Times New Roman"/>
          <w:i/>
          <w:noProof/>
          <w:sz w:val="24"/>
          <w:szCs w:val="24"/>
        </w:rPr>
      </w:pPr>
      <w:r>
        <w:rPr>
          <w:rFonts w:ascii="Times New Roman" w:hAnsi="Times New Roman"/>
          <w:i/>
          <w:noProof/>
          <w:sz w:val="24"/>
        </w:rPr>
        <w:t>32) Има ли други проблеми, пропуснати в настоящата зелена книга, които според вас изискват действия за постигане на съюз на капиталовите па</w:t>
      </w:r>
      <w:r>
        <w:rPr>
          <w:rFonts w:ascii="Times New Roman" w:hAnsi="Times New Roman"/>
          <w:i/>
          <w:noProof/>
          <w:sz w:val="24"/>
        </w:rPr>
        <w:t>зари? Ако смятате, че има — какви са те, както и каква форма биха могли да възприемат такива действия?</w:t>
      </w:r>
    </w:p>
    <w:p w:rsidR="005E5425" w:rsidRDefault="005E5425">
      <w:pPr>
        <w:spacing w:line="240" w:lineRule="auto"/>
        <w:jc w:val="both"/>
        <w:rPr>
          <w:rFonts w:ascii="Times New Roman" w:hAnsi="Times New Roman"/>
          <w:b/>
          <w:i/>
          <w:noProof/>
          <w:sz w:val="24"/>
          <w:szCs w:val="24"/>
        </w:rPr>
      </w:pPr>
    </w:p>
    <w:p w:rsidR="005E5425" w:rsidRDefault="004916DA">
      <w:pPr>
        <w:keepNext/>
        <w:spacing w:line="240" w:lineRule="auto"/>
        <w:jc w:val="both"/>
        <w:outlineLvl w:val="0"/>
        <w:rPr>
          <w:rFonts w:ascii="Times New Roman" w:eastAsia="Times New Roman" w:hAnsi="Times New Roman"/>
          <w:b/>
          <w:smallCaps/>
          <w:noProof/>
          <w:sz w:val="24"/>
          <w:szCs w:val="24"/>
        </w:rPr>
      </w:pPr>
      <w:r>
        <w:rPr>
          <w:rFonts w:ascii="Times New Roman" w:hAnsi="Times New Roman"/>
          <w:noProof/>
        </w:rPr>
        <w:br w:type="page"/>
      </w:r>
      <w:r>
        <w:rPr>
          <w:rFonts w:ascii="Times New Roman" w:hAnsi="Times New Roman"/>
          <w:b/>
          <w:smallCaps/>
          <w:noProof/>
          <w:sz w:val="24"/>
        </w:rPr>
        <w:t>Раздел 5:  Следващи етапи</w:t>
      </w:r>
    </w:p>
    <w:p w:rsidR="005E5425" w:rsidRDefault="004916DA">
      <w:pPr>
        <w:keepNext/>
        <w:spacing w:line="240" w:lineRule="auto"/>
        <w:jc w:val="both"/>
        <w:outlineLvl w:val="0"/>
        <w:rPr>
          <w:rFonts w:ascii="Times New Roman" w:hAnsi="Times New Roman"/>
          <w:noProof/>
          <w:sz w:val="24"/>
          <w:szCs w:val="24"/>
        </w:rPr>
      </w:pPr>
      <w:r>
        <w:rPr>
          <w:rFonts w:ascii="Times New Roman" w:hAnsi="Times New Roman"/>
          <w:noProof/>
          <w:sz w:val="24"/>
        </w:rPr>
        <w:t xml:space="preserve">Въз основа на резултатите от консултацията Комисията ще обмисли необходимите приоритетни действия за поставяне до 2019 г. на </w:t>
      </w:r>
      <w:r>
        <w:rPr>
          <w:rFonts w:ascii="Times New Roman" w:hAnsi="Times New Roman"/>
          <w:noProof/>
          <w:sz w:val="24"/>
        </w:rPr>
        <w:t>основите на интегриран, подходящо регламентиран, прозрачен и ликвиден съюз на капиталовите пазари за всички 28 държави членки. В допълнение към подпомагането, когато е възможно, на пазарно-ориентирани инициативи действията на ЕС могат да приемат формата на</w:t>
      </w:r>
      <w:r>
        <w:rPr>
          <w:rFonts w:ascii="Times New Roman" w:hAnsi="Times New Roman"/>
          <w:noProof/>
          <w:sz w:val="24"/>
        </w:rPr>
        <w:t xml:space="preserve"> незаконодателни мерки, законодателни актове, действия по прилагане на законодателството в областта на конкуренцията и нарушенията, както и отправени специфични препоръки към отделните държави членки в рамките на Европейския семестър. Държавите членки се н</w:t>
      </w:r>
      <w:r>
        <w:rPr>
          <w:rFonts w:ascii="Times New Roman" w:hAnsi="Times New Roman"/>
          <w:noProof/>
          <w:sz w:val="24"/>
        </w:rPr>
        <w:t>асърчават да проучат дали са налице бариери и пречки, създадени от националното законодателство и практики, и евентуално — как е най-добре те да бъдат преодолени.</w:t>
      </w:r>
    </w:p>
    <w:p w:rsidR="005E5425" w:rsidRDefault="004916DA">
      <w:pPr>
        <w:keepNext/>
        <w:spacing w:line="240" w:lineRule="auto"/>
        <w:jc w:val="both"/>
        <w:outlineLvl w:val="0"/>
        <w:rPr>
          <w:rFonts w:ascii="Times New Roman" w:hAnsi="Times New Roman"/>
          <w:noProof/>
          <w:sz w:val="24"/>
          <w:szCs w:val="24"/>
        </w:rPr>
      </w:pPr>
      <w:r>
        <w:rPr>
          <w:rFonts w:ascii="Times New Roman" w:hAnsi="Times New Roman"/>
          <w:noProof/>
          <w:sz w:val="24"/>
        </w:rPr>
        <w:t>Заинтересованите страни се приканват да изпратят своите отговори на въпросите в настоящата Зе</w:t>
      </w:r>
      <w:r>
        <w:rPr>
          <w:rFonts w:ascii="Times New Roman" w:hAnsi="Times New Roman"/>
          <w:noProof/>
          <w:sz w:val="24"/>
        </w:rPr>
        <w:t>лена книга до 13 май 2015 г. чрез</w:t>
      </w:r>
      <w:r>
        <w:rPr>
          <w:rFonts w:ascii="Times New Roman" w:hAnsi="Times New Roman"/>
          <w:b/>
          <w:noProof/>
          <w:sz w:val="24"/>
        </w:rPr>
        <w:t xml:space="preserve"> онлайн въпросника</w:t>
      </w:r>
      <w:r>
        <w:rPr>
          <w:rFonts w:ascii="Times New Roman" w:hAnsi="Times New Roman"/>
          <w:noProof/>
          <w:sz w:val="24"/>
        </w:rPr>
        <w:t xml:space="preserve">: </w:t>
      </w:r>
    </w:p>
    <w:p w:rsidR="005E5425" w:rsidRDefault="004916DA">
      <w:pPr>
        <w:keepNext/>
        <w:spacing w:line="240" w:lineRule="auto"/>
        <w:jc w:val="both"/>
        <w:outlineLvl w:val="0"/>
        <w:rPr>
          <w:rFonts w:ascii="Times New Roman" w:hAnsi="Times New Roman"/>
          <w:noProof/>
          <w:sz w:val="24"/>
          <w:szCs w:val="24"/>
        </w:rPr>
      </w:pPr>
      <w:hyperlink r:id="rId19">
        <w:r>
          <w:rPr>
            <w:rStyle w:val="Hyperlink"/>
            <w:rFonts w:ascii="Times New Roman" w:hAnsi="Times New Roman"/>
            <w:noProof/>
            <w:sz w:val="24"/>
          </w:rPr>
          <w:t>http://ec.europa.eu/finance/consultations/2015/capital-markets-union/index_en.htm</w:t>
        </w:r>
      </w:hyperlink>
      <w:r>
        <w:rPr>
          <w:rFonts w:ascii="Times New Roman" w:hAnsi="Times New Roman"/>
          <w:noProof/>
        </w:rPr>
        <w:t>.</w:t>
      </w:r>
      <w:r>
        <w:rPr>
          <w:rFonts w:ascii="Times New Roman" w:hAnsi="Times New Roman"/>
          <w:noProof/>
          <w:sz w:val="24"/>
        </w:rPr>
        <w:t xml:space="preserve"> По време на консул</w:t>
      </w:r>
      <w:r>
        <w:rPr>
          <w:rFonts w:ascii="Times New Roman" w:hAnsi="Times New Roman"/>
          <w:noProof/>
          <w:sz w:val="24"/>
        </w:rPr>
        <w:t xml:space="preserve">тационния процес Европейската комисия: </w:t>
      </w:r>
    </w:p>
    <w:p w:rsidR="005E5425" w:rsidRDefault="004916DA">
      <w:pPr>
        <w:keepNext/>
        <w:numPr>
          <w:ilvl w:val="0"/>
          <w:numId w:val="2"/>
        </w:numPr>
        <w:spacing w:line="240" w:lineRule="auto"/>
        <w:jc w:val="both"/>
        <w:outlineLvl w:val="0"/>
        <w:rPr>
          <w:rFonts w:ascii="Times New Roman" w:hAnsi="Times New Roman"/>
          <w:noProof/>
          <w:sz w:val="24"/>
          <w:szCs w:val="24"/>
        </w:rPr>
      </w:pPr>
      <w:r>
        <w:rPr>
          <w:rFonts w:ascii="Times New Roman" w:hAnsi="Times New Roman"/>
          <w:noProof/>
          <w:sz w:val="24"/>
        </w:rPr>
        <w:t xml:space="preserve">ще си сътрудничи с Европейския парламент, за да получи обратна връзка пряко от членовете му; </w:t>
      </w:r>
    </w:p>
    <w:p w:rsidR="005E5425" w:rsidRDefault="004916DA">
      <w:pPr>
        <w:keepNext/>
        <w:numPr>
          <w:ilvl w:val="0"/>
          <w:numId w:val="2"/>
        </w:numPr>
        <w:spacing w:line="240" w:lineRule="auto"/>
        <w:jc w:val="both"/>
        <w:outlineLvl w:val="0"/>
        <w:rPr>
          <w:rFonts w:ascii="Times New Roman" w:hAnsi="Times New Roman"/>
          <w:noProof/>
          <w:sz w:val="24"/>
          <w:szCs w:val="24"/>
        </w:rPr>
      </w:pPr>
      <w:r>
        <w:rPr>
          <w:rFonts w:ascii="Times New Roman" w:hAnsi="Times New Roman"/>
          <w:noProof/>
          <w:sz w:val="24"/>
        </w:rPr>
        <w:t xml:space="preserve">приканва държавите членки да организират консултации и мероприятия с участието на обществеността и националните </w:t>
      </w:r>
      <w:r>
        <w:rPr>
          <w:rFonts w:ascii="Times New Roman" w:hAnsi="Times New Roman"/>
          <w:noProof/>
          <w:sz w:val="24"/>
        </w:rPr>
        <w:t>парламентаристи, за да насърчи в национален мащаб дискусията по съюза на капиталовите пазари; както и</w:t>
      </w:r>
    </w:p>
    <w:p w:rsidR="005E5425" w:rsidRDefault="004916DA">
      <w:pPr>
        <w:keepNext/>
        <w:numPr>
          <w:ilvl w:val="0"/>
          <w:numId w:val="2"/>
        </w:numPr>
        <w:spacing w:line="240" w:lineRule="auto"/>
        <w:jc w:val="both"/>
        <w:outlineLvl w:val="0"/>
        <w:rPr>
          <w:rFonts w:ascii="Times New Roman" w:hAnsi="Times New Roman"/>
          <w:noProof/>
          <w:sz w:val="24"/>
          <w:szCs w:val="24"/>
        </w:rPr>
      </w:pPr>
      <w:r>
        <w:rPr>
          <w:rFonts w:ascii="Times New Roman" w:hAnsi="Times New Roman"/>
          <w:noProof/>
          <w:sz w:val="24"/>
        </w:rPr>
        <w:t>за да се информира по определени въпроси, ще организира по прозрачен и балансиран начин семинари за допитване до лицата със специфичен експертен опит като</w:t>
      </w:r>
      <w:r>
        <w:rPr>
          <w:rFonts w:ascii="Times New Roman" w:hAnsi="Times New Roman"/>
          <w:noProof/>
          <w:sz w:val="24"/>
        </w:rPr>
        <w:t xml:space="preserve"> представители на академичната общност и пазарните участници. </w:t>
      </w:r>
    </w:p>
    <w:p w:rsidR="005E5425" w:rsidRDefault="004916DA">
      <w:pPr>
        <w:spacing w:before="60" w:after="60"/>
        <w:jc w:val="both"/>
        <w:rPr>
          <w:rFonts w:ascii="Times New Roman" w:hAnsi="Times New Roman"/>
          <w:noProof/>
          <w:sz w:val="24"/>
          <w:szCs w:val="24"/>
        </w:rPr>
      </w:pPr>
      <w:r>
        <w:rPr>
          <w:rFonts w:ascii="Times New Roman" w:hAnsi="Times New Roman"/>
          <w:noProof/>
          <w:sz w:val="24"/>
        </w:rPr>
        <w:t>През лятото на 2015 г. Комисията ще организира конференция, с която консултацията ще приключи.  По-късно през 2015 г. ще бъде публикуван План за действие във връзка със съюза на капиталовите па</w:t>
      </w:r>
      <w:r>
        <w:rPr>
          <w:rFonts w:ascii="Times New Roman" w:hAnsi="Times New Roman"/>
          <w:noProof/>
          <w:sz w:val="24"/>
        </w:rPr>
        <w:t xml:space="preserve">зари.  </w:t>
      </w:r>
    </w:p>
    <w:p w:rsidR="005E5425" w:rsidRDefault="005E5425">
      <w:pPr>
        <w:keepNext/>
        <w:spacing w:line="240" w:lineRule="auto"/>
        <w:jc w:val="both"/>
        <w:outlineLvl w:val="0"/>
        <w:rPr>
          <w:rFonts w:ascii="Times New Roman" w:hAnsi="Times New Roman"/>
          <w:noProof/>
          <w:sz w:val="24"/>
          <w:szCs w:val="24"/>
        </w:rPr>
      </w:pPr>
    </w:p>
    <w:p w:rsidR="005E5425" w:rsidRDefault="005E5425">
      <w:pPr>
        <w:spacing w:line="240" w:lineRule="auto"/>
        <w:jc w:val="both"/>
        <w:rPr>
          <w:rFonts w:ascii="Times New Roman" w:hAnsi="Times New Roman"/>
          <w:noProof/>
          <w:sz w:val="24"/>
          <w:szCs w:val="24"/>
        </w:rPr>
      </w:pPr>
    </w:p>
    <w:p w:rsidR="005E5425" w:rsidRDefault="005E5425">
      <w:pPr>
        <w:spacing w:after="120"/>
        <w:rPr>
          <w:rFonts w:ascii="Times New Roman" w:hAnsi="Times New Roman"/>
          <w:b/>
          <w:noProof/>
          <w:sz w:val="24"/>
          <w:szCs w:val="24"/>
        </w:rPr>
      </w:pPr>
    </w:p>
    <w:p w:rsidR="005E5425" w:rsidRDefault="005E5425">
      <w:pPr>
        <w:rPr>
          <w:rFonts w:ascii="Times New Roman" w:hAnsi="Times New Roman"/>
          <w:noProof/>
          <w:sz w:val="24"/>
          <w:szCs w:val="24"/>
        </w:rPr>
      </w:pPr>
    </w:p>
    <w:sectPr w:rsidR="005E542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25" w:rsidRDefault="004916DA">
      <w:pPr>
        <w:spacing w:after="0" w:line="240" w:lineRule="auto"/>
      </w:pPr>
      <w:r>
        <w:separator/>
      </w:r>
    </w:p>
  </w:endnote>
  <w:endnote w:type="continuationSeparator" w:id="0">
    <w:p w:rsidR="005E5425" w:rsidRDefault="0049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4916DA">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4916DA">
    <w:pPr>
      <w:pStyle w:val="Footer"/>
      <w:jc w:val="right"/>
    </w:pPr>
    <w:r>
      <w:fldChar w:fldCharType="begin"/>
    </w:r>
    <w:r>
      <w:instrText xml:space="preserve"> PAGE   \* MERGEFORMAT </w:instrText>
    </w:r>
    <w:r>
      <w:fldChar w:fldCharType="separate"/>
    </w:r>
    <w:r>
      <w:rPr>
        <w:noProof/>
      </w:rPr>
      <w:t>4</w:t>
    </w:r>
    <w:r>
      <w:rPr>
        <w:noProof/>
      </w:rPr>
      <w:fldChar w:fldCharType="end"/>
    </w:r>
  </w:p>
  <w:p w:rsidR="005E5425" w:rsidRDefault="005E54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25" w:rsidRDefault="004916DA">
      <w:pPr>
        <w:spacing w:after="0" w:line="240" w:lineRule="auto"/>
      </w:pPr>
      <w:r>
        <w:separator/>
      </w:r>
    </w:p>
  </w:footnote>
  <w:footnote w:type="continuationSeparator" w:id="0">
    <w:p w:rsidR="005E5425" w:rsidRDefault="004916DA">
      <w:pPr>
        <w:spacing w:after="0" w:line="240" w:lineRule="auto"/>
      </w:pPr>
      <w:r>
        <w:continuationSeparator/>
      </w:r>
    </w:p>
  </w:footnote>
  <w:footnote w:id="1">
    <w:p w:rsidR="005E5425" w:rsidRDefault="004916DA">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auto"/>
          <w:sz w:val="20"/>
        </w:rPr>
        <w:t xml:space="preserve">Например нормотворчеството в областта на пазарите на финансови инструменти (ДПФИ II), пазарната злоупотреба (РПЗ/ДПЗ), лицата, управляващи алтернативни инвестиционни фондове (Директивата относно ЛУАИФ), </w:t>
      </w:r>
      <w:r>
        <w:rPr>
          <w:rFonts w:ascii="Times New Roman" w:hAnsi="Times New Roman"/>
          <w:color w:val="auto"/>
          <w:sz w:val="20"/>
        </w:rPr>
        <w:t>европейската пазарна инфраструктура (Регламент за европейската пазарна инфраструктура) и централните депозитари на ценни книжа (Регламент относно ЦДЦК).</w:t>
      </w:r>
    </w:p>
  </w:footnote>
  <w:footnote w:id="2">
    <w:p w:rsidR="005E5425" w:rsidRDefault="004916D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COM(2014) 903 final, 26.11.2014 г.</w:t>
      </w:r>
    </w:p>
  </w:footnote>
  <w:footnote w:id="3">
    <w:p w:rsidR="005E5425" w:rsidRDefault="004916DA">
      <w:pPr>
        <w:pStyle w:val="FootnoteText"/>
        <w:spacing w:after="0" w:line="240" w:lineRule="auto"/>
        <w:rPr>
          <w:rFonts w:ascii="Times New Roman" w:hAnsi="Times New Roman"/>
          <w:lang w:val="lv-LV"/>
        </w:rPr>
      </w:pPr>
      <w:r>
        <w:rPr>
          <w:rStyle w:val="FootnoteReference"/>
          <w:rFonts w:ascii="Times New Roman" w:hAnsi="Times New Roman"/>
        </w:rPr>
        <w:footnoteRef/>
      </w:r>
      <w:r>
        <w:rPr>
          <w:rFonts w:ascii="Times New Roman" w:hAnsi="Times New Roman"/>
        </w:rPr>
        <w:t xml:space="preserve"> Пакет от документи в областта на статистиката на Европейския инс</w:t>
      </w:r>
      <w:r>
        <w:rPr>
          <w:rFonts w:ascii="Times New Roman" w:hAnsi="Times New Roman"/>
        </w:rPr>
        <w:t>титут за капиталовите пазари (ECMI), 2014 г.</w:t>
      </w:r>
    </w:p>
  </w:footnote>
  <w:footnote w:id="4">
    <w:p w:rsidR="005E5425" w:rsidRDefault="004916DA">
      <w:pPr>
        <w:pStyle w:val="FootnoteText"/>
      </w:pPr>
      <w:r>
        <w:rPr>
          <w:rStyle w:val="FootnoteReference"/>
        </w:rPr>
        <w:footnoteRef/>
      </w:r>
      <w:r>
        <w:t xml:space="preserve"> </w:t>
      </w:r>
      <w:r>
        <w:rPr>
          <w:rFonts w:ascii="Times New Roman" w:hAnsi="Times New Roman"/>
        </w:rPr>
        <w:t>Част от REFIT (Програма за пригодност и резултатност на нормативната уредба)</w:t>
      </w:r>
    </w:p>
  </w:footnote>
  <w:footnote w:id="5">
    <w:p w:rsidR="005E5425" w:rsidRDefault="004916DA">
      <w:pPr>
        <w:pStyle w:val="FootnoteText"/>
        <w:spacing w:after="0"/>
      </w:pPr>
      <w:r>
        <w:rPr>
          <w:rStyle w:val="FootnoteReference"/>
        </w:rPr>
        <w:footnoteRef/>
      </w:r>
      <w:r>
        <w:t xml:space="preserve"> </w:t>
      </w:r>
      <w:r>
        <w:rPr>
          <w:rFonts w:ascii="Times New Roman" w:hAnsi="Times New Roman"/>
        </w:rPr>
        <w:t>Европейски структурирани таблици с финансови данни SIFMA/AFME (4-то тримесечие на 2014 г.).</w:t>
      </w:r>
    </w:p>
  </w:footnote>
  <w:footnote w:id="6">
    <w:p w:rsidR="005E5425" w:rsidRDefault="004916DA">
      <w:pPr>
        <w:autoSpaceDE w:val="0"/>
        <w:autoSpaceDN w:val="0"/>
        <w:adjustRightInd w:val="0"/>
        <w:spacing w:after="0" w:line="240" w:lineRule="auto"/>
        <w:rPr>
          <w:rFonts w:ascii="Times New Roman" w:hAnsi="Times New Roman"/>
          <w:sz w:val="20"/>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rPr>
        <w:t xml:space="preserve">Предложение за регламент на Европейския парламент и на Съвета относно Европейския фонд за стратегически инвестиции и за изменение на регламенти (ЕС) № 1291/2013 и (ЕС) № 1316/2013, COM(2015)10 </w:t>
      </w:r>
    </w:p>
  </w:footnote>
  <w:footnote w:id="7">
    <w:p w:rsidR="005E5425" w:rsidRDefault="004916D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Вж. доклада на ICMA за третото тримесечие на 2014 г.</w:t>
      </w:r>
    </w:p>
  </w:footnote>
  <w:footnote w:id="8">
    <w:p w:rsidR="005E5425" w:rsidRDefault="004916DA">
      <w:pPr>
        <w:pStyle w:val="FootnoteText"/>
      </w:pPr>
      <w:r>
        <w:rPr>
          <w:rStyle w:val="FootnoteReference"/>
        </w:rPr>
        <w:footnoteRef/>
      </w:r>
      <w:r>
        <w:t xml:space="preserve"> </w:t>
      </w:r>
      <w:r>
        <w:rPr>
          <w:rFonts w:ascii="Times New Roman" w:hAnsi="Times New Roman"/>
          <w:noProof/>
        </w:rPr>
        <w:t>Европ</w:t>
      </w:r>
      <w:r>
        <w:rPr>
          <w:rFonts w:ascii="Times New Roman" w:hAnsi="Times New Roman"/>
          <w:noProof/>
        </w:rPr>
        <w:t>ейските структурни и инвестиционни фондове (ESIF) могат да играят важна роля и при инфраструктурните инвестиции, при условие че са изпълнени съответните критерии за допустимост.</w:t>
      </w:r>
    </w:p>
  </w:footnote>
  <w:footnote w:id="9">
    <w:p w:rsidR="005E5425" w:rsidRDefault="004916DA">
      <w:pPr>
        <w:pStyle w:val="FootnoteText"/>
        <w:spacing w:after="0" w:line="240" w:lineRule="auto"/>
      </w:pPr>
      <w:r>
        <w:rPr>
          <w:rStyle w:val="FootnoteReference"/>
          <w:rFonts w:ascii="Times New Roman" w:hAnsi="Times New Roman"/>
        </w:rPr>
        <w:footnoteRef/>
      </w:r>
      <w:r>
        <w:rPr>
          <w:rFonts w:ascii="Times New Roman" w:hAnsi="Times New Roman"/>
        </w:rPr>
        <w:t xml:space="preserve"> Например многостранните търговски системи (МТС).</w:t>
      </w:r>
    </w:p>
  </w:footnote>
  <w:footnote w:id="10">
    <w:p w:rsidR="005E5425" w:rsidRDefault="004916D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Вж. COM(2015)10 final, чл</w:t>
      </w:r>
      <w:r>
        <w:rPr>
          <w:rFonts w:ascii="Times New Roman" w:hAnsi="Times New Roman"/>
        </w:rPr>
        <w:t>ен 9.</w:t>
      </w:r>
    </w:p>
  </w:footnote>
  <w:footnote w:id="11">
    <w:p w:rsidR="005E5425" w:rsidRDefault="004916DA">
      <w:pPr>
        <w:autoSpaceDE w:val="0"/>
        <w:autoSpaceDN w:val="0"/>
        <w:adjustRightInd w:val="0"/>
        <w:spacing w:after="0" w:line="240" w:lineRule="auto"/>
        <w:jc w:val="both"/>
        <w:rPr>
          <w:rFonts w:ascii="Times New Roman" w:hAnsi="Times New Roman"/>
          <w:bCs/>
          <w:sz w:val="20"/>
          <w:szCs w:val="20"/>
          <w:lang w:eastAsia="en-GB"/>
        </w:rPr>
      </w:pPr>
      <w:r>
        <w:rPr>
          <w:rStyle w:val="FootnoteReference"/>
        </w:rPr>
        <w:footnoteRef/>
      </w:r>
      <w:r>
        <w:t xml:space="preserve"> </w:t>
      </w:r>
      <w:r>
        <w:rPr>
          <w:rFonts w:ascii="Times New Roman" w:hAnsi="Times New Roman"/>
          <w:sz w:val="20"/>
        </w:rPr>
        <w:t>COM(2014) 172.</w:t>
      </w:r>
    </w:p>
  </w:footnote>
  <w:footnote w:id="12">
    <w:p w:rsidR="005E5425" w:rsidRDefault="004916DA">
      <w:pPr>
        <w:pStyle w:val="Default"/>
        <w:jc w:val="both"/>
      </w:pPr>
      <w:r>
        <w:rPr>
          <w:rStyle w:val="FootnoteReference"/>
        </w:rPr>
        <w:footnoteRef/>
      </w:r>
      <w:r>
        <w:t xml:space="preserve"> </w:t>
      </w:r>
      <w:r>
        <w:rPr>
          <w:rFonts w:ascii="Times New Roman" w:hAnsi="Times New Roman"/>
          <w:sz w:val="20"/>
        </w:rPr>
        <w:t>Директива 2014/91/EC.</w:t>
      </w:r>
    </w:p>
  </w:footnote>
  <w:footnote w:id="13">
    <w:p w:rsidR="005E5425" w:rsidRDefault="004916DA">
      <w:pPr>
        <w:pStyle w:val="doc-ti"/>
        <w:spacing w:before="0" w:beforeAutospacing="0" w:after="0" w:afterAutospacing="0"/>
        <w:jc w:val="both"/>
      </w:pPr>
      <w:r>
        <w:rPr>
          <w:rStyle w:val="FootnoteReference"/>
        </w:rPr>
        <w:footnoteRef/>
      </w:r>
      <w:r>
        <w:t xml:space="preserve"> </w:t>
      </w:r>
      <w:r>
        <w:rPr>
          <w:sz w:val="20"/>
        </w:rPr>
        <w:t>Директива 2011/61/ЕС за изменение на директиви 2003/41/ЕО и 2009/65/ЕО и на регламенти (ЕО) № 1060/2009 и (ЕС) № 1095/2010.</w:t>
      </w:r>
    </w:p>
  </w:footnote>
  <w:footnote w:id="14">
    <w:p w:rsidR="005E5425" w:rsidRDefault="004916DA">
      <w:pPr>
        <w:pStyle w:val="doc-ti"/>
        <w:spacing w:before="0" w:beforeAutospacing="0" w:after="0" w:afterAutospacing="0"/>
      </w:pPr>
      <w:r>
        <w:rPr>
          <w:rStyle w:val="FootnoteReference"/>
        </w:rPr>
        <w:footnoteRef/>
      </w:r>
      <w:r>
        <w:t xml:space="preserve"> </w:t>
      </w:r>
      <w:r>
        <w:rPr>
          <w:sz w:val="20"/>
        </w:rPr>
        <w:t>Директива 2009/138/ЕО.</w:t>
      </w:r>
    </w:p>
  </w:footnote>
  <w:footnote w:id="15">
    <w:p w:rsidR="005E5425" w:rsidRDefault="004916DA">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допълнение към това, в областта на банковия пруденциал</w:t>
      </w:r>
      <w:r>
        <w:rPr>
          <w:rFonts w:ascii="Times New Roman" w:hAnsi="Times New Roman"/>
        </w:rPr>
        <w:t xml:space="preserve">ен надзор делегираният акт на Комисията относно коефициента на ликвидно покритие (КЛП) засилва стимулите за инвестиции в инфраструктурата и МСП и се очаква да улесни инвестициите в МСП.  </w:t>
      </w:r>
    </w:p>
  </w:footnote>
  <w:footnote w:id="16">
    <w:p w:rsidR="005E5425" w:rsidRDefault="004916D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http://europa.eu/rapid/press-release_MEMO-14-578_en.htm</w:t>
        </w:r>
      </w:hyperlink>
      <w:r>
        <w:rPr>
          <w:rFonts w:ascii="Times New Roman" w:hAnsi="Times New Roman"/>
        </w:rPr>
        <w:t xml:space="preserve">. </w:t>
      </w:r>
    </w:p>
  </w:footnote>
  <w:footnote w:id="17">
    <w:p w:rsidR="005E5425" w:rsidRDefault="004916D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Обединеното кралство, Германия, Швеция, Дания, Финландия, Нидерландия, Франция и Испания.</w:t>
      </w:r>
    </w:p>
  </w:footnote>
  <w:footnote w:id="18">
    <w:p w:rsidR="005E5425" w:rsidRDefault="004916DA">
      <w:pPr>
        <w:pStyle w:val="Defaul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Регламент (ЕС) № 345/2013.</w:t>
      </w:r>
    </w:p>
  </w:footnote>
  <w:footnote w:id="19">
    <w:p w:rsidR="005E5425" w:rsidRDefault="004916DA">
      <w:pPr>
        <w:pStyle w:val="Default"/>
        <w:autoSpaceDE/>
        <w:autoSpaceDN/>
        <w:adjustRightInd/>
        <w:spacing w:line="276" w:lineRule="auto"/>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Регла</w:t>
      </w:r>
      <w:r>
        <w:rPr>
          <w:rFonts w:ascii="Times New Roman" w:hAnsi="Times New Roman"/>
          <w:sz w:val="20"/>
        </w:rPr>
        <w:t>мент (ЕС) № 346/2013.</w:t>
      </w:r>
    </w:p>
  </w:footnote>
  <w:footnote w:id="20">
    <w:p w:rsidR="005E5425" w:rsidRDefault="004916DA">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(ЕС) № 1303/2013.</w:t>
      </w:r>
    </w:p>
  </w:footnote>
  <w:footnote w:id="21">
    <w:p w:rsidR="005E5425" w:rsidRDefault="004916DA">
      <w:pPr>
        <w:pStyle w:val="Default"/>
        <w:jc w:val="both"/>
        <w:rPr>
          <w:rFonts w:ascii="Times New Roman" w:hAnsi="Times New Roman"/>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Регламент (ЕС) № 1287/2013.</w:t>
      </w:r>
    </w:p>
  </w:footnote>
  <w:footnote w:id="22">
    <w:p w:rsidR="005E5425" w:rsidRDefault="004916DA">
      <w:pPr>
        <w:pStyle w:val="Default"/>
        <w:autoSpaceDE/>
        <w:autoSpaceDN/>
        <w:adjustRightInd/>
        <w:spacing w:line="276" w:lineRule="auto"/>
        <w:rPr>
          <w:rFonts w:ascii="Times New Roman" w:hAnsi="Times New Roman" w:cs="Times New Roman"/>
          <w:sz w:val="20"/>
          <w:szCs w:val="20"/>
        </w:rPr>
      </w:pPr>
      <w:r>
        <w:rPr>
          <w:rStyle w:val="FootnoteReference"/>
          <w:rFonts w:ascii="Times New Roman" w:hAnsi="Times New Roman"/>
          <w:sz w:val="20"/>
        </w:rPr>
        <w:footnoteRef/>
      </w:r>
      <w:r>
        <w:rPr>
          <w:rStyle w:val="FootnoteReference"/>
        </w:rPr>
        <w:t xml:space="preserve"> </w:t>
      </w:r>
      <w:r>
        <w:rPr>
          <w:rFonts w:ascii="Times New Roman" w:hAnsi="Times New Roman"/>
          <w:sz w:val="20"/>
        </w:rPr>
        <w:t>ОВ С 19, 22.1.2014 г., стр. 1.</w:t>
      </w:r>
    </w:p>
  </w:footnote>
  <w:footnote w:id="23">
    <w:p w:rsidR="005E5425" w:rsidRDefault="004916DA">
      <w:pPr>
        <w:pStyle w:val="FootnoteText"/>
      </w:pPr>
      <w:r>
        <w:rPr>
          <w:rStyle w:val="FootnoteReference"/>
          <w:rFonts w:ascii="Times New Roman" w:hAnsi="Times New Roman"/>
          <w:color w:val="000000"/>
        </w:rPr>
        <w:footnoteRef/>
      </w:r>
      <w:r>
        <w:rPr>
          <w:rStyle w:val="FootnoteReference"/>
          <w:rFonts w:ascii="EUAlbertina" w:hAnsi="EUAlbertina"/>
          <w:color w:val="000000"/>
          <w:sz w:val="24"/>
        </w:rPr>
        <w:t xml:space="preserve"> </w:t>
      </w:r>
      <w:r>
        <w:rPr>
          <w:rFonts w:ascii="Times New Roman" w:hAnsi="Times New Roman"/>
          <w:color w:val="000000"/>
        </w:rPr>
        <w:t>Бизнес ангелите са индивидуални инвеститори, обикновено с опит в бизнеса, които предоставят капитал на новосъздадени предприятия.</w:t>
      </w:r>
    </w:p>
  </w:footnote>
  <w:footnote w:id="24">
    <w:p w:rsidR="005E5425" w:rsidRDefault="004916DA">
      <w:pPr>
        <w:pStyle w:val="FootnoteText"/>
        <w:spacing w:after="0"/>
      </w:pPr>
      <w:r>
        <w:rPr>
          <w:rStyle w:val="FootnoteReference"/>
          <w:rFonts w:ascii="Times New Roman" w:hAnsi="Times New Roman"/>
        </w:rPr>
        <w:footnoteRef/>
      </w:r>
      <w:r>
        <w:rPr>
          <w:rFonts w:ascii="Times New Roman" w:hAnsi="Times New Roman"/>
        </w:rPr>
        <w:t xml:space="preserve"> Fact Book 2014, European Fund and Asset Management Association.</w:t>
      </w:r>
    </w:p>
  </w:footnote>
  <w:footnote w:id="25">
    <w:p w:rsidR="005E5425" w:rsidRDefault="004916DA">
      <w:pPr>
        <w:pStyle w:val="Default"/>
        <w:jc w:val="both"/>
      </w:pPr>
      <w:r>
        <w:rPr>
          <w:rStyle w:val="FootnoteReference"/>
        </w:rPr>
        <w:footnoteRef/>
      </w:r>
      <w:r>
        <w:t xml:space="preserve"> </w:t>
      </w:r>
      <w:r>
        <w:rPr>
          <w:rFonts w:ascii="Times New Roman" w:hAnsi="Times New Roman"/>
          <w:sz w:val="20"/>
        </w:rPr>
        <w:t>Директива 2014/65/ЕС за изменение на Директива 2002/92/ЕО и Директива 2011/61/ЕС.</w:t>
      </w:r>
    </w:p>
  </w:footnote>
  <w:footnote w:id="26">
    <w:p w:rsidR="005E5425" w:rsidRDefault="004916D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COM(2014) 509.</w:t>
      </w:r>
    </w:p>
  </w:footnote>
  <w:footnote w:id="27">
    <w:p w:rsidR="005E5425" w:rsidRDefault="004916DA">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COM(2010) 343.</w:t>
      </w:r>
    </w:p>
  </w:footnote>
  <w:footnote w:id="28">
    <w:p w:rsidR="005E5425" w:rsidRDefault="004916DA">
      <w:pPr>
        <w:pStyle w:val="FootnoteText"/>
        <w:jc w:val="both"/>
      </w:pPr>
      <w:r>
        <w:rPr>
          <w:rStyle w:val="FootnoteReference"/>
          <w:rFonts w:ascii="Times New Roman" w:hAnsi="Times New Roman"/>
        </w:rPr>
        <w:footnoteRef/>
      </w:r>
      <w:r>
        <w:t xml:space="preserve"> </w:t>
      </w:r>
      <w:r>
        <w:rPr>
          <w:rFonts w:ascii="Times New Roman" w:hAnsi="Times New Roman"/>
          <w:color w:val="000000"/>
        </w:rPr>
        <w:t xml:space="preserve">Освен това в своите търговски и инвестиционни споразумения ЕС следи за </w:t>
      </w:r>
      <w:r>
        <w:rPr>
          <w:rFonts w:ascii="Times New Roman" w:hAnsi="Times New Roman"/>
          <w:color w:val="000000"/>
        </w:rPr>
        <w:t>подходящи гаранции за адекватна защита в области като безопасността, здравето, опазването на околната среда, културното многообразие и др.</w:t>
      </w:r>
    </w:p>
  </w:footnote>
  <w:footnote w:id="29">
    <w:p w:rsidR="005E5425" w:rsidRDefault="004916D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COM(2014) 509.</w:t>
      </w:r>
    </w:p>
  </w:footnote>
  <w:footnote w:id="30">
    <w:p w:rsidR="005E5425" w:rsidRDefault="004916DA">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Регламент (ЕС) № 648/2012.</w:t>
      </w:r>
    </w:p>
  </w:footnote>
  <w:footnote w:id="31">
    <w:p w:rsidR="005E5425" w:rsidRDefault="004916DA">
      <w:pPr>
        <w:pStyle w:val="Default"/>
        <w:jc w:val="both"/>
        <w:rPr>
          <w:rFonts w:ascii="Times New Roman" w:hAnsi="Times New Roman" w:cs="Times New Roman"/>
          <w:sz w:val="20"/>
          <w:szCs w:val="20"/>
        </w:rPr>
      </w:pPr>
      <w:r>
        <w:rPr>
          <w:rStyle w:val="FootnoteReference"/>
          <w:rFonts w:ascii="Times New Roman" w:hAnsi="Times New Roman"/>
        </w:rPr>
        <w:footnoteRef/>
      </w:r>
      <w:r>
        <w:t xml:space="preserve"> </w:t>
      </w:r>
      <w:r>
        <w:rPr>
          <w:rStyle w:val="Strong"/>
          <w:rFonts w:ascii="Times New Roman" w:hAnsi="Times New Roman"/>
          <w:b w:val="0"/>
          <w:sz w:val="20"/>
        </w:rPr>
        <w:t>Регламент (ЕС) № 575/</w:t>
      </w:r>
      <w:r>
        <w:rPr>
          <w:rStyle w:val="Strong"/>
          <w:rFonts w:ascii="Times New Roman" w:hAnsi="Times New Roman" w:cs="Times New Roman"/>
          <w:b w:val="0"/>
          <w:sz w:val="20"/>
          <w:szCs w:val="20"/>
        </w:rPr>
        <w:t xml:space="preserve">2013 </w:t>
      </w:r>
      <w:r>
        <w:rPr>
          <w:rFonts w:ascii="Times New Roman" w:hAnsi="Times New Roman" w:cs="Times New Roman"/>
          <w:sz w:val="20"/>
          <w:szCs w:val="20"/>
        </w:rPr>
        <w:t xml:space="preserve"> за изменение на Регламент (ЕС) № 648/2012.</w:t>
      </w:r>
    </w:p>
  </w:footnote>
  <w:footnote w:id="32">
    <w:p w:rsidR="005E5425" w:rsidRDefault="004916D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2006/46/ЕО.</w:t>
      </w:r>
    </w:p>
  </w:footnote>
  <w:footnote w:id="33">
    <w:p w:rsidR="005E5425" w:rsidRDefault="004916D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2007/36/ЕО.</w:t>
      </w:r>
    </w:p>
  </w:footnote>
  <w:footnote w:id="34">
    <w:p w:rsidR="005E5425" w:rsidRDefault="004916DA">
      <w:pPr>
        <w:spacing w:after="0" w:line="240" w:lineRule="auto"/>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COM (2010) 284 и COM (2011) 164.</w:t>
      </w:r>
    </w:p>
  </w:footnote>
  <w:footnote w:id="35">
    <w:p w:rsidR="005E5425" w:rsidRDefault="004916D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Например Регламент (ЕО) № 2157/2001 и Директива 2005/56/ЕО.</w:t>
      </w:r>
    </w:p>
  </w:footnote>
  <w:footnote w:id="36">
    <w:p w:rsidR="005E5425" w:rsidRDefault="004916D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През 2015 г. Регламент № 1346/2000 относно производството по несъстоятелност ще бъде заменен от подобрен пра</w:t>
      </w:r>
      <w:r>
        <w:rPr>
          <w:rFonts w:ascii="Times New Roman" w:hAnsi="Times New Roman"/>
        </w:rPr>
        <w:t>вен инструмент.</w:t>
      </w:r>
    </w:p>
  </w:footnote>
  <w:footnote w:id="37">
    <w:p w:rsidR="005E5425" w:rsidRDefault="004916DA">
      <w:pPr>
        <w:autoSpaceDE w:val="0"/>
        <w:autoSpaceDN w:val="0"/>
        <w:adjustRightInd w:val="0"/>
        <w:spacing w:after="0" w:line="240" w:lineRule="auto"/>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Работен документ на службите на Комисията SWD(2014) 61 final. </w:t>
      </w:r>
    </w:p>
  </w:footnote>
  <w:footnote w:id="38">
    <w:p w:rsidR="005E5425" w:rsidRDefault="004916DA">
      <w:pPr>
        <w:autoSpaceDE w:val="0"/>
        <w:autoSpaceDN w:val="0"/>
        <w:adjustRightInd w:val="0"/>
        <w:spacing w:after="0" w:line="240" w:lineRule="auto"/>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Препоръка на Комисията C(2014) 1500.</w:t>
      </w:r>
    </w:p>
  </w:footnote>
  <w:footnote w:id="39">
    <w:p w:rsidR="005E5425" w:rsidRDefault="004916DA">
      <w:pPr>
        <w:pStyle w:val="FootnoteText"/>
        <w:spacing w:after="0" w:line="240" w:lineRule="auto"/>
        <w:jc w:val="both"/>
        <w:rPr>
          <w:rFonts w:ascii="Times New Roman" w:hAnsi="Times New Roman"/>
        </w:rPr>
      </w:pPr>
      <w:r>
        <w:rPr>
          <w:rStyle w:val="FootnoteReference"/>
        </w:rPr>
        <w:footnoteRef/>
      </w:r>
      <w:r>
        <w:t xml:space="preserve">  </w:t>
      </w:r>
      <w:r>
        <w:rPr>
          <w:rFonts w:ascii="Times New Roman" w:hAnsi="Times New Roman"/>
        </w:rPr>
        <w:t>Бялата книга „Програма за адекватни, сигурни и устойчиви пенсии“, изготвена въз основа на консултацията на зелената книга от 2010 г.,</w:t>
      </w:r>
      <w:r>
        <w:rPr>
          <w:rFonts w:ascii="Times New Roman" w:hAnsi="Times New Roman"/>
        </w:rPr>
        <w:t xml:space="preserve"> бе приета на 16 февруари 2012 г. В тази бяла книга се прави преглед на предизвикателствата пред адекватността и устойчивостта на пенсионните системи и се предлага набор от мерки на равнище ЕС.</w:t>
      </w:r>
    </w:p>
  </w:footnote>
  <w:footnote w:id="40">
    <w:p w:rsidR="005E5425" w:rsidRDefault="004916DA">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CPB (2014), "Study on R&amp;D tax incentives", Taxation papers </w:t>
      </w:r>
      <w:r>
        <w:rPr>
          <w:rFonts w:ascii="Times New Roman" w:hAnsi="Times New Roman"/>
        </w:rPr>
        <w:t>№ 52.</w:t>
      </w:r>
    </w:p>
  </w:footnote>
  <w:footnote w:id="41">
    <w:p w:rsidR="005E5425" w:rsidRDefault="004916DA">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http://www.accenture.com/SiteCollectionDocuments/PDF/Accenture-Rise-of-Fintech-New-York.pdf</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425" w:rsidRDefault="005E5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343"/>
    <w:multiLevelType w:val="hybridMultilevel"/>
    <w:tmpl w:val="3E94057E"/>
    <w:lvl w:ilvl="0" w:tplc="8878FD18">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A1C33"/>
    <w:multiLevelType w:val="hybridMultilevel"/>
    <w:tmpl w:val="1A32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E723D"/>
    <w:multiLevelType w:val="hybridMultilevel"/>
    <w:tmpl w:val="1A68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F92644"/>
    <w:multiLevelType w:val="hybridMultilevel"/>
    <w:tmpl w:val="57A0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8D3ECA"/>
    <w:multiLevelType w:val="hybridMultilevel"/>
    <w:tmpl w:val="B0BEDB7A"/>
    <w:lvl w:ilvl="0" w:tplc="08090001">
      <w:start w:val="1"/>
      <w:numFmt w:val="bullet"/>
      <w:lvlText w:val=""/>
      <w:lvlJc w:val="left"/>
      <w:pPr>
        <w:ind w:left="774" w:hanging="360"/>
      </w:pPr>
      <w:rPr>
        <w:rFonts w:ascii="Symbol" w:hAnsi="Symbol" w:hint="default"/>
      </w:rPr>
    </w:lvl>
    <w:lvl w:ilvl="1" w:tplc="A2506226">
      <w:numFmt w:val="bullet"/>
      <w:lvlText w:val="•"/>
      <w:lvlJc w:val="left"/>
      <w:pPr>
        <w:ind w:left="1854" w:hanging="720"/>
      </w:pPr>
      <w:rPr>
        <w:rFonts w:ascii="Times New Roman" w:eastAsia="Calibri" w:hAnsi="Times New Roman" w:cs="Times New Roman"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nsid w:val="708D2D42"/>
    <w:multiLevelType w:val="hybridMultilevel"/>
    <w:tmpl w:val="F42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5CDEE29CB88485B9F51841147D6E6D6"/>
    <w:docVar w:name="LW_CROSSREFERENCE" w:val="{SWD(2015) 13 final}"/>
    <w:docVar w:name="LW_DocType" w:val="NORMAL"/>
    <w:docVar w:name="LW_EMISSION" w:val="18.2.2015"/>
    <w:docVar w:name="LW_EMISSION_ISODATE" w:val="2015-02-18"/>
    <w:docVar w:name="LW_EMISSION_LOCATION" w:val="BRX"/>
    <w:docVar w:name="LW_EMISSION_PREFIX" w:val="Брюксел, "/>
    <w:docVar w:name="LW_EMISSION_SUFFIX" w:val=" \u1075?."/>
    <w:docVar w:name="LW_ID_DOCTYPE_NONLW" w:val="CP-02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3"/>
    <w:docVar w:name="LW_REF.INTERNE" w:val="&lt;UNUSED&gt;"/>
    <w:docVar w:name="LW_SOUS.TITRE.OBJ.CP" w:val="&lt;UNUSED&gt;"/>
    <w:docVar w:name="LW_SUPERTITRE" w:val="&lt;UNUSED&gt;"/>
    <w:docVar w:name="LW_TITRE.OBJ.CP" w:val="\u1048?\u1079?\u1075?\u1088?\u1072?\u1078?\u1076?\u1072?\u1085?\u1077? \u1085?\u1072? \u1089?\u1098?\u1102?\u1079? \u1085?\u1072? \u1082?\u1072?\u1087?\u1080?\u1090?\u1072?\u1083?\u1086?\u1074?\u1080?\u1090?\u1077? \u1087?\u1072?\u1079?\u1072?\u1088?\u1080?"/>
    <w:docVar w:name="LW_TYPE.DOC.CP" w:val="\u1047?\u1045?\u1051?\u1045?\u1053?\u1040? \u1050?\u1053?\u1048?\u1043?\u1040?"/>
  </w:docVars>
  <w:rsids>
    <w:rsidRoot w:val="005E5425"/>
    <w:rsid w:val="004916DA"/>
    <w:rsid w:val="005E54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ootnote,Char,Footnote text,Footnote Text Char2,Footnote Text Char1 Char,Footnote Text Char2 Char Char,Footnote Text Char1 Char Char Char,Footnote Text Char2 Char Char Char Char,Footnote Text Char Char1 Char Char Char Char,o,f,stile 1,ft"/>
    <w:basedOn w:val="Normal"/>
    <w:link w:val="FootnoteTextChar"/>
    <w:uiPriority w:val="99"/>
    <w:unhideWhenUsed/>
    <w:qFormat/>
    <w:rPr>
      <w:sz w:val="20"/>
      <w:szCs w:val="20"/>
    </w:rPr>
  </w:style>
  <w:style w:type="character" w:customStyle="1" w:styleId="FootnoteTextChar">
    <w:name w:val="Footnote Text Char"/>
    <w:aliases w:val="Footnote Char,Char Char,Footnote text Char,Footnote Text Char2 Char,Footnote Text Char1 Char Char,Footnote Text Char2 Char Char Char,Footnote Text Char1 Char Char Char Char,Footnote Text Char2 Char Char Char Char Char,o Char,f Char"/>
    <w:link w:val="FootnoteText"/>
    <w:uiPriority w:val="99"/>
    <w:rPr>
      <w:lang w:eastAsia="bg-BG"/>
    </w:rPr>
  </w:style>
  <w:style w:type="character" w:styleId="FootnoteReference">
    <w:name w:val="footnote reference"/>
    <w:aliases w:val="Footnote Reference Number Char,Footnote symbol Char,16 Point Char,Superscript 6 Point Char,Times 10 Point Char,Exposant 3 Point Char,Footnote reference number Char,Odwołanie przypisu Char,number Char,SUPERS Char1,Ref Char"/>
    <w:link w:val="FootnoteReferenceNumber"/>
    <w:uiPriority w:val="99"/>
    <w:unhideWhenUsed/>
    <w:qFormat/>
    <w:rPr>
      <w:vertAlign w:val="superscript"/>
    </w:rPr>
  </w:style>
  <w:style w:type="paragraph" w:customStyle="1" w:styleId="FootnoteReferenceNumber">
    <w:name w:val="Footnote Reference Number"/>
    <w:aliases w:val="Footnote symbol,16 Point,Superscript 6 Point,Times 10 Point,Exposant 3 Point,Footnote reference number,Odwołanie przypisu,number,SUPERS,Ref,de nota al pie,footnote ref,2001+ Fußnotenzeichen, Exposant 3 Point"/>
    <w:basedOn w:val="Normal"/>
    <w:link w:val="FootnoteReference"/>
    <w:uiPriority w:val="99"/>
    <w:pPr>
      <w:spacing w:after="160" w:line="240" w:lineRule="exact"/>
    </w:pPr>
    <w:rPr>
      <w:sz w:val="20"/>
      <w:szCs w:val="20"/>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character" w:styleId="Hyperlink">
    <w:name w:val="Hyperlink"/>
    <w:uiPriority w:val="99"/>
    <w:unhideWhenUsed/>
    <w:rPr>
      <w:color w:val="0000FF"/>
      <w:u w:val="single"/>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bg-BG"/>
    </w:rPr>
  </w:style>
  <w:style w:type="paragraph" w:styleId="ListParagraph">
    <w:name w:val="List Paragraph"/>
    <w:basedOn w:val="Normal"/>
    <w:uiPriority w:val="34"/>
    <w:qFormat/>
    <w:pPr>
      <w:spacing w:after="0" w:line="240" w:lineRule="auto"/>
      <w:ind w:left="720"/>
    </w:pPr>
  </w:style>
  <w:style w:type="paragraph" w:customStyle="1" w:styleId="SUPERSChar">
    <w:name w:val="SUPERS Char"/>
    <w:aliases w:val="EN Footnote Reference Char"/>
    <w:basedOn w:val="Normal"/>
    <w:uiPriority w:val="99"/>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aliases w:val="Footnote,Char,Footnote text,Footnote Text Char2,Footnote Text Char1 Char,Footnote Text Char2 Char Char,Footnote Text Char1 Char Char Char,Footnote Text Char2 Char Char Char Char,Footnote Text Char Char1 Char Char Char Char,o,f,stile 1,ft"/>
    <w:basedOn w:val="Normal"/>
    <w:link w:val="FootnoteTextChar"/>
    <w:uiPriority w:val="99"/>
    <w:unhideWhenUsed/>
    <w:qFormat/>
    <w:rPr>
      <w:sz w:val="20"/>
      <w:szCs w:val="20"/>
    </w:rPr>
  </w:style>
  <w:style w:type="character" w:customStyle="1" w:styleId="FootnoteTextChar">
    <w:name w:val="Footnote Text Char"/>
    <w:aliases w:val="Footnote Char,Char Char,Footnote text Char,Footnote Text Char2 Char,Footnote Text Char1 Char Char,Footnote Text Char2 Char Char Char,Footnote Text Char1 Char Char Char Char,Footnote Text Char2 Char Char Char Char Char,o Char,f Char"/>
    <w:link w:val="FootnoteText"/>
    <w:uiPriority w:val="99"/>
    <w:rPr>
      <w:lang w:eastAsia="bg-BG"/>
    </w:rPr>
  </w:style>
  <w:style w:type="character" w:styleId="FootnoteReference">
    <w:name w:val="footnote reference"/>
    <w:aliases w:val="Footnote Reference Number Char,Footnote symbol Char,16 Point Char,Superscript 6 Point Char,Times 10 Point Char,Exposant 3 Point Char,Footnote reference number Char,Odwołanie przypisu Char,number Char,SUPERS Char1,Ref Char"/>
    <w:link w:val="FootnoteReferenceNumber"/>
    <w:uiPriority w:val="99"/>
    <w:unhideWhenUsed/>
    <w:qFormat/>
    <w:rPr>
      <w:vertAlign w:val="superscript"/>
    </w:rPr>
  </w:style>
  <w:style w:type="paragraph" w:customStyle="1" w:styleId="FootnoteReferenceNumber">
    <w:name w:val="Footnote Reference Number"/>
    <w:aliases w:val="Footnote symbol,16 Point,Superscript 6 Point,Times 10 Point,Exposant 3 Point,Footnote reference number,Odwołanie przypisu,number,SUPERS,Ref,de nota al pie,footnote ref,2001+ Fußnotenzeichen, Exposant 3 Point"/>
    <w:basedOn w:val="Normal"/>
    <w:link w:val="FootnoteReference"/>
    <w:uiPriority w:val="99"/>
    <w:pPr>
      <w:spacing w:after="160" w:line="240" w:lineRule="exact"/>
    </w:pPr>
    <w:rPr>
      <w:sz w:val="20"/>
      <w:szCs w:val="20"/>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character" w:styleId="Hyperlink">
    <w:name w:val="Hyperlink"/>
    <w:uiPriority w:val="99"/>
    <w:unhideWhenUsed/>
    <w:rPr>
      <w:color w:val="0000FF"/>
      <w:u w:val="single"/>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eastAsia="bg-BG"/>
    </w:rPr>
  </w:style>
  <w:style w:type="paragraph" w:styleId="ListParagraph">
    <w:name w:val="List Paragraph"/>
    <w:basedOn w:val="Normal"/>
    <w:uiPriority w:val="34"/>
    <w:qFormat/>
    <w:pPr>
      <w:spacing w:after="0" w:line="240" w:lineRule="auto"/>
      <w:ind w:left="720"/>
    </w:pPr>
  </w:style>
  <w:style w:type="paragraph" w:customStyle="1" w:styleId="SUPERSChar">
    <w:name w:val="SUPERS Char"/>
    <w:aliases w:val="EN Footnote Reference Char"/>
    <w:basedOn w:val="Normal"/>
    <w:uiPriority w:val="99"/>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7758">
      <w:bodyDiv w:val="1"/>
      <w:marLeft w:val="0"/>
      <w:marRight w:val="0"/>
      <w:marTop w:val="0"/>
      <w:marBottom w:val="0"/>
      <w:divBdr>
        <w:top w:val="none" w:sz="0" w:space="0" w:color="auto"/>
        <w:left w:val="none" w:sz="0" w:space="0" w:color="auto"/>
        <w:bottom w:val="none" w:sz="0" w:space="0" w:color="auto"/>
        <w:right w:val="none" w:sz="0" w:space="0" w:color="auto"/>
      </w:divBdr>
    </w:div>
    <w:div w:id="841159483">
      <w:bodyDiv w:val="1"/>
      <w:marLeft w:val="0"/>
      <w:marRight w:val="0"/>
      <w:marTop w:val="0"/>
      <w:marBottom w:val="0"/>
      <w:divBdr>
        <w:top w:val="none" w:sz="0" w:space="0" w:color="auto"/>
        <w:left w:val="none" w:sz="0" w:space="0" w:color="auto"/>
        <w:bottom w:val="none" w:sz="0" w:space="0" w:color="auto"/>
        <w:right w:val="none" w:sz="0" w:space="0" w:color="auto"/>
      </w:divBdr>
    </w:div>
    <w:div w:id="1230922063">
      <w:bodyDiv w:val="1"/>
      <w:marLeft w:val="0"/>
      <w:marRight w:val="0"/>
      <w:marTop w:val="0"/>
      <w:marBottom w:val="0"/>
      <w:divBdr>
        <w:top w:val="none" w:sz="0" w:space="0" w:color="auto"/>
        <w:left w:val="none" w:sz="0" w:space="0" w:color="auto"/>
        <w:bottom w:val="none" w:sz="0" w:space="0" w:color="auto"/>
        <w:right w:val="none" w:sz="0" w:space="0" w:color="auto"/>
      </w:divBdr>
    </w:div>
    <w:div w:id="207277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c.europa.eu/finance/consultations/2015/capital-markets-union/index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ccenture.com/SiteCollectionDocuments/PDF/Accenture-Rise-of-Fintech-New-York.pdf" TargetMode="External"/><Relationship Id="rId1" Type="http://schemas.openxmlformats.org/officeDocument/2006/relationships/hyperlink" Target="http://europa.eu/rapid/press-release_MEMO-14-578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C162-A29D-4CB9-903B-FBD55DD7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12324</Words>
  <Characters>67782</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79947</CharactersWithSpaces>
  <SharedDoc>false</SharedDoc>
  <HLinks>
    <vt:vector size="18" baseType="variant">
      <vt:variant>
        <vt:i4>1245302</vt:i4>
      </vt:variant>
      <vt:variant>
        <vt:i4>6</vt:i4>
      </vt:variant>
      <vt:variant>
        <vt:i4>0</vt:i4>
      </vt:variant>
      <vt:variant>
        <vt:i4>5</vt:i4>
      </vt:variant>
      <vt:variant>
        <vt:lpwstr>http://ec.europa.eu/finance/consultations/2015/capital-markets-union/index_en.htm</vt:lpwstr>
      </vt:variant>
      <vt:variant>
        <vt:lpwstr/>
      </vt:variant>
      <vt:variant>
        <vt:i4>2424886</vt:i4>
      </vt:variant>
      <vt:variant>
        <vt:i4>0</vt:i4>
      </vt:variant>
      <vt:variant>
        <vt:i4>0</vt:i4>
      </vt:variant>
      <vt:variant>
        <vt:i4>5</vt:i4>
      </vt:variant>
      <vt:variant>
        <vt:lpwstr>http://www.accenture.com/SiteCollectionDocuments/PDF/Accenture-Rise-of-Fintech-New-York.pdf</vt:lpwstr>
      </vt:variant>
      <vt:variant>
        <vt:lpwstr/>
      </vt:variant>
      <vt:variant>
        <vt:i4>6750295</vt:i4>
      </vt:variant>
      <vt:variant>
        <vt:i4>15813</vt:i4>
      </vt:variant>
      <vt:variant>
        <vt:i4>1026</vt:i4>
      </vt:variant>
      <vt:variant>
        <vt:i4>1</vt:i4>
      </vt:variant>
      <vt:variant>
        <vt:lpwstr>cid:image001.png@01D04129.C0E25F70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2015-02-13T15:29:00Z</cp:lastPrinted>
  <dcterms:created xsi:type="dcterms:W3CDTF">2015-03-06T08:31:00Z</dcterms:created>
  <dcterms:modified xsi:type="dcterms:W3CDTF">2015-03-06T08:31:00Z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