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83" w:rsidRDefault="0065585A">
      <w:pPr>
        <w:pStyle w:val="Pagedecouverture"/>
        <w:rPr>
          <w:noProof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ECE5C4CACCC4EC49A7E0C83F63347D5" style="width:450.75pt;height:438pt">
            <v:imagedata r:id="rId8" o:title=""/>
          </v:shape>
        </w:pict>
      </w:r>
    </w:p>
    <w:p w:rsidR="00863D83" w:rsidRDefault="00863D83">
      <w:pPr>
        <w:rPr>
          <w:noProof/>
        </w:rPr>
        <w:sectPr w:rsidR="00863D83">
          <w:footerReference w:type="default" r:id="rId9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863D83" w:rsidRDefault="0065585A">
      <w:pPr>
        <w:pStyle w:val="Annexetitre"/>
        <w:rPr>
          <w:noProof/>
        </w:rPr>
      </w:pPr>
      <w:r>
        <w:rPr>
          <w:noProof/>
          <w:u w:val="none"/>
        </w:rPr>
        <w:lastRenderedPageBreak/>
        <w:t>ПРИЛОЖЕНИЕ</w:t>
      </w:r>
      <w:r>
        <w:rPr>
          <w:noProof/>
          <w:u w:val="none"/>
        </w:rPr>
        <w:br/>
      </w:r>
      <w:r>
        <w:rPr>
          <w:noProof/>
          <w:u w:val="none"/>
        </w:rPr>
        <w:br/>
      </w:r>
    </w:p>
    <w:p w:rsidR="00863D83" w:rsidRDefault="00863D83">
      <w:pPr>
        <w:rPr>
          <w:noProof/>
        </w:rPr>
      </w:pPr>
    </w:p>
    <w:p w:rsidR="00863D83" w:rsidRDefault="0065585A">
      <w:pPr>
        <w:rPr>
          <w:rFonts w:eastAsia="Times New Roman"/>
          <w:noProof/>
          <w:szCs w:val="24"/>
        </w:rPr>
      </w:pPr>
      <w:r>
        <w:rPr>
          <w:noProof/>
        </w:rPr>
        <w:t>До Негово Превъзходителство президента на Република Гвинея-Бисау,</w:t>
      </w:r>
    </w:p>
    <w:p w:rsidR="00863D83" w:rsidRDefault="0065585A">
      <w:pPr>
        <w:rPr>
          <w:rFonts w:eastAsia="Times New Roman"/>
          <w:noProof/>
          <w:szCs w:val="24"/>
        </w:rPr>
      </w:pPr>
      <w:r>
        <w:rPr>
          <w:noProof/>
        </w:rPr>
        <w:t xml:space="preserve">До Негово Превъзходителство министър-председателя на Република Гвинея-Бисау, </w:t>
      </w:r>
    </w:p>
    <w:p w:rsidR="00863D83" w:rsidRDefault="00863D83">
      <w:pPr>
        <w:rPr>
          <w:rFonts w:eastAsia="Times New Roman"/>
          <w:noProof/>
          <w:szCs w:val="24"/>
        </w:rPr>
      </w:pPr>
    </w:p>
    <w:p w:rsidR="00863D83" w:rsidRDefault="0065585A">
      <w:pPr>
        <w:rPr>
          <w:rFonts w:eastAsia="Times New Roman"/>
          <w:noProof/>
          <w:szCs w:val="24"/>
        </w:rPr>
      </w:pPr>
      <w:r>
        <w:rPr>
          <w:noProof/>
        </w:rPr>
        <w:t>Уважаеми господа,</w:t>
      </w:r>
    </w:p>
    <w:p w:rsidR="00863D83" w:rsidRDefault="0065585A">
      <w:pPr>
        <w:spacing w:after="0"/>
        <w:rPr>
          <w:rFonts w:eastAsia="Times New Roman"/>
          <w:noProof/>
          <w:spacing w:val="-6"/>
          <w:szCs w:val="24"/>
        </w:rPr>
      </w:pPr>
      <w:r>
        <w:rPr>
          <w:noProof/>
          <w:spacing w:val="-6"/>
        </w:rPr>
        <w:t>Европейският съюз (ЕС) счита постиженията на Гвинея-Бисау през изминалата година за много окуражителни. Страната отгърна нова страница, като проведе мирни и че</w:t>
      </w:r>
      <w:r>
        <w:rPr>
          <w:noProof/>
          <w:spacing w:val="-6"/>
        </w:rPr>
        <w:t xml:space="preserve">стни общи избори през април и май 2014 г., установявайки демократично избрани органи, включително приобщаващо правителство, за което вярваме, че е поело ангажимент за възстановяване на държавата, укрепване на нейните демократични институции и постигане на </w:t>
      </w:r>
      <w:r>
        <w:rPr>
          <w:noProof/>
          <w:spacing w:val="-6"/>
        </w:rPr>
        <w:t>напредък по отношение на социално-политическата стабилност и икономическото развитие.</w:t>
      </w:r>
    </w:p>
    <w:p w:rsidR="00863D83" w:rsidRDefault="0065585A">
      <w:pPr>
        <w:spacing w:after="0"/>
        <w:rPr>
          <w:rFonts w:eastAsia="Times New Roman"/>
          <w:noProof/>
          <w:spacing w:val="-4"/>
          <w:szCs w:val="24"/>
        </w:rPr>
      </w:pPr>
      <w:r>
        <w:rPr>
          <w:noProof/>
          <w:spacing w:val="-4"/>
        </w:rPr>
        <w:t>С оглед на възстановяването на конституционния ред и отбелязания напредък по отношение на ангажиментите, поети от Гвинея-Бисау съгласно член 96 от Споразумението от Котон</w:t>
      </w:r>
      <w:r>
        <w:rPr>
          <w:noProof/>
          <w:spacing w:val="-4"/>
        </w:rPr>
        <w:t>у, както и Вашия ангажимент за продължаване на изпълнението им чрез провеждането на необходимите реформи и предприемането на подходящи действия, имаме удоволствието да Ви информираме, че мерките, които от 2011 г. насам ограничаваха обхвата на сътрудничеств</w:t>
      </w:r>
      <w:r>
        <w:rPr>
          <w:noProof/>
          <w:spacing w:val="-4"/>
        </w:rPr>
        <w:t>ото за развитие на ЕС с Гвинея-Бисау, бяха отменени. Поради това възобновяваме изцяло нашето сътрудничество с Вашата страна.</w:t>
      </w:r>
    </w:p>
    <w:p w:rsidR="00863D83" w:rsidRDefault="0065585A">
      <w:pPr>
        <w:spacing w:after="0"/>
        <w:rPr>
          <w:rFonts w:eastAsia="Times New Roman"/>
          <w:noProof/>
          <w:spacing w:val="-2"/>
          <w:szCs w:val="24"/>
        </w:rPr>
      </w:pPr>
      <w:r>
        <w:rPr>
          <w:noProof/>
          <w:spacing w:val="-2"/>
        </w:rPr>
        <w:t xml:space="preserve">Тъй като Гвинея-Бисау все още е изправена пред множество политически и социално-икономически предизвикателства, бихме искали да Ви </w:t>
      </w:r>
      <w:r>
        <w:rPr>
          <w:noProof/>
          <w:spacing w:val="-2"/>
        </w:rPr>
        <w:t>насърчим да останете единни и да продължите усилията си за укрепване на демократичните институции,  за действително реформиране в сектора за сигурност, за укрепване на принципите на правовата държава, за борба с корупцията, безнаказаността и трафика на нар</w:t>
      </w:r>
      <w:r>
        <w:rPr>
          <w:noProof/>
          <w:spacing w:val="-2"/>
        </w:rPr>
        <w:t>котици, и за насърчаване на устойчивото развитие. ЕС е на Ваша страна и подкрепя всички усилия в тази насока.</w:t>
      </w:r>
    </w:p>
    <w:p w:rsidR="00863D83" w:rsidRDefault="0065585A">
      <w:pPr>
        <w:spacing w:after="0"/>
        <w:rPr>
          <w:rFonts w:eastAsia="Times New Roman"/>
          <w:noProof/>
          <w:szCs w:val="24"/>
        </w:rPr>
      </w:pPr>
      <w:r>
        <w:rPr>
          <w:noProof/>
        </w:rPr>
        <w:t>Действително отмяната на подходящите мерки съгласно член 96 от Споразумението от Котону ни позволява да Ви съдействаме в организирането на кръглат</w:t>
      </w:r>
      <w:r>
        <w:rPr>
          <w:noProof/>
        </w:rPr>
        <w:t>а маса относно Гвинея-Бисау на 25 март 2015 г. в Брюксел и изцяло да допринесем за нейния успех.</w:t>
      </w:r>
    </w:p>
    <w:p w:rsidR="00863D83" w:rsidRDefault="0065585A">
      <w:pPr>
        <w:spacing w:after="0"/>
        <w:rPr>
          <w:rFonts w:eastAsia="Times New Roman"/>
          <w:noProof/>
          <w:szCs w:val="24"/>
        </w:rPr>
      </w:pPr>
      <w:r>
        <w:rPr>
          <w:noProof/>
        </w:rPr>
        <w:t>Освен това ние ще продължим консултацията и подготвителната фаза на 11-ия Европейски фонд за развитие с Вашето правителство с оглед подписването възможно най-б</w:t>
      </w:r>
      <w:r>
        <w:rPr>
          <w:noProof/>
        </w:rPr>
        <w:t>ързо на националната индикативна програма, която ще Ви подкрепи в изпълнението на Вашата амбициозна програма за реформи.</w:t>
      </w:r>
    </w:p>
    <w:p w:rsidR="00863D83" w:rsidRDefault="0065585A">
      <w:pPr>
        <w:spacing w:after="0"/>
        <w:rPr>
          <w:rFonts w:eastAsia="Times New Roman"/>
          <w:noProof/>
          <w:szCs w:val="24"/>
        </w:rPr>
      </w:pPr>
      <w:r>
        <w:rPr>
          <w:noProof/>
        </w:rPr>
        <w:t xml:space="preserve">Накрая, очакваме не само пълното възстановяване на сътрудничеството с Гвинея-Бисау чрез развитие, но също така и укрепване на нашия </w:t>
      </w:r>
      <w:r>
        <w:rPr>
          <w:noProof/>
        </w:rPr>
        <w:t>политически диалог съгласно член 8 от Споразумението от Котону.</w:t>
      </w:r>
    </w:p>
    <w:p w:rsidR="00863D83" w:rsidRDefault="0065585A">
      <w:pPr>
        <w:rPr>
          <w:rFonts w:eastAsia="Times New Roman"/>
          <w:noProof/>
          <w:szCs w:val="24"/>
        </w:rPr>
      </w:pPr>
      <w:r>
        <w:rPr>
          <w:noProof/>
        </w:rPr>
        <w:t>С уважение,</w:t>
      </w:r>
    </w:p>
    <w:tbl>
      <w:tblPr>
        <w:tblW w:w="9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45"/>
      </w:tblGrid>
      <w:tr w:rsidR="00863D83"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D83" w:rsidRDefault="00863D83">
            <w:pPr>
              <w:rPr>
                <w:rFonts w:eastAsia="Times New Roman"/>
                <w:noProof/>
                <w:szCs w:val="24"/>
              </w:rPr>
            </w:pPr>
          </w:p>
          <w:p w:rsidR="00863D83" w:rsidRDefault="0065585A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За Съвета</w:t>
            </w:r>
          </w:p>
        </w:tc>
        <w:tc>
          <w:tcPr>
            <w:tcW w:w="4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D83" w:rsidRDefault="0065585A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За Комисията</w:t>
            </w:r>
          </w:p>
        </w:tc>
      </w:tr>
      <w:tr w:rsidR="00863D83"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D83" w:rsidRDefault="0065585A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Ф. MОГЕРИНИ</w:t>
            </w:r>
          </w:p>
          <w:p w:rsidR="00863D83" w:rsidRDefault="0065585A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Върховен представител</w:t>
            </w:r>
          </w:p>
        </w:tc>
        <w:tc>
          <w:tcPr>
            <w:tcW w:w="4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D83" w:rsidRDefault="0065585A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Н. МИМИЦА</w:t>
            </w:r>
          </w:p>
          <w:p w:rsidR="00863D83" w:rsidRDefault="0065585A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Член на Комисията</w:t>
            </w:r>
          </w:p>
        </w:tc>
      </w:tr>
    </w:tbl>
    <w:p w:rsidR="00863D83" w:rsidRDefault="00863D83">
      <w:pPr>
        <w:rPr>
          <w:noProof/>
        </w:rPr>
      </w:pPr>
    </w:p>
    <w:sectPr w:rsidR="00863D83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83" w:rsidRDefault="0065585A">
      <w:pPr>
        <w:spacing w:before="0" w:after="0"/>
      </w:pPr>
      <w:r>
        <w:separator/>
      </w:r>
    </w:p>
  </w:endnote>
  <w:endnote w:type="continuationSeparator" w:id="0">
    <w:p w:rsidR="00863D83" w:rsidRDefault="006558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83" w:rsidRDefault="0065585A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83" w:rsidRDefault="0065585A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83" w:rsidRDefault="00863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83" w:rsidRDefault="0065585A">
      <w:pPr>
        <w:spacing w:before="0" w:after="0"/>
      </w:pPr>
      <w:r>
        <w:separator/>
      </w:r>
    </w:p>
  </w:footnote>
  <w:footnote w:type="continuationSeparator" w:id="0">
    <w:p w:rsidR="00863D83" w:rsidRDefault="006558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C04C5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3A24DB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473073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A66AC9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25EEA2B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69A32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ECE7A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30C4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oNotTrackMoves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</w:compat>
  <w:docVars>
    <w:docVar w:name="COVERPAGE_EXISTS" w:val="True"/>
    <w:docVar w:name="DQCDateTime" w:val="2015-03-04 10:29:07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Yellow"/>
    <w:docVar w:name="DQCVersion" w:val="2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BECE5C4CACCC4EC49A7E0C83F63347D5"/>
    <w:docVar w:name="LW_CROSSREFERENCE" w:val="&lt;UNUSED&gt;"/>
    <w:docVar w:name="LW_DocType" w:val="ANNEX"/>
    <w:docVar w:name="LW_EMISSION" w:val="26.2.2015"/>
    <w:docVar w:name="LW_EMISSION_ISODATE" w:val="2015-02-26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79?\u1072? \u1086?\u1090?\u1084?\u1103?\u1085?\u1072? \u1085?\u1072? \u1056?\u1077?\u1096?\u1077?\u1085?\u1080?\u1077? 2011/492/\u1045?\u1057? \u1079?\u1072? \u1087?\u1088?\u1080?\u1082?\u1083?\u1102?\u1095?\u1074?\u1072?\u1085?\u1077? \u1085?\u1072? \u1087?\u1088?\u1086?\u1094?\u1077?\u1076?\u1091?\u1088?\u1072?\u1090?\u1072? \u1085?\u1072? \u1082?\u1086?\u1085?\u1089?\u1091?\u1083?\u1090?\u1072?\u1094?\u1080?\u1080? \u1089? \u1056?\u1077?\u1087?\u1091?\u1073?\u1083?\u1080?\u1082?\u1072? \u1043?\u1074?\u1080?\u1085?\u1077?\u1103?-\u1041?\u1080?\u1089?\u1072?\u1091? \u1089?\u1098?\u1075?\u1083?\u1072?\u1089?\u1085?\u1086? \u1095?\u1083?\u1077?\u1085? 96 \u1086?\u1090? \u1057?\u1087?\u1086?\u1088?\u1072?\u1079?\u1091?\u1084?\u1077?\u1085?\u1080?\u1077?\u1090?\u1086? \u1079?\u1072? \u1087?\u1072?\u1088?\u1090?\u1085?\u1100?\u1086?\u1088?\u1089?\u1090?\u1074?\u1086? \u1040?\u1050?\u1058?\u1041?\u8212?\u1045?\u1057?_x000b_"/>
    <w:docVar w:name="LW_OBJETACTEPRINCIPAL.CP" w:val="\u1079?\u1072? \u1086?\u1090?\u1084?\u1103?\u1085?\u1072? \u1085?\u1072? \u1056?\u1077?\u1096?\u1077?\u1085?\u1080?\u1077? 2011/492/\u1045?\u1057? \u1079?\u1072? \u1087?\u1088?\u1080?\u1082?\u1083?\u1102?\u1095?\u1074?\u1072?\u1085?\u1077? \u1085?\u1072? \u1087?\u1088?\u1086?\u1094?\u1077?\u1076?\u1091?\u1088?\u1072?\u1090?\u1072? \u1085?\u1072? \u1082?\u1086?\u1085?\u1089?\u1091?\u1083?\u1090?\u1072?\u1094?\u1080?\u1080? \u1089? \u1056?\u1077?\u1087?\u1091?\u1073?\u1083?\u1080?\u1082?\u1072? \u1043?\u1074?\u1080?\u1085?\u1077?\u1103?-\u1041?\u1080?\u1089?\u1072?\u1091? \u1089?\u1098?\u1075?\u1083?\u1072?\u1089?\u1085?\u1086? \u1095?\u1083?\u1077?\u1085? 96 \u1086?\u1090? \u1057?\u1087?\u1086?\u1088?\u1072?\u1079?\u1091?\u1084?\u1077?\u1085?\u1080?\u1077?\u1090?\u1086? \u1079?\u1072? \u1087?\u1072?\u1088?\u1090?\u1085?\u1100?\u1086?\u1088?\u1089?\u1090?\u1074?\u1086? \u1040?\u1050?\u1058?\u1041?\u8212?\u1045?\u1057?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5) 75"/>
    <w:docVar w:name="LW_REF.INTERNE" w:val="&lt;UNUSED&gt;"/>
    <w:docVar w:name="LW_SUPERTITRE" w:val="&lt;UNUSED&gt;"/>
    <w:docVar w:name="LW_TITRE.OBJ.CP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76?\u1083?\u1086?\u1078?\u1077?\u1085?\u1080?\u1077? \u1079?\u1072?_x000b__x000b_\u1056?\u1045?\u1064?\u1045?\u1053?\u1048?\u1045? \u1053?\u1040? \u1057?\u1066?\u1042?\u1045?\u1058?\u1040?"/>
    <w:docVar w:name="LW_TYPEACTEPRINCIPAL.CP" w:val="\u1055?\u1088?\u1077?\u1076?\u1083?\u1086?\u1078?\u1077?\u1085?\u1080?\u1077? \u1079?\u1072?_x000b__x000b_\u1056?\u1045?\u1064?\u1045?\u1053?\u1048?\u1045? \u1053?\u1040? \u1057?\u1066?\u1042?\u1045?\u1058?\u1040?"/>
  </w:docVars>
  <w:rsids>
    <w:rsidRoot w:val="00863D83"/>
    <w:rsid w:val="0065585A"/>
    <w:rsid w:val="00863D83"/>
    <w:rsid w:val="00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2</TotalTime>
  <Pages>3</Pages>
  <Words>352</Words>
  <Characters>2197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AJARRISTA Catherine (EEAS)</dc:creator>
  <cp:keywords/>
  <cp:lastModifiedBy>LAGES CARVALHO Patrick (SG)</cp:lastModifiedBy>
  <cp:revision>9</cp:revision>
  <dcterms:created xsi:type="dcterms:W3CDTF">2015-03-03T10:57:00Z</dcterms:created>
  <dcterms:modified xsi:type="dcterms:W3CDTF">2015-03-04T09:35:00Z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5.8.86.0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20141001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Yellow (DQC version 02)</vt:lpwstr>
  </property>
</Properties>
</file>