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26" w:rsidRDefault="007E3CDE" w:rsidP="00015CA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8746D00962A4C7CA1389C5C273EB7FE" style="width:450.7pt;height:407.7pt">
            <v:imagedata r:id="rId9" o:title=""/>
          </v:shape>
        </w:pict>
      </w:r>
    </w:p>
    <w:bookmarkEnd w:id="0"/>
    <w:p w:rsidR="000E1726" w:rsidRDefault="000E1726">
      <w:pPr>
        <w:rPr>
          <w:noProof/>
        </w:rPr>
        <w:sectPr w:rsidR="000E1726" w:rsidSect="00015CA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E1726" w:rsidRDefault="00015CA7">
      <w:pPr>
        <w:jc w:val="center"/>
        <w:rPr>
          <w:rFonts w:ascii="Times New Roman" w:hAnsi="Times New Roman"/>
          <w:b/>
          <w:noProof/>
          <w:sz w:val="24"/>
          <w:szCs w:val="24"/>
        </w:rPr>
      </w:pPr>
      <w:r>
        <w:rPr>
          <w:rFonts w:ascii="Times New Roman" w:hAnsi="Times New Roman"/>
          <w:b/>
          <w:noProof/>
          <w:sz w:val="24"/>
        </w:rPr>
        <w:lastRenderedPageBreak/>
        <w:t>ПРИЛОЖЕНИЕ 1</w:t>
      </w:r>
    </w:p>
    <w:p w:rsidR="000E1726" w:rsidRDefault="00015CA7">
      <w:pPr>
        <w:jc w:val="center"/>
        <w:rPr>
          <w:rFonts w:ascii="Times New Roman" w:hAnsi="Times New Roman"/>
          <w:b/>
          <w:noProof/>
          <w:sz w:val="24"/>
          <w:szCs w:val="24"/>
          <w:u w:val="single"/>
        </w:rPr>
      </w:pPr>
      <w:r>
        <w:rPr>
          <w:rFonts w:ascii="Times New Roman" w:hAnsi="Times New Roman"/>
          <w:b/>
          <w:noProof/>
          <w:sz w:val="24"/>
          <w:u w:val="single"/>
        </w:rPr>
        <w:t>Проекти, съфинансирани по Европейската енергийна програма за възстановяване (ЕЕПВ)</w:t>
      </w:r>
    </w:p>
    <w:p w:rsidR="000E1726" w:rsidRDefault="00015CA7">
      <w:pPr>
        <w:numPr>
          <w:ilvl w:val="0"/>
          <w:numId w:val="1"/>
        </w:numPr>
        <w:jc w:val="both"/>
        <w:rPr>
          <w:rFonts w:ascii="Times New Roman" w:hAnsi="Times New Roman"/>
          <w:noProof/>
          <w:sz w:val="24"/>
          <w:szCs w:val="24"/>
        </w:rPr>
      </w:pPr>
      <w:r>
        <w:rPr>
          <w:b/>
          <w:noProof/>
        </w:rPr>
        <w:t>„</w:t>
      </w:r>
      <w:r>
        <w:rPr>
          <w:rFonts w:ascii="Times New Roman" w:hAnsi="Times New Roman"/>
          <w:b/>
          <w:noProof/>
          <w:sz w:val="24"/>
        </w:rPr>
        <w:t>EstLink 2“</w:t>
      </w:r>
      <w:r>
        <w:rPr>
          <w:rFonts w:ascii="Times New Roman" w:hAnsi="Times New Roman"/>
          <w:noProof/>
          <w:sz w:val="24"/>
        </w:rPr>
        <w:t xml:space="preserve"> е втората междусистемна връзка за постоянен ток с високо напрежение (HVDC) между Естония и Финландия, която увеличава капацитета за пренос между двете държави до 1000 MW.</w:t>
      </w:r>
    </w:p>
    <w:p w:rsidR="000E1726" w:rsidRDefault="00015CA7">
      <w:pPr>
        <w:numPr>
          <w:ilvl w:val="0"/>
          <w:numId w:val="1"/>
        </w:numPr>
        <w:jc w:val="both"/>
        <w:rPr>
          <w:rFonts w:ascii="Times New Roman" w:hAnsi="Times New Roman"/>
          <w:noProof/>
          <w:sz w:val="24"/>
          <w:szCs w:val="24"/>
        </w:rPr>
      </w:pPr>
      <w:r>
        <w:rPr>
          <w:b/>
          <w:noProof/>
        </w:rPr>
        <w:t>„</w:t>
      </w:r>
      <w:r>
        <w:rPr>
          <w:rFonts w:ascii="Times New Roman" w:hAnsi="Times New Roman"/>
          <w:b/>
          <w:noProof/>
          <w:sz w:val="24"/>
        </w:rPr>
        <w:t>Nordbalt“</w:t>
      </w:r>
      <w:r>
        <w:rPr>
          <w:rFonts w:ascii="Times New Roman" w:hAnsi="Times New Roman"/>
          <w:noProof/>
          <w:sz w:val="24"/>
        </w:rPr>
        <w:t xml:space="preserve"> е нова междусистемна връзка между Швеция и Литва с капацитет за пренос от 700 MW. </w:t>
      </w:r>
    </w:p>
    <w:p w:rsidR="000E1726" w:rsidRDefault="00015CA7">
      <w:pPr>
        <w:numPr>
          <w:ilvl w:val="0"/>
          <w:numId w:val="1"/>
        </w:numPr>
        <w:jc w:val="both"/>
        <w:rPr>
          <w:rFonts w:ascii="Times New Roman" w:hAnsi="Times New Roman"/>
          <w:noProof/>
          <w:sz w:val="24"/>
          <w:szCs w:val="24"/>
        </w:rPr>
      </w:pPr>
      <w:r>
        <w:rPr>
          <w:rFonts w:ascii="Times New Roman" w:hAnsi="Times New Roman"/>
          <w:b/>
          <w:noProof/>
          <w:sz w:val="24"/>
        </w:rPr>
        <w:t>Междусистемната връзка Австрия — Унгария</w:t>
      </w:r>
      <w:r>
        <w:rPr>
          <w:rFonts w:ascii="Times New Roman" w:hAnsi="Times New Roman"/>
          <w:noProof/>
          <w:sz w:val="24"/>
        </w:rPr>
        <w:t xml:space="preserve"> (Wien — Györ), с капацитет 1100 MVA, подобри оперативната съвместимост между австрийската и унгарската електроенергийни мрежи.</w:t>
      </w:r>
    </w:p>
    <w:p w:rsidR="000E1726" w:rsidRDefault="00015CA7">
      <w:pPr>
        <w:numPr>
          <w:ilvl w:val="0"/>
          <w:numId w:val="1"/>
        </w:numPr>
        <w:jc w:val="both"/>
        <w:rPr>
          <w:rFonts w:ascii="Times New Roman" w:hAnsi="Times New Roman"/>
          <w:noProof/>
          <w:sz w:val="24"/>
          <w:szCs w:val="24"/>
        </w:rPr>
      </w:pPr>
      <w:r>
        <w:rPr>
          <w:rFonts w:ascii="Times New Roman" w:hAnsi="Times New Roman"/>
          <w:b/>
          <w:noProof/>
          <w:sz w:val="24"/>
        </w:rPr>
        <w:t>Междусистемната връзка Испания — Франция</w:t>
      </w:r>
      <w:r>
        <w:rPr>
          <w:rFonts w:ascii="Times New Roman" w:hAnsi="Times New Roman"/>
          <w:noProof/>
          <w:sz w:val="24"/>
        </w:rPr>
        <w:t xml:space="preserve"> (Sta. Llogaia — Baixas) е основен подземен електропровод с капацитет 1400 — 1800 MW, който пресича Пиренеите по специален тунел. </w:t>
      </w:r>
    </w:p>
    <w:p w:rsidR="000E1726" w:rsidRDefault="00015CA7">
      <w:pPr>
        <w:numPr>
          <w:ilvl w:val="0"/>
          <w:numId w:val="1"/>
        </w:numPr>
        <w:jc w:val="both"/>
        <w:rPr>
          <w:rFonts w:ascii="Times New Roman" w:hAnsi="Times New Roman"/>
          <w:noProof/>
          <w:sz w:val="24"/>
          <w:szCs w:val="24"/>
        </w:rPr>
      </w:pPr>
      <w:r>
        <w:rPr>
          <w:rFonts w:ascii="Times New Roman" w:hAnsi="Times New Roman"/>
          <w:b/>
          <w:noProof/>
          <w:sz w:val="24"/>
        </w:rPr>
        <w:t>Междусистемната връзка Малта — Италия</w:t>
      </w:r>
      <w:r>
        <w:rPr>
          <w:rFonts w:ascii="Times New Roman" w:hAnsi="Times New Roman"/>
          <w:noProof/>
          <w:sz w:val="24"/>
        </w:rPr>
        <w:t xml:space="preserve"> (Pembroke — Marina di Ragusa) е подводен електропровод за променлив ток с високо напрежение (HVAC) от 250MVA, който ще сложи край на изолацията на електроенергийната мрежа на Малта от останалата част от Европа. </w:t>
      </w:r>
    </w:p>
    <w:p w:rsidR="000E1726" w:rsidRDefault="00015CA7">
      <w:pPr>
        <w:numPr>
          <w:ilvl w:val="0"/>
          <w:numId w:val="1"/>
        </w:numPr>
        <w:jc w:val="both"/>
        <w:rPr>
          <w:rFonts w:ascii="Times New Roman" w:hAnsi="Times New Roman"/>
          <w:noProof/>
          <w:sz w:val="24"/>
          <w:szCs w:val="24"/>
        </w:rPr>
      </w:pPr>
      <w:r>
        <w:rPr>
          <w:rFonts w:ascii="Times New Roman" w:hAnsi="Times New Roman"/>
          <w:b/>
          <w:noProof/>
          <w:sz w:val="24"/>
        </w:rPr>
        <w:t>Междусистемната връзка Обединено кралство — Ирландия</w:t>
      </w:r>
      <w:r>
        <w:rPr>
          <w:rFonts w:ascii="Times New Roman" w:hAnsi="Times New Roman"/>
          <w:noProof/>
          <w:sz w:val="24"/>
        </w:rPr>
        <w:t xml:space="preserve"> (Deeside — Meath) е HVDC електропровод с капацитет 500 MW.  Проектът е първата междусистемна електроенергийна връзка между Ирландия и Великобритания. </w:t>
      </w:r>
    </w:p>
    <w:p w:rsidR="000E1726" w:rsidRDefault="00015CA7">
      <w:pPr>
        <w:numPr>
          <w:ilvl w:val="0"/>
          <w:numId w:val="1"/>
        </w:numPr>
        <w:jc w:val="both"/>
        <w:rPr>
          <w:rFonts w:ascii="Times New Roman" w:hAnsi="Times New Roman"/>
          <w:noProof/>
          <w:sz w:val="24"/>
          <w:szCs w:val="24"/>
        </w:rPr>
      </w:pPr>
      <w:r>
        <w:rPr>
          <w:rFonts w:ascii="Times New Roman" w:hAnsi="Times New Roman"/>
          <w:noProof/>
          <w:sz w:val="24"/>
        </w:rPr>
        <w:t>Проектът, включващ четири въздушни електропровода между Tunes и Tavira (</w:t>
      </w:r>
      <w:r>
        <w:rPr>
          <w:rFonts w:ascii="Times New Roman" w:hAnsi="Times New Roman"/>
          <w:b/>
          <w:noProof/>
          <w:sz w:val="24"/>
        </w:rPr>
        <w:t>PT</w:t>
      </w:r>
      <w:r>
        <w:rPr>
          <w:rFonts w:ascii="Times New Roman" w:hAnsi="Times New Roman"/>
          <w:noProof/>
          <w:sz w:val="24"/>
        </w:rPr>
        <w:t>), Tunes и Estói (PT), Tavira (PT) и Alcoutim (</w:t>
      </w:r>
      <w:r>
        <w:rPr>
          <w:rFonts w:ascii="Times New Roman" w:hAnsi="Times New Roman"/>
          <w:b/>
          <w:noProof/>
          <w:sz w:val="24"/>
        </w:rPr>
        <w:t>PT</w:t>
      </w:r>
      <w:r>
        <w:rPr>
          <w:rFonts w:ascii="Times New Roman" w:hAnsi="Times New Roman"/>
          <w:noProof/>
          <w:sz w:val="24"/>
        </w:rPr>
        <w:t>) и Ourique и Estói (PT), допринесе за модернизацията и разширяването на електроенергийната мрежа на Португалия.</w:t>
      </w:r>
    </w:p>
    <w:p w:rsidR="000E1726" w:rsidRDefault="00015CA7">
      <w:pPr>
        <w:numPr>
          <w:ilvl w:val="0"/>
          <w:numId w:val="1"/>
        </w:numPr>
        <w:jc w:val="both"/>
        <w:rPr>
          <w:rFonts w:ascii="Times New Roman" w:hAnsi="Times New Roman"/>
          <w:noProof/>
          <w:sz w:val="24"/>
          <w:szCs w:val="24"/>
        </w:rPr>
      </w:pPr>
      <w:r>
        <w:rPr>
          <w:rFonts w:ascii="Times New Roman" w:hAnsi="Times New Roman"/>
          <w:b/>
          <w:noProof/>
          <w:sz w:val="24"/>
        </w:rPr>
        <w:t xml:space="preserve">Укрепването на електроенергийната мрежа </w:t>
      </w:r>
      <w:r>
        <w:rPr>
          <w:rFonts w:ascii="Times New Roman" w:hAnsi="Times New Roman"/>
          <w:noProof/>
          <w:sz w:val="24"/>
        </w:rPr>
        <w:t>между региона Douro (</w:t>
      </w:r>
      <w:r>
        <w:rPr>
          <w:rFonts w:ascii="Times New Roman" w:hAnsi="Times New Roman"/>
          <w:b/>
          <w:noProof/>
          <w:sz w:val="24"/>
        </w:rPr>
        <w:t>PT</w:t>
      </w:r>
      <w:r>
        <w:rPr>
          <w:rFonts w:ascii="Times New Roman" w:hAnsi="Times New Roman"/>
          <w:noProof/>
          <w:sz w:val="24"/>
        </w:rPr>
        <w:t xml:space="preserve">) и </w:t>
      </w:r>
      <w:r>
        <w:rPr>
          <w:rFonts w:ascii="Times New Roman" w:hAnsi="Times New Roman"/>
          <w:b/>
          <w:noProof/>
          <w:sz w:val="24"/>
        </w:rPr>
        <w:t>испанската граница</w:t>
      </w:r>
      <w:r>
        <w:rPr>
          <w:rFonts w:ascii="Times New Roman" w:hAnsi="Times New Roman"/>
          <w:noProof/>
          <w:sz w:val="24"/>
        </w:rPr>
        <w:t xml:space="preserve"> при Aldeadavila приключи през есента на 2011 г.</w:t>
      </w:r>
    </w:p>
    <w:p w:rsidR="000E1726" w:rsidRDefault="000E1726">
      <w:pPr>
        <w:rPr>
          <w:rFonts w:ascii="Times New Roman" w:hAnsi="Times New Roman"/>
          <w:noProof/>
          <w:sz w:val="24"/>
          <w:szCs w:val="24"/>
        </w:rPr>
      </w:pPr>
    </w:p>
    <w:p w:rsidR="000E1726" w:rsidRDefault="000E1726">
      <w:pPr>
        <w:rPr>
          <w:rFonts w:ascii="Times New Roman" w:hAnsi="Times New Roman"/>
          <w:noProof/>
          <w:sz w:val="24"/>
          <w:szCs w:val="24"/>
        </w:rPr>
      </w:pPr>
    </w:p>
    <w:p w:rsidR="000E1726" w:rsidRDefault="000E1726">
      <w:pPr>
        <w:rPr>
          <w:rFonts w:ascii="Times New Roman" w:hAnsi="Times New Roman"/>
          <w:noProof/>
          <w:sz w:val="24"/>
          <w:szCs w:val="24"/>
        </w:rPr>
      </w:pPr>
    </w:p>
    <w:p w:rsidR="000E1726" w:rsidRDefault="000E1726">
      <w:pPr>
        <w:rPr>
          <w:rFonts w:ascii="Times New Roman" w:hAnsi="Times New Roman"/>
          <w:noProof/>
          <w:sz w:val="24"/>
          <w:szCs w:val="24"/>
        </w:rPr>
      </w:pPr>
    </w:p>
    <w:p w:rsidR="000E1726" w:rsidRDefault="00015CA7">
      <w:pPr>
        <w:jc w:val="both"/>
        <w:rPr>
          <w:rFonts w:ascii="Times New Roman" w:hAnsi="Times New Roman"/>
          <w:noProof/>
          <w:sz w:val="24"/>
          <w:szCs w:val="24"/>
        </w:rPr>
      </w:pPr>
      <w:r>
        <w:rPr>
          <w:noProof/>
        </w:rPr>
        <w:tab/>
      </w:r>
    </w:p>
    <w:p w:rsidR="000E1726" w:rsidRDefault="00015CA7">
      <w:pPr>
        <w:jc w:val="center"/>
        <w:rPr>
          <w:rFonts w:ascii="Times New Roman" w:hAnsi="Times New Roman"/>
          <w:b/>
          <w:noProof/>
          <w:sz w:val="24"/>
          <w:szCs w:val="24"/>
        </w:rPr>
      </w:pPr>
      <w:r>
        <w:rPr>
          <w:noProof/>
        </w:rPr>
        <w:br w:type="page"/>
      </w:r>
      <w:r>
        <w:rPr>
          <w:rFonts w:ascii="Times New Roman" w:hAnsi="Times New Roman"/>
          <w:b/>
          <w:noProof/>
          <w:sz w:val="24"/>
        </w:rPr>
        <w:lastRenderedPageBreak/>
        <w:t>ПРИЛОЖЕНИЕ 2</w:t>
      </w:r>
    </w:p>
    <w:p w:rsidR="000E1726" w:rsidRDefault="00015CA7">
      <w:pPr>
        <w:jc w:val="center"/>
        <w:rPr>
          <w:rFonts w:ascii="Times New Roman" w:hAnsi="Times New Roman"/>
          <w:b/>
          <w:noProof/>
          <w:sz w:val="24"/>
          <w:szCs w:val="24"/>
          <w:u w:val="single"/>
        </w:rPr>
      </w:pPr>
      <w:r>
        <w:rPr>
          <w:rFonts w:ascii="Times New Roman" w:hAnsi="Times New Roman"/>
          <w:b/>
          <w:noProof/>
          <w:sz w:val="24"/>
          <w:u w:val="single"/>
        </w:rPr>
        <w:t>ПОИ, които увеличават капацитета в държавите членки под 10 %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666"/>
        <w:gridCol w:w="1842"/>
      </w:tblGrid>
      <w:tr w:rsidR="000E1726" w:rsidTr="007E3CDE">
        <w:tc>
          <w:tcPr>
            <w:tcW w:w="1807"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b/>
                <w:noProof/>
              </w:rPr>
            </w:pPr>
            <w:r>
              <w:rPr>
                <w:rFonts w:ascii="Times New Roman" w:hAnsi="Times New Roman"/>
                <w:b/>
                <w:noProof/>
              </w:rPr>
              <w:t>Приоритетен коридор</w:t>
            </w: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b/>
                <w:noProof/>
              </w:rPr>
            </w:pPr>
            <w:r>
              <w:rPr>
                <w:rFonts w:ascii="Times New Roman" w:hAnsi="Times New Roman"/>
                <w:b/>
                <w:noProof/>
              </w:rPr>
              <w:t>Проект от общ интерес</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b/>
                <w:noProof/>
              </w:rPr>
            </w:pPr>
            <w:r>
              <w:rPr>
                <w:rFonts w:ascii="Times New Roman" w:hAnsi="Times New Roman"/>
                <w:b/>
                <w:noProof/>
              </w:rPr>
              <w:t>Дата на пускане в експлоатация и етап, в който е намира проектът</w:t>
            </w:r>
            <w:r>
              <w:rPr>
                <w:rFonts w:ascii="Times New Roman" w:hAnsi="Times New Roman"/>
                <w:b/>
                <w:noProof/>
                <w:vertAlign w:val="superscript"/>
              </w:rPr>
              <w:footnoteReference w:id="1"/>
            </w:r>
          </w:p>
        </w:tc>
      </w:tr>
      <w:tr w:rsidR="000E1726" w:rsidTr="007E3CDE">
        <w:tc>
          <w:tcPr>
            <w:tcW w:w="1807" w:type="dxa"/>
            <w:vMerge w:val="restart"/>
            <w:tcBorders>
              <w:top w:val="single" w:sz="4" w:space="0" w:color="auto"/>
              <w:left w:val="single" w:sz="4" w:space="0" w:color="auto"/>
              <w:bottom w:val="single" w:sz="4" w:space="0" w:color="auto"/>
              <w:right w:val="single" w:sz="4" w:space="0" w:color="auto"/>
            </w:tcBorders>
          </w:tcPr>
          <w:p w:rsidR="000E1726" w:rsidRDefault="00015CA7">
            <w:pPr>
              <w:jc w:val="both"/>
              <w:rPr>
                <w:rFonts w:ascii="Times New Roman" w:hAnsi="Times New Roman"/>
                <w:b/>
                <w:noProof/>
              </w:rPr>
            </w:pPr>
            <w:r>
              <w:rPr>
                <w:rFonts w:ascii="Times New Roman" w:hAnsi="Times New Roman"/>
                <w:b/>
                <w:noProof/>
              </w:rPr>
              <w:t>Приоритетен коридор „Морска електроенергийна мрежа в северните морета“ (NSOG)</w:t>
            </w:r>
          </w:p>
          <w:p w:rsidR="000E1726" w:rsidRDefault="000E1726">
            <w:pPr>
              <w:jc w:val="both"/>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1.1.1. Междусистемна връзка между Zeebrugge (BE) и областта в близост до Richborough (UK)</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2018 г.</w:t>
            </w:r>
          </w:p>
          <w:p w:rsidR="000E1726" w:rsidRDefault="00015CA7">
            <w:pPr>
              <w:spacing w:after="0"/>
              <w:jc w:val="both"/>
              <w:rPr>
                <w:rFonts w:ascii="Times New Roman" w:hAnsi="Times New Roman"/>
                <w:noProof/>
                <w:sz w:val="18"/>
                <w:szCs w:val="18"/>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jc w:val="both"/>
              <w:rPr>
                <w:rFonts w:ascii="Times New Roman" w:hAnsi="Times New Roman"/>
                <w:noProof/>
              </w:rPr>
            </w:pPr>
            <w:r>
              <w:rPr>
                <w:rFonts w:ascii="Times New Roman" w:hAnsi="Times New Roman"/>
                <w:noProof/>
              </w:rPr>
              <w:t>1.2 ПОИ Белгия — два морски възела с готовност за свързване към електроенергийната мрежа, свързани с наземната подстанция Zeebrugge (BE), с предварителни инвестиции, даващи възможност за бъдещи междусистемни връзки с Франция и/или Обединеното кралство</w:t>
            </w:r>
            <w:r>
              <w:rPr>
                <w:rStyle w:val="FootnoteReference"/>
                <w:rFonts w:ascii="Times New Roman" w:hAnsi="Times New Roman"/>
                <w:noProof/>
              </w:rPr>
              <w:footnoteReference w:id="2"/>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spacing w:after="240"/>
              <w:jc w:val="both"/>
              <w:rPr>
                <w:rFonts w:ascii="Times New Roman" w:hAnsi="Times New Roman"/>
                <w:noProof/>
              </w:rPr>
            </w:pPr>
            <w:r>
              <w:rPr>
                <w:rFonts w:ascii="Times New Roman" w:hAnsi="Times New Roman"/>
                <w:noProof/>
              </w:rPr>
              <w:t>2018 г.</w:t>
            </w:r>
          </w:p>
          <w:p w:rsidR="000E1726" w:rsidRDefault="00015CA7">
            <w:pPr>
              <w:spacing w:after="24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1.6 ПОИ Междусистемна връзка Франция — Ирландия между La Martyre (FR) и Great Island или Knockraha (IE)</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2025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1.7.1. Междусистемна връзка Франция — Обединено кралство между Cotentin (FR) и областта в близост до Exeter (UK) [понастоящем известен като проект „FAB“]</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2022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1.7.2. Междусистемна връзка Франция — Обединено кралство между Tourbe (FR) и Chilling (UK) [понастоящем известен като проект „IFA2“]</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2020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spacing w:after="0"/>
              <w:jc w:val="both"/>
              <w:rPr>
                <w:rFonts w:ascii="Times New Roman" w:hAnsi="Times New Roman"/>
                <w:noProof/>
              </w:rPr>
            </w:pPr>
            <w:r>
              <w:rPr>
                <w:rFonts w:ascii="Times New Roman" w:hAnsi="Times New Roman"/>
                <w:noProof/>
              </w:rPr>
              <w:t>1.7.3. Междусистемна връзка Франция — Обединено кралство между Coquelles (FR) и Folkestone (UK) [понастоящем известен като проект „ElecLink“]</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spacing w:after="0"/>
              <w:jc w:val="both"/>
              <w:rPr>
                <w:rFonts w:ascii="Times New Roman" w:hAnsi="Times New Roman"/>
                <w:noProof/>
              </w:rPr>
            </w:pPr>
            <w:r>
              <w:rPr>
                <w:rFonts w:ascii="Times New Roman" w:hAnsi="Times New Roman"/>
                <w:noProof/>
              </w:rPr>
              <w:t>2016 г.</w:t>
            </w:r>
          </w:p>
          <w:p w:rsidR="000E1726" w:rsidRDefault="00015CA7">
            <w:pPr>
              <w:spacing w:after="0"/>
              <w:jc w:val="both"/>
              <w:rPr>
                <w:rFonts w:ascii="Times New Roman" w:hAnsi="Times New Roman"/>
                <w:noProof/>
              </w:rPr>
            </w:pPr>
            <w:r>
              <w:rPr>
                <w:rFonts w:ascii="Times New Roman" w:hAnsi="Times New Roman"/>
                <w:noProof/>
              </w:rPr>
              <w:t>Строителство средата на 2015 г.</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1.9.1. Междусистемна връзка Ирландия — Обединено кралство между Co. Offaly (IE), Pembroke и Pentir (UK)</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120"/>
              <w:jc w:val="both"/>
              <w:rPr>
                <w:rFonts w:ascii="Times New Roman" w:hAnsi="Times New Roman"/>
                <w:noProof/>
              </w:rPr>
            </w:pPr>
            <w:r>
              <w:rPr>
                <w:rFonts w:ascii="Times New Roman" w:hAnsi="Times New Roman"/>
                <w:noProof/>
              </w:rPr>
              <w:t>2019 г.</w:t>
            </w:r>
          </w:p>
          <w:p w:rsidR="000E1726" w:rsidRDefault="00015CA7">
            <w:pPr>
              <w:spacing w:after="12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spacing w:after="120"/>
              <w:jc w:val="both"/>
              <w:rPr>
                <w:rFonts w:ascii="Times New Roman" w:hAnsi="Times New Roman"/>
                <w:noProof/>
              </w:rPr>
            </w:pPr>
            <w:r>
              <w:rPr>
                <w:rFonts w:ascii="Times New Roman" w:hAnsi="Times New Roman"/>
                <w:noProof/>
              </w:rPr>
              <w:t>1.9.2. Междусистемна връзка Ирландия — Обединено кралство между възли Coolkeeragh — Coleraine (IE) и станция Hunterston, Islay, Argyll и морски вятърни централи от точка C (UK)</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120"/>
              <w:jc w:val="both"/>
              <w:rPr>
                <w:rFonts w:ascii="Times New Roman" w:hAnsi="Times New Roman"/>
                <w:noProof/>
              </w:rPr>
            </w:pPr>
            <w:r>
              <w:rPr>
                <w:rFonts w:ascii="Times New Roman" w:hAnsi="Times New Roman"/>
                <w:noProof/>
              </w:rPr>
              <w:t>2020 г.</w:t>
            </w:r>
          </w:p>
          <w:p w:rsidR="000E1726" w:rsidRDefault="00015CA7">
            <w:pPr>
              <w:spacing w:after="12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spacing w:after="120"/>
              <w:jc w:val="both"/>
              <w:rPr>
                <w:rFonts w:ascii="Times New Roman" w:hAnsi="Times New Roman"/>
                <w:noProof/>
              </w:rPr>
            </w:pPr>
            <w:r>
              <w:rPr>
                <w:rFonts w:ascii="Times New Roman" w:hAnsi="Times New Roman"/>
                <w:noProof/>
              </w:rPr>
              <w:t xml:space="preserve">1.9.3. Междусистемна връзка Ирландия — Обединено кралство между северния възел, Дъблин и Codling Bank </w:t>
            </w:r>
            <w:r>
              <w:rPr>
                <w:rFonts w:ascii="Times New Roman" w:hAnsi="Times New Roman"/>
                <w:noProof/>
              </w:rPr>
              <w:lastRenderedPageBreak/>
              <w:t>(IE) и Trawsfynyd и Pembroke (UK)</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120"/>
              <w:jc w:val="both"/>
              <w:rPr>
                <w:rFonts w:ascii="Times New Roman" w:hAnsi="Times New Roman"/>
                <w:noProof/>
              </w:rPr>
            </w:pPr>
            <w:r>
              <w:rPr>
                <w:rFonts w:ascii="Times New Roman" w:hAnsi="Times New Roman"/>
                <w:noProof/>
              </w:rPr>
              <w:lastRenderedPageBreak/>
              <w:t>2020 г.</w:t>
            </w:r>
          </w:p>
          <w:p w:rsidR="000E1726" w:rsidRDefault="00015CA7">
            <w:pPr>
              <w:spacing w:after="120"/>
              <w:jc w:val="both"/>
              <w:rPr>
                <w:rFonts w:ascii="Times New Roman" w:hAnsi="Times New Roman"/>
                <w:noProof/>
              </w:rPr>
            </w:pPr>
            <w:r>
              <w:rPr>
                <w:rFonts w:ascii="Times New Roman" w:hAnsi="Times New Roman"/>
                <w:noProof/>
              </w:rPr>
              <w:lastRenderedPageBreak/>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1.9.4. Междусистемна връзка Ирландия — Обединено кралство между централната част на Ирландия и Pembroke (UK)</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2017 — 2020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1.9.5. Междусистемна връзка Ирландия — Обединено кралство между централната част на Ирландия и Alverdiscott, Devon (UK)</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2017 — 2020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1.9.6. Междусистемна връзка Ирландия — Обединено кралство между крайбрежието на Ирландия и Pembroke (UK)</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2017 — 2020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1.10 ПОИ Междусистемна връзка Норвегия — Обединено кралство</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2020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1.11.2. Междусистемна връзка Ирландия — Обединено кралство между северозападната част на Ирландия (IE) и Midlands (UK)</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2017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1.11.4. Междусистемна връзка Ирландия — Обединено кралство между Glinsk, Mayo (IE) и Connah's Quai, Deeside (UK)</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2018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val="restart"/>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b/>
                <w:noProof/>
              </w:rPr>
              <w:t>Приоритетен коридор „Междусистемни електроенергийни връзки север — юг в Западна Европа“ („NSI West Electricity“)</w:t>
            </w: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2.4 ПОИ Междусистемна връзка Франция — Италия между Codrongianos (IT), Lucciana (Корсика, Франция) и Suvereto (IT) [познат понастоящем като проект „SA.CO.I. 3“]</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2022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2.5.1. Междусистемна връзка между Grande Ile (FR) и Piossasco (IT) [познат понастоящем като проект „Savoie-Piemont“]</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2019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 (във Франция)</w:t>
            </w:r>
          </w:p>
          <w:p w:rsidR="000E1726" w:rsidRDefault="00015CA7">
            <w:pPr>
              <w:spacing w:after="0"/>
              <w:jc w:val="both"/>
              <w:rPr>
                <w:rFonts w:ascii="Times New Roman" w:hAnsi="Times New Roman"/>
                <w:noProof/>
              </w:rPr>
            </w:pPr>
            <w:r>
              <w:rPr>
                <w:rFonts w:ascii="Times New Roman" w:hAnsi="Times New Roman"/>
                <w:noProof/>
              </w:rPr>
              <w:t>Строителство (Италия)</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2.7 ПОИ Междусистемна връзка Франция — Испания между Aquitaine (FR) и страната на баските (ES)</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2020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jc w:val="both"/>
              <w:rPr>
                <w:rFonts w:ascii="Times New Roman" w:hAnsi="Times New Roman"/>
                <w:noProof/>
              </w:rPr>
            </w:pPr>
            <w:r>
              <w:rPr>
                <w:rFonts w:ascii="Times New Roman" w:hAnsi="Times New Roman"/>
                <w:noProof/>
              </w:rPr>
              <w:t>2.13.1. Междусистемна връзка Ирландия — Обединено кралство между Woodland (IE) и Turleenan (UK – Северна Ирландия)</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spacing w:after="0"/>
              <w:jc w:val="both"/>
              <w:rPr>
                <w:rFonts w:ascii="Times New Roman" w:hAnsi="Times New Roman"/>
                <w:noProof/>
              </w:rPr>
            </w:pPr>
            <w:r>
              <w:rPr>
                <w:rFonts w:ascii="Times New Roman" w:hAnsi="Times New Roman"/>
                <w:noProof/>
              </w:rPr>
              <w:t>2017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2.13.2. Междусистемна връзка Ирландия — Обединено кралство между Srananagh (IE) и Turleenan (UK – Северна Ирландия)</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2020 — 2025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2.14 ПОИ Междусистемна връзка Италия — Швейцария между Thusis/Sils (CH) и Verderio Inferiore (IT)</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2018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2.15.1. Междусистемна връзка между Airolo (CH) и Baggio (IT)</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2022 г.</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jc w:val="both"/>
              <w:rPr>
                <w:rFonts w:ascii="Times New Roman" w:hAnsi="Times New Roman"/>
                <w:noProof/>
              </w:rPr>
            </w:pPr>
            <w:r>
              <w:rPr>
                <w:rFonts w:ascii="Times New Roman" w:hAnsi="Times New Roman"/>
                <w:noProof/>
              </w:rPr>
              <w:t>2.17 ПОИ Междусистемна връзка Португалия — Испания между Vila Fria — Vila do Conde — Recarei (PT) и Beariz — Fontefría (ES)</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jc w:val="both"/>
              <w:rPr>
                <w:rFonts w:ascii="Times New Roman" w:hAnsi="Times New Roman"/>
                <w:noProof/>
              </w:rPr>
            </w:pPr>
            <w:r>
              <w:rPr>
                <w:rFonts w:ascii="Times New Roman" w:hAnsi="Times New Roman"/>
                <w:noProof/>
              </w:rPr>
              <w:t>2016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val="restart"/>
            <w:tcBorders>
              <w:top w:val="single" w:sz="4" w:space="0" w:color="auto"/>
              <w:left w:val="single" w:sz="4" w:space="0" w:color="auto"/>
              <w:bottom w:val="single" w:sz="4" w:space="0" w:color="auto"/>
              <w:right w:val="single" w:sz="4" w:space="0" w:color="auto"/>
            </w:tcBorders>
          </w:tcPr>
          <w:p w:rsidR="000E1726" w:rsidRDefault="00015CA7">
            <w:pPr>
              <w:jc w:val="both"/>
              <w:rPr>
                <w:rFonts w:ascii="Times New Roman" w:hAnsi="Times New Roman"/>
                <w:b/>
                <w:noProof/>
              </w:rPr>
            </w:pPr>
            <w:r>
              <w:rPr>
                <w:rFonts w:ascii="Times New Roman" w:hAnsi="Times New Roman"/>
                <w:b/>
                <w:noProof/>
              </w:rPr>
              <w:t>Приоритетен коридор „Междусистемни електроенергийни връзки север — юг в Централна Източна и Югоизточна Европа“ (NSI East Electricity)</w:t>
            </w:r>
          </w:p>
          <w:p w:rsidR="000E1726" w:rsidRDefault="000E1726">
            <w:pPr>
              <w:jc w:val="both"/>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3.2.1. Връзка между Lienz (AT) и регион Veneto (IT)</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2022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3.3 ПОИ Междусистемна връзка Австрия — Италия между Nauders (AT) и регион Милано (IT)</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2018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jc w:val="both"/>
              <w:rPr>
                <w:rFonts w:ascii="Times New Roman" w:hAnsi="Times New Roman"/>
                <w:noProof/>
              </w:rPr>
            </w:pPr>
            <w:r>
              <w:rPr>
                <w:rFonts w:ascii="Times New Roman" w:hAnsi="Times New Roman"/>
                <w:noProof/>
              </w:rPr>
              <w:t>3.4 ПОИ Междусистемна връзка Австрия — Италия между Wurmlach (AT) и Somplago (IT)</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spacing w:after="0"/>
              <w:jc w:val="both"/>
              <w:rPr>
                <w:rFonts w:ascii="Times New Roman" w:hAnsi="Times New Roman"/>
                <w:noProof/>
              </w:rPr>
            </w:pPr>
            <w:r>
              <w:rPr>
                <w:rFonts w:ascii="Times New Roman" w:hAnsi="Times New Roman"/>
                <w:noProof/>
              </w:rPr>
              <w:t>2017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3.10.1. Междусистемна връзка между Hadera (IL) и Vasilikos (CY)</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2018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 xml:space="preserve"> 3.10.2. Междусистемна връзка между Vasilikos (CY) и Korakia, Крит (EL)</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2022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3.14.1. Междусистемна връзка между Eisenhüttenstadt (DE) и Plewiska (PL)</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2022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jc w:val="both"/>
              <w:rPr>
                <w:rFonts w:ascii="Times New Roman" w:hAnsi="Times New Roman"/>
                <w:noProof/>
              </w:rPr>
            </w:pPr>
            <w:r>
              <w:rPr>
                <w:rFonts w:ascii="Times New Roman" w:hAnsi="Times New Roman"/>
                <w:noProof/>
              </w:rPr>
              <w:t>3.15.1. Междусистемна връзка между Vierraden (DE) и Krajnik (PL)</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spacing w:after="0"/>
              <w:jc w:val="both"/>
              <w:rPr>
                <w:rFonts w:ascii="Times New Roman" w:hAnsi="Times New Roman"/>
                <w:noProof/>
              </w:rPr>
            </w:pPr>
            <w:r>
              <w:rPr>
                <w:rFonts w:ascii="Times New Roman" w:hAnsi="Times New Roman"/>
                <w:noProof/>
              </w:rPr>
              <w:t>2017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jc w:val="both"/>
              <w:rPr>
                <w:rFonts w:ascii="Times New Roman" w:hAnsi="Times New Roman"/>
                <w:noProof/>
              </w:rPr>
            </w:pPr>
            <w:r>
              <w:rPr>
                <w:rFonts w:ascii="Times New Roman" w:hAnsi="Times New Roman"/>
                <w:noProof/>
              </w:rPr>
              <w:t>3.19.1. Междусистемна връзка между Villanova (IT) и Lastva (ME)</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spacing w:after="0"/>
              <w:jc w:val="both"/>
              <w:rPr>
                <w:rFonts w:ascii="Times New Roman" w:hAnsi="Times New Roman"/>
                <w:noProof/>
              </w:rPr>
            </w:pPr>
            <w:r>
              <w:rPr>
                <w:rFonts w:ascii="Times New Roman" w:hAnsi="Times New Roman"/>
                <w:noProof/>
              </w:rPr>
              <w:t>2017 г.</w:t>
            </w:r>
          </w:p>
          <w:p w:rsidR="000E1726" w:rsidRDefault="00015CA7">
            <w:pPr>
              <w:spacing w:after="0"/>
              <w:jc w:val="both"/>
              <w:rPr>
                <w:rFonts w:ascii="Times New Roman" w:hAnsi="Times New Roman"/>
                <w:noProof/>
              </w:rPr>
            </w:pPr>
            <w:r>
              <w:rPr>
                <w:rFonts w:ascii="Times New Roman" w:hAnsi="Times New Roman"/>
                <w:noProof/>
              </w:rPr>
              <w:t>Строителство</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3.20.1. Междусистемна връзка между West Udine (IT) и Okroglo (SI)</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2021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3.21 ПОИ Междусистемна връзка Италия — Словения между Salgareda (ИТ) и Divača — регион Bericevo (SI)</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2022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jc w:val="both"/>
              <w:rPr>
                <w:rFonts w:ascii="Times New Roman" w:hAnsi="Times New Roman"/>
                <w:noProof/>
              </w:rPr>
            </w:pPr>
            <w:r>
              <w:rPr>
                <w:rFonts w:ascii="Times New Roman" w:hAnsi="Times New Roman"/>
                <w:noProof/>
              </w:rPr>
              <w:t>3.22.1. Междусистемна връзка между Resita (RO) и Pancevo (RS)</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spacing w:after="0"/>
              <w:jc w:val="both"/>
              <w:rPr>
                <w:rFonts w:ascii="Times New Roman" w:hAnsi="Times New Roman"/>
                <w:noProof/>
              </w:rPr>
            </w:pPr>
            <w:r>
              <w:rPr>
                <w:rFonts w:ascii="Times New Roman" w:hAnsi="Times New Roman"/>
                <w:noProof/>
              </w:rPr>
              <w:t>2017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bl>
    <w:p w:rsidR="007E3CDE" w:rsidRDefault="007E3CDE">
      <w:r>
        <w:br w:type="page"/>
      </w:r>
      <w:bookmarkStart w:id="1" w:name="_GoBack"/>
      <w:bookmarkEnd w:id="1"/>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666"/>
        <w:gridCol w:w="1842"/>
      </w:tblGrid>
      <w:tr w:rsidR="000E1726" w:rsidTr="007E3CDE">
        <w:tc>
          <w:tcPr>
            <w:tcW w:w="1807" w:type="dxa"/>
            <w:vMerge w:val="restart"/>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b/>
                <w:noProof/>
              </w:rPr>
              <w:lastRenderedPageBreak/>
              <w:t>Приоритетен коридор „План за взаимосвързване на Балтийския енергиен пазар в областта на електроенергетиката“ (BEMIP Electricity)</w:t>
            </w: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4.2.1. Междусистемна връзка между Kilingi — Nõmme (EE) и подстанция CHP2 Рига (LV)</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2020 г.</w:t>
            </w:r>
          </w:p>
          <w:p w:rsidR="000E1726" w:rsidRDefault="00015CA7">
            <w:pPr>
              <w:spacing w:after="0"/>
              <w:jc w:val="both"/>
              <w:rPr>
                <w:rFonts w:ascii="Times New Roman" w:hAnsi="Times New Roman"/>
                <w:noProof/>
              </w:rPr>
            </w:pPr>
            <w:r>
              <w:rPr>
                <w:rFonts w:ascii="Times New Roman" w:hAnsi="Times New Roman"/>
                <w:noProof/>
              </w:rPr>
              <w:t>Издаване на разрешителни</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0E1726" w:rsidRDefault="00015CA7">
            <w:pPr>
              <w:jc w:val="both"/>
              <w:rPr>
                <w:rFonts w:ascii="Times New Roman" w:hAnsi="Times New Roman"/>
                <w:noProof/>
              </w:rPr>
            </w:pPr>
            <w:r>
              <w:rPr>
                <w:rFonts w:ascii="Times New Roman" w:hAnsi="Times New Roman"/>
                <w:noProof/>
              </w:rPr>
              <w:t>4.3 ПОИ Естония/Латвия/Литва синхронна междусистемна връзка с континенталните европейски мрежи</w:t>
            </w:r>
          </w:p>
        </w:tc>
        <w:tc>
          <w:tcPr>
            <w:tcW w:w="1842" w:type="dxa"/>
            <w:tcBorders>
              <w:top w:val="single" w:sz="4" w:space="0" w:color="auto"/>
              <w:left w:val="single" w:sz="4" w:space="0" w:color="auto"/>
              <w:bottom w:val="single" w:sz="4" w:space="0" w:color="auto"/>
              <w:right w:val="single" w:sz="4" w:space="0" w:color="auto"/>
            </w:tcBorders>
            <w:hideMark/>
          </w:tcPr>
          <w:p w:rsidR="000E1726" w:rsidRDefault="00015CA7">
            <w:pPr>
              <w:spacing w:after="0"/>
              <w:jc w:val="both"/>
              <w:rPr>
                <w:rFonts w:ascii="Times New Roman" w:hAnsi="Times New Roman"/>
                <w:noProof/>
              </w:rPr>
            </w:pPr>
            <w:r>
              <w:rPr>
                <w:rFonts w:ascii="Times New Roman" w:hAnsi="Times New Roman"/>
                <w:noProof/>
              </w:rPr>
              <w:t>2023 — 2025 г.</w:t>
            </w:r>
          </w:p>
          <w:p w:rsidR="000E1726" w:rsidRDefault="00015CA7">
            <w:pPr>
              <w:spacing w:after="0"/>
              <w:jc w:val="both"/>
              <w:rPr>
                <w:rFonts w:ascii="Times New Roman" w:hAnsi="Times New Roman"/>
                <w:noProof/>
              </w:rPr>
            </w:pPr>
            <w:r>
              <w:rPr>
                <w:rFonts w:ascii="Times New Roman" w:hAnsi="Times New Roman"/>
                <w:noProof/>
              </w:rPr>
              <w:t>Етап на проучване</w:t>
            </w:r>
          </w:p>
        </w:tc>
      </w:tr>
      <w:tr w:rsidR="000E1726" w:rsidTr="007E3CDE">
        <w:tc>
          <w:tcPr>
            <w:tcW w:w="1807" w:type="dxa"/>
            <w:vMerge/>
            <w:tcBorders>
              <w:top w:val="single" w:sz="4" w:space="0" w:color="auto"/>
              <w:left w:val="single" w:sz="4" w:space="0" w:color="auto"/>
              <w:bottom w:val="single" w:sz="4" w:space="0" w:color="auto"/>
              <w:right w:val="single" w:sz="4" w:space="0" w:color="auto"/>
            </w:tcBorders>
            <w:vAlign w:val="center"/>
            <w:hideMark/>
          </w:tcPr>
          <w:p w:rsidR="000E1726" w:rsidRDefault="000E1726">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jc w:val="both"/>
              <w:rPr>
                <w:rFonts w:ascii="Times New Roman" w:hAnsi="Times New Roman"/>
                <w:noProof/>
              </w:rPr>
            </w:pPr>
            <w:r>
              <w:rPr>
                <w:rFonts w:ascii="Times New Roman" w:hAnsi="Times New Roman"/>
                <w:noProof/>
              </w:rPr>
              <w:t>4.5.1. Литовската част от междусистемната връзка между Alytus (LT) и литовско-полската граница</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0E1726" w:rsidRDefault="00015CA7">
            <w:pPr>
              <w:spacing w:after="0"/>
              <w:jc w:val="both"/>
              <w:rPr>
                <w:rFonts w:ascii="Times New Roman" w:hAnsi="Times New Roman"/>
                <w:noProof/>
              </w:rPr>
            </w:pPr>
            <w:r>
              <w:rPr>
                <w:rFonts w:ascii="Times New Roman" w:hAnsi="Times New Roman"/>
                <w:noProof/>
              </w:rPr>
              <w:t>2015 г.</w:t>
            </w:r>
          </w:p>
          <w:p w:rsidR="000E1726" w:rsidRDefault="00015CA7">
            <w:pPr>
              <w:spacing w:after="0"/>
              <w:jc w:val="both"/>
              <w:rPr>
                <w:rFonts w:ascii="Times New Roman" w:hAnsi="Times New Roman"/>
                <w:noProof/>
              </w:rPr>
            </w:pPr>
            <w:r>
              <w:rPr>
                <w:rFonts w:ascii="Times New Roman" w:hAnsi="Times New Roman"/>
                <w:noProof/>
              </w:rPr>
              <w:t>Строителство</w:t>
            </w:r>
          </w:p>
        </w:tc>
      </w:tr>
    </w:tbl>
    <w:p w:rsidR="000E1726" w:rsidRDefault="000E1726">
      <w:pPr>
        <w:jc w:val="both"/>
        <w:rPr>
          <w:rFonts w:ascii="Times New Roman" w:hAnsi="Times New Roman"/>
          <w:b/>
          <w:noProof/>
          <w:sz w:val="24"/>
          <w:szCs w:val="24"/>
        </w:rPr>
      </w:pPr>
    </w:p>
    <w:sectPr w:rsidR="000E172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26" w:rsidRDefault="00015CA7">
      <w:pPr>
        <w:spacing w:after="0" w:line="240" w:lineRule="auto"/>
      </w:pPr>
      <w:r>
        <w:separator/>
      </w:r>
    </w:p>
  </w:endnote>
  <w:endnote w:type="continuationSeparator" w:id="0">
    <w:p w:rsidR="000E1726" w:rsidRDefault="0001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A7" w:rsidRPr="00015CA7" w:rsidRDefault="00015CA7" w:rsidP="00015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A7" w:rsidRPr="00015CA7" w:rsidRDefault="00015CA7" w:rsidP="00015CA7">
    <w:pPr>
      <w:pStyle w:val="FooterCoverPage"/>
      <w:rPr>
        <w:rFonts w:ascii="Arial" w:hAnsi="Arial" w:cs="Arial"/>
        <w:b/>
        <w:sz w:val="48"/>
      </w:rPr>
    </w:pPr>
    <w:r w:rsidRPr="00015CA7">
      <w:rPr>
        <w:rFonts w:ascii="Arial" w:hAnsi="Arial" w:cs="Arial"/>
        <w:b/>
        <w:sz w:val="48"/>
      </w:rPr>
      <w:t>BG</w:t>
    </w:r>
    <w:r w:rsidRPr="00015CA7">
      <w:rPr>
        <w:rFonts w:ascii="Arial" w:hAnsi="Arial" w:cs="Arial"/>
        <w:b/>
        <w:sz w:val="48"/>
      </w:rPr>
      <w:tab/>
    </w:r>
    <w:r w:rsidRPr="00015CA7">
      <w:rPr>
        <w:rFonts w:ascii="Arial" w:hAnsi="Arial" w:cs="Arial"/>
        <w:b/>
        <w:sz w:val="48"/>
      </w:rPr>
      <w:tab/>
    </w:r>
    <w:r w:rsidR="007E3CDE">
      <w:fldChar w:fldCharType="begin"/>
    </w:r>
    <w:r w:rsidR="007E3CDE">
      <w:instrText xml:space="preserve"> DOCVARIABLE "LW_Confidence" \* MERGEFORMAT </w:instrText>
    </w:r>
    <w:r w:rsidR="007E3CDE">
      <w:fldChar w:fldCharType="separate"/>
    </w:r>
    <w:r>
      <w:t xml:space="preserve"> </w:t>
    </w:r>
    <w:r w:rsidR="007E3CDE">
      <w:fldChar w:fldCharType="end"/>
    </w:r>
    <w:r w:rsidRPr="00015CA7">
      <w:tab/>
    </w:r>
    <w:proofErr w:type="spellStart"/>
    <w:r w:rsidRPr="00015CA7">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A7" w:rsidRPr="00015CA7" w:rsidRDefault="00015CA7" w:rsidP="00015CA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26" w:rsidRDefault="000E17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0608"/>
      <w:docPartObj>
        <w:docPartGallery w:val="Page Numbers (Bottom of Page)"/>
        <w:docPartUnique/>
      </w:docPartObj>
    </w:sdtPr>
    <w:sdtEndPr>
      <w:rPr>
        <w:noProof/>
      </w:rPr>
    </w:sdtEndPr>
    <w:sdtContent>
      <w:p w:rsidR="000E1726" w:rsidRDefault="00015CA7">
        <w:pPr>
          <w:pStyle w:val="Footer"/>
          <w:jc w:val="center"/>
        </w:pPr>
        <w:r>
          <w:fldChar w:fldCharType="begin"/>
        </w:r>
        <w:r>
          <w:instrText xml:space="preserve"> PAGE   \* MERGEFORMAT </w:instrText>
        </w:r>
        <w:r>
          <w:fldChar w:fldCharType="separate"/>
        </w:r>
        <w:r w:rsidR="007E3CDE">
          <w:rPr>
            <w:noProof/>
          </w:rPr>
          <w:t>3</w:t>
        </w:r>
        <w:r>
          <w:rPr>
            <w:noProof/>
          </w:rPr>
          <w:fldChar w:fldCharType="end"/>
        </w:r>
      </w:p>
    </w:sdtContent>
  </w:sdt>
  <w:p w:rsidR="000E1726" w:rsidRDefault="000E17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26" w:rsidRDefault="000E1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26" w:rsidRDefault="00015CA7">
      <w:pPr>
        <w:spacing w:after="0" w:line="240" w:lineRule="auto"/>
      </w:pPr>
      <w:r>
        <w:separator/>
      </w:r>
    </w:p>
  </w:footnote>
  <w:footnote w:type="continuationSeparator" w:id="0">
    <w:p w:rsidR="000E1726" w:rsidRDefault="00015CA7">
      <w:pPr>
        <w:spacing w:after="0" w:line="240" w:lineRule="auto"/>
      </w:pPr>
      <w:r>
        <w:continuationSeparator/>
      </w:r>
    </w:p>
  </w:footnote>
  <w:footnote w:id="1">
    <w:p w:rsidR="000E1726" w:rsidRDefault="00015CA7">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proofErr w:type="gramStart"/>
      <w:r>
        <w:rPr>
          <w:rFonts w:ascii="Times New Roman" w:hAnsi="Times New Roman"/>
        </w:rPr>
        <w:t>Съгласно</w:t>
      </w:r>
      <w:proofErr w:type="spellEnd"/>
      <w:r>
        <w:rPr>
          <w:rFonts w:ascii="Times New Roman" w:hAnsi="Times New Roman"/>
        </w:rPr>
        <w:t xml:space="preserve"> TYNDP 2014 </w:t>
      </w:r>
      <w:proofErr w:type="spellStart"/>
      <w:r>
        <w:rPr>
          <w:rFonts w:ascii="Times New Roman" w:hAnsi="Times New Roman"/>
        </w:rPr>
        <w:t>на</w:t>
      </w:r>
      <w:proofErr w:type="spellEnd"/>
      <w:r>
        <w:rPr>
          <w:rFonts w:ascii="Times New Roman" w:hAnsi="Times New Roman"/>
        </w:rPr>
        <w:t xml:space="preserve"> ENTSO-E (</w:t>
      </w:r>
      <w:proofErr w:type="spellStart"/>
      <w:r>
        <w:rPr>
          <w:rFonts w:ascii="Times New Roman" w:hAnsi="Times New Roman"/>
        </w:rPr>
        <w:t>ако</w:t>
      </w:r>
      <w:proofErr w:type="spellEnd"/>
      <w:r>
        <w:rPr>
          <w:rFonts w:ascii="Times New Roman" w:hAnsi="Times New Roman"/>
        </w:rPr>
        <w:t xml:space="preserve"> е </w:t>
      </w:r>
      <w:proofErr w:type="spellStart"/>
      <w:r>
        <w:rPr>
          <w:rFonts w:ascii="Times New Roman" w:hAnsi="Times New Roman"/>
        </w:rPr>
        <w:t>приложимо</w:t>
      </w:r>
      <w:proofErr w:type="spellEnd"/>
      <w:r>
        <w:rPr>
          <w:rFonts w:ascii="Times New Roman" w:hAnsi="Times New Roman"/>
        </w:rPr>
        <w:t xml:space="preserve">)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съгласно</w:t>
      </w:r>
      <w:proofErr w:type="spellEnd"/>
      <w:r>
        <w:rPr>
          <w:rFonts w:ascii="Times New Roman" w:hAnsi="Times New Roman"/>
        </w:rPr>
        <w:t xml:space="preserve"> </w:t>
      </w:r>
      <w:proofErr w:type="spellStart"/>
      <w:r>
        <w:rPr>
          <w:rFonts w:ascii="Times New Roman" w:hAnsi="Times New Roman"/>
        </w:rPr>
        <w:t>информацията</w:t>
      </w:r>
      <w:proofErr w:type="spellEnd"/>
      <w:r>
        <w:rPr>
          <w:rFonts w:ascii="Times New Roman" w:hAnsi="Times New Roman"/>
        </w:rPr>
        <w:t xml:space="preserve">, </w:t>
      </w:r>
      <w:proofErr w:type="spellStart"/>
      <w:r>
        <w:rPr>
          <w:rFonts w:ascii="Times New Roman" w:hAnsi="Times New Roman"/>
        </w:rPr>
        <w:t>която</w:t>
      </w:r>
      <w:proofErr w:type="spellEnd"/>
      <w:r>
        <w:rPr>
          <w:rFonts w:ascii="Times New Roman" w:hAnsi="Times New Roman"/>
        </w:rPr>
        <w:t xml:space="preserve"> </w:t>
      </w:r>
      <w:proofErr w:type="spellStart"/>
      <w:r>
        <w:rPr>
          <w:rFonts w:ascii="Times New Roman" w:hAnsi="Times New Roman"/>
        </w:rPr>
        <w:t>организаторите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проекти</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представили</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Комисията</w:t>
      </w:r>
      <w:proofErr w:type="spellEnd"/>
      <w:r>
        <w:rPr>
          <w:rFonts w:ascii="Times New Roman" w:hAnsi="Times New Roman"/>
        </w:rPr>
        <w:t xml:space="preserve"> </w:t>
      </w:r>
      <w:proofErr w:type="spellStart"/>
      <w:r>
        <w:rPr>
          <w:rFonts w:ascii="Times New Roman" w:hAnsi="Times New Roman"/>
        </w:rPr>
        <w:t>през</w:t>
      </w:r>
      <w:proofErr w:type="spellEnd"/>
      <w:r>
        <w:rPr>
          <w:rFonts w:ascii="Times New Roman" w:hAnsi="Times New Roman"/>
        </w:rPr>
        <w:t xml:space="preserve"> 2014 г.</w:t>
      </w:r>
      <w:proofErr w:type="gramEnd"/>
    </w:p>
  </w:footnote>
  <w:footnote w:id="2">
    <w:p w:rsidR="000E1726" w:rsidRDefault="00015CA7">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proofErr w:type="gramStart"/>
      <w:r>
        <w:rPr>
          <w:rFonts w:ascii="Times New Roman" w:hAnsi="Times New Roman"/>
        </w:rPr>
        <w:t>Проектите</w:t>
      </w:r>
      <w:proofErr w:type="spellEnd"/>
      <w:r>
        <w:rPr>
          <w:rFonts w:ascii="Times New Roman" w:hAnsi="Times New Roman"/>
        </w:rPr>
        <w:t xml:space="preserve"> в </w:t>
      </w:r>
      <w:proofErr w:type="spellStart"/>
      <w:r>
        <w:rPr>
          <w:rFonts w:ascii="Times New Roman" w:hAnsi="Times New Roman"/>
        </w:rPr>
        <w:t>син</w:t>
      </w:r>
      <w:proofErr w:type="spellEnd"/>
      <w:r>
        <w:rPr>
          <w:rFonts w:ascii="Times New Roman" w:hAnsi="Times New Roman"/>
        </w:rPr>
        <w:t xml:space="preserve"> </w:t>
      </w:r>
      <w:proofErr w:type="spellStart"/>
      <w:r>
        <w:rPr>
          <w:rFonts w:ascii="Times New Roman" w:hAnsi="Times New Roman"/>
        </w:rPr>
        <w:t>цвят</w:t>
      </w:r>
      <w:proofErr w:type="spellEnd"/>
      <w:r>
        <w:rPr>
          <w:rFonts w:ascii="Times New Roman" w:hAnsi="Times New Roman"/>
        </w:rPr>
        <w:t xml:space="preserve"> </w:t>
      </w:r>
      <w:proofErr w:type="spellStart"/>
      <w:r>
        <w:rPr>
          <w:rFonts w:ascii="Times New Roman" w:hAnsi="Times New Roman"/>
        </w:rPr>
        <w:t>касаят</w:t>
      </w:r>
      <w:proofErr w:type="spellEnd"/>
      <w:r>
        <w:rPr>
          <w:rFonts w:ascii="Times New Roman" w:hAnsi="Times New Roman"/>
        </w:rPr>
        <w:t xml:space="preserve"> </w:t>
      </w:r>
      <w:proofErr w:type="spellStart"/>
      <w:r>
        <w:rPr>
          <w:rFonts w:ascii="Times New Roman" w:hAnsi="Times New Roman"/>
        </w:rPr>
        <w:t>проекти</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междусистемни</w:t>
      </w:r>
      <w:proofErr w:type="spellEnd"/>
      <w:r>
        <w:rPr>
          <w:rFonts w:ascii="Times New Roman" w:hAnsi="Times New Roman"/>
        </w:rPr>
        <w:t xml:space="preserve"> </w:t>
      </w:r>
      <w:proofErr w:type="spellStart"/>
      <w:r>
        <w:rPr>
          <w:rFonts w:ascii="Times New Roman" w:hAnsi="Times New Roman"/>
        </w:rPr>
        <w:t>връзки</w:t>
      </w:r>
      <w:proofErr w:type="spellEnd"/>
      <w:r>
        <w:rPr>
          <w:rFonts w:ascii="Times New Roman" w:hAnsi="Times New Roman"/>
        </w:rPr>
        <w:t xml:space="preserve">, </w:t>
      </w:r>
      <w:proofErr w:type="spellStart"/>
      <w:r>
        <w:rPr>
          <w:rFonts w:ascii="Times New Roman" w:hAnsi="Times New Roman"/>
        </w:rPr>
        <w:t>които</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очаква</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бъдат</w:t>
      </w:r>
      <w:proofErr w:type="spellEnd"/>
      <w:r>
        <w:rPr>
          <w:rFonts w:ascii="Times New Roman" w:hAnsi="Times New Roman"/>
        </w:rPr>
        <w:t xml:space="preserve"> </w:t>
      </w:r>
      <w:proofErr w:type="spellStart"/>
      <w:r>
        <w:rPr>
          <w:rFonts w:ascii="Times New Roman" w:hAnsi="Times New Roman"/>
        </w:rPr>
        <w:t>приключени</w:t>
      </w:r>
      <w:proofErr w:type="spellEnd"/>
      <w:r>
        <w:rPr>
          <w:rFonts w:ascii="Times New Roman" w:hAnsi="Times New Roman"/>
        </w:rPr>
        <w:t xml:space="preserve"> </w:t>
      </w:r>
      <w:proofErr w:type="spellStart"/>
      <w:r>
        <w:rPr>
          <w:rFonts w:ascii="Times New Roman" w:hAnsi="Times New Roman"/>
        </w:rPr>
        <w:t>до</w:t>
      </w:r>
      <w:proofErr w:type="spellEnd"/>
      <w:r>
        <w:rPr>
          <w:rFonts w:ascii="Times New Roman" w:hAnsi="Times New Roman"/>
        </w:rPr>
        <w:t xml:space="preserve"> 2017 — 2018 г. </w:t>
      </w:r>
      <w:proofErr w:type="spellStart"/>
      <w:r>
        <w:rPr>
          <w:rFonts w:ascii="Times New Roman" w:hAnsi="Times New Roman"/>
        </w:rPr>
        <w:t>или</w:t>
      </w:r>
      <w:proofErr w:type="spellEnd"/>
      <w:r>
        <w:rPr>
          <w:rFonts w:ascii="Times New Roman" w:hAnsi="Times New Roman"/>
        </w:rPr>
        <w:t xml:space="preserve"> </w:t>
      </w:r>
      <w:proofErr w:type="spellStart"/>
      <w:r>
        <w:rPr>
          <w:rFonts w:ascii="Times New Roman" w:hAnsi="Times New Roman"/>
        </w:rPr>
        <w:t>при</w:t>
      </w:r>
      <w:proofErr w:type="spellEnd"/>
      <w:r>
        <w:rPr>
          <w:rFonts w:ascii="Times New Roman" w:hAnsi="Times New Roman"/>
        </w:rPr>
        <w:t xml:space="preserve"> </w:t>
      </w:r>
      <w:proofErr w:type="spellStart"/>
      <w:r>
        <w:rPr>
          <w:rFonts w:ascii="Times New Roman" w:hAnsi="Times New Roman"/>
        </w:rPr>
        <w:t>които</w:t>
      </w:r>
      <w:proofErr w:type="spellEnd"/>
      <w:r>
        <w:rPr>
          <w:rFonts w:ascii="Times New Roman" w:hAnsi="Times New Roman"/>
        </w:rPr>
        <w:t xml:space="preserve"> </w:t>
      </w:r>
      <w:proofErr w:type="spellStart"/>
      <w:r>
        <w:rPr>
          <w:rFonts w:ascii="Times New Roman" w:hAnsi="Times New Roman"/>
        </w:rPr>
        <w:t>съществена</w:t>
      </w:r>
      <w:proofErr w:type="spellEnd"/>
      <w:r>
        <w:rPr>
          <w:rFonts w:ascii="Times New Roman" w:hAnsi="Times New Roman"/>
        </w:rPr>
        <w:t xml:space="preserve"> </w:t>
      </w:r>
      <w:proofErr w:type="spellStart"/>
      <w:r>
        <w:rPr>
          <w:rFonts w:ascii="Times New Roman" w:hAnsi="Times New Roman"/>
        </w:rPr>
        <w:t>част</w:t>
      </w:r>
      <w:proofErr w:type="spellEnd"/>
      <w:r>
        <w:rPr>
          <w:rFonts w:ascii="Times New Roman" w:hAnsi="Times New Roman"/>
        </w:rPr>
        <w:t xml:space="preserve"> </w:t>
      </w:r>
      <w:proofErr w:type="spellStart"/>
      <w:r>
        <w:rPr>
          <w:rFonts w:ascii="Times New Roman" w:hAnsi="Times New Roman"/>
        </w:rPr>
        <w:t>от</w:t>
      </w:r>
      <w:proofErr w:type="spellEnd"/>
      <w:r>
        <w:rPr>
          <w:rFonts w:ascii="Times New Roman" w:hAnsi="Times New Roman"/>
        </w:rPr>
        <w:t xml:space="preserve"> </w:t>
      </w:r>
      <w:proofErr w:type="spellStart"/>
      <w:r>
        <w:rPr>
          <w:rFonts w:ascii="Times New Roman" w:hAnsi="Times New Roman"/>
        </w:rPr>
        <w:t>работата</w:t>
      </w:r>
      <w:proofErr w:type="spellEnd"/>
      <w:r>
        <w:rPr>
          <w:rFonts w:ascii="Times New Roman" w:hAnsi="Times New Roman"/>
        </w:rPr>
        <w:t xml:space="preserve"> </w:t>
      </w:r>
      <w:proofErr w:type="spellStart"/>
      <w:r>
        <w:rPr>
          <w:rFonts w:ascii="Times New Roman" w:hAnsi="Times New Roman"/>
        </w:rPr>
        <w:t>ще</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извърши</w:t>
      </w:r>
      <w:proofErr w:type="spellEnd"/>
      <w:r>
        <w:rPr>
          <w:rFonts w:ascii="Times New Roman" w:hAnsi="Times New Roman"/>
        </w:rPr>
        <w:t xml:space="preserve"> </w:t>
      </w:r>
      <w:proofErr w:type="spellStart"/>
      <w:r>
        <w:rPr>
          <w:rFonts w:ascii="Times New Roman" w:hAnsi="Times New Roman"/>
        </w:rPr>
        <w:t>до</w:t>
      </w:r>
      <w:proofErr w:type="spellEnd"/>
      <w:r>
        <w:rPr>
          <w:rFonts w:ascii="Times New Roman" w:hAnsi="Times New Roman"/>
        </w:rPr>
        <w:t xml:space="preserve"> 2017 г. </w:t>
      </w:r>
      <w:proofErr w:type="spellStart"/>
      <w:r>
        <w:rPr>
          <w:rFonts w:ascii="Times New Roman" w:hAnsi="Times New Roman"/>
        </w:rPr>
        <w:t>Те</w:t>
      </w:r>
      <w:proofErr w:type="spellEnd"/>
      <w:r>
        <w:rPr>
          <w:rFonts w:ascii="Times New Roman" w:hAnsi="Times New Roman"/>
        </w:rPr>
        <w:t xml:space="preserve"> </w:t>
      </w:r>
      <w:proofErr w:type="spellStart"/>
      <w:r>
        <w:rPr>
          <w:rFonts w:ascii="Times New Roman" w:hAnsi="Times New Roman"/>
        </w:rPr>
        <w:t>биха</w:t>
      </w:r>
      <w:proofErr w:type="spellEnd"/>
      <w:r>
        <w:rPr>
          <w:rFonts w:ascii="Times New Roman" w:hAnsi="Times New Roman"/>
        </w:rPr>
        <w:t xml:space="preserve"> </w:t>
      </w:r>
      <w:proofErr w:type="spellStart"/>
      <w:r>
        <w:rPr>
          <w:rFonts w:ascii="Times New Roman" w:hAnsi="Times New Roman"/>
        </w:rPr>
        <w:t>могли</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кандидатстват</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подкрепа</w:t>
      </w:r>
      <w:proofErr w:type="spellEnd"/>
      <w:r>
        <w:rPr>
          <w:rFonts w:ascii="Times New Roman" w:hAnsi="Times New Roman"/>
        </w:rPr>
        <w:t xml:space="preserve"> </w:t>
      </w:r>
      <w:proofErr w:type="spellStart"/>
      <w:r>
        <w:rPr>
          <w:rFonts w:ascii="Times New Roman" w:hAnsi="Times New Roman"/>
        </w:rPr>
        <w:t>по</w:t>
      </w:r>
      <w:proofErr w:type="spellEnd"/>
      <w:r>
        <w:rPr>
          <w:rFonts w:ascii="Times New Roman" w:hAnsi="Times New Roman"/>
        </w:rPr>
        <w:t xml:space="preserve"> ЕФСИ.</w:t>
      </w:r>
      <w:proofErr w:type="gramEnd"/>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A7" w:rsidRPr="00015CA7" w:rsidRDefault="00015CA7" w:rsidP="00015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A7" w:rsidRPr="00015CA7" w:rsidRDefault="00015CA7" w:rsidP="00015CA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A7" w:rsidRPr="00015CA7" w:rsidRDefault="00015CA7" w:rsidP="00015CA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26" w:rsidRDefault="000E17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26" w:rsidRDefault="000E17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26" w:rsidRDefault="000E1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BC9"/>
    <w:multiLevelType w:val="hybridMultilevel"/>
    <w:tmpl w:val="3312C5E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2"/>
    <w:docVar w:name="LW_CONFIDENCE" w:val=" "/>
    <w:docVar w:name="LW_CONST_RESTREINT_UE" w:val="RESTREINT UE"/>
    <w:docVar w:name="LW_CORRIGENDUM" w:val="&lt;UNUSED&gt;"/>
    <w:docVar w:name="LW_COVERPAGE_GUID" w:val="28746D00962A4C7CA1389C5C273EB7FE"/>
    <w:docVar w:name="LW_CROSSREFERENCE" w:val="&lt;UNUSED&gt;"/>
    <w:docVar w:name="LW_DocType" w:val="NORMAL"/>
    <w:docVar w:name="LW_EMISSION" w:val="25.2.2015"/>
    <w:docVar w:name="LW_EMISSION_ISODATE" w:val="2015-02-25"/>
    <w:docVar w:name="LW_EMISSION_LOCATION" w:val="BRX"/>
    <w:docVar w:name="LW_EMISSION_PREFIX" w:val="\u1041?\u1088?\u1102?\u1082?\u1089?\u1077?\u1083?,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98?\u1090?\u1103?\u1090? \u1082?\u1098?\u1084? \u1094?\u1077?\u1083?\u1090?\u1072? \u1086?\u1090? 10 % \u1084?\u1077?\u1078?\u1076?\u1091?\u1089?\u1080?\u1089?\u1090?\u1077?\u1084?\u1085?\u1072? \u1077?\u1083?\u1077?\u1082?\u1090?\u1088?\u1086?\u1077?\u1085?\u1077?\u1088?\u1075?\u1080?\u1081?\u1085?\u1072? \u1089?\u1074?\u1098?\u1088?\u1079?\u1072?\u1085?\u1086?\u1089?\u1090?_x000b__x000b_\u1055?\u1086?\u1076?\u1075?\u1086?\u1090?\u1074?\u1103?\u1085?\u1077? \u1085?\u1072? \u1077?\u1074?\u1088?\u1086?\u1087?\u1077?\u1081?\u1089?\u1082?\u1072?\u1090?\u1072? \u1077?\u1083?\u1077?\u1082?\u1090?\u1088?\u1086?\u1077?\u1085?\u1077?\u1088?\u1075?\u1080?\u1081?\u1085?\u1072? \u1084?\u1088?\u1077?\u1078?\u1072? \u1079?\u1072? 2020 \u1075?."/>
    <w:docVar w:name="LW_PART_NBR" w:val="&lt;UNUSED&gt;"/>
    <w:docVar w:name="LW_PART_NBR_TOTAL" w:val="&lt;UNUSED&gt;"/>
    <w:docVar w:name="LW_REF.INST.NEW" w:val="COM"/>
    <w:docVar w:name="LW_REF.INST.NEW_ADOPTED" w:val="final"/>
    <w:docVar w:name="LW_REF.INST.NEW_TEXT" w:val="(2015) 82"/>
    <w:docVar w:name="LW_REF.INTERNE" w:val="&lt;UNUSED&gt;"/>
    <w:docVar w:name="LW_SUPERTITRE" w:val="&lt;UNUSED&gt;"/>
    <w:docVar w:name="LW_TITRE.OBJ.CP" w:val="&lt;UNUSED&gt;"/>
    <w:docVar w:name="LW_TYPE.DOC.CP" w:val="\u1055?\u1056?\u1048?\u1051?\u1054?\u1046?\u1045?\u1053?\u1048?\u1071?_x000b_"/>
    <w:docVar w:name="LW_TYPEACTEPRINCIPAL.CP" w:val="\u1057?\u1066?\u1054?\u1041?\u1065?\u1045?\u1053?\u1048?\u1045? \u1053?\u1040? \u1050?\u1054?\u1052?\u1048?\u1057?\u1048?\u1071?\u1058?\u1040? \u1044?\u1054? \u1045?\u1042?\u1056?\u1054?\u1055?\u1045?\u1049?\u1057?\u1050?\u1048?\u1071? \u1055?\u1040?\u1056?\u1051?\u1040?\u1052?\u1045?\u1053?\u1058? \u1048? \u1057?\u1066?\u1042?\u1045?\u1058?\u1040?"/>
  </w:docVars>
  <w:rsids>
    <w:rsidRoot w:val="000E1726"/>
    <w:rsid w:val="00015CA7"/>
    <w:rsid w:val="000E1726"/>
    <w:rsid w:val="007E3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heme="minorHAnsi" w:hAnsi="Times New Roman"/>
      <w:b/>
      <w:caps/>
      <w:sz w:val="24"/>
    </w:rPr>
  </w:style>
  <w:style w:type="paragraph" w:customStyle="1" w:styleId="Nomdelinstitution">
    <w:name w:val="Nom de l'institution"/>
    <w:basedOn w:val="Normal"/>
    <w:next w:val="Normal"/>
    <w:pPr>
      <w:spacing w:after="0" w:line="240" w:lineRule="auto"/>
    </w:pPr>
    <w:rPr>
      <w:rFonts w:ascii="Arial" w:eastAsiaTheme="minorHAnsi" w:hAnsi="Arial" w:cs="Arial"/>
      <w:sz w:val="24"/>
    </w:rPr>
  </w:style>
  <w:style w:type="paragraph" w:customStyle="1" w:styleId="Emission">
    <w:name w:val="Emission"/>
    <w:basedOn w:val="Normal"/>
    <w:next w:val="Normal"/>
    <w:pPr>
      <w:spacing w:after="0" w:line="240" w:lineRule="auto"/>
      <w:ind w:left="5103"/>
    </w:pPr>
    <w:rPr>
      <w:rFonts w:ascii="Times New Roman" w:eastAsiaTheme="minorHAnsi" w:hAnsi="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eastAsiaTheme="minorHAnsi" w:hAnsi="Times New Roman"/>
      <w:sz w:val="24"/>
    </w:rPr>
  </w:style>
  <w:style w:type="paragraph" w:customStyle="1" w:styleId="Volume">
    <w:name w:val="Volume"/>
    <w:basedOn w:val="Normal"/>
    <w:next w:val="Normal"/>
    <w:pPr>
      <w:spacing w:after="240" w:line="240" w:lineRule="auto"/>
      <w:ind w:left="5103"/>
    </w:pPr>
    <w:rPr>
      <w:rFonts w:ascii="Times New Roman" w:eastAsiaTheme="minorHAnsi" w:hAnsi="Times New Roman"/>
      <w:sz w:val="24"/>
    </w:rPr>
  </w:style>
  <w:style w:type="paragraph" w:customStyle="1" w:styleId="Confidentialit">
    <w:name w:val="Confidentialité"/>
    <w:basedOn w:val="Normal"/>
    <w:next w:val="Normal"/>
    <w:pPr>
      <w:spacing w:before="240" w:after="240" w:line="240" w:lineRule="auto"/>
      <w:ind w:left="5103"/>
    </w:pPr>
    <w:rPr>
      <w:rFonts w:ascii="Times New Roman" w:eastAsiaTheme="minorHAnsi" w:hAnsi="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eastAsiaTheme="minorHAnsi" w:hAnsi="Times New Roman"/>
      <w:b/>
      <w:sz w:val="24"/>
    </w:rPr>
  </w:style>
  <w:style w:type="paragraph" w:customStyle="1" w:styleId="AccompagnantPagedecouverture">
    <w:name w:val="Accompagnant (Page de couverture)"/>
    <w:basedOn w:val="Normal"/>
    <w:next w:val="Normal"/>
    <w:pPr>
      <w:spacing w:after="240" w:line="240" w:lineRule="auto"/>
      <w:jc w:val="center"/>
    </w:pPr>
    <w:rPr>
      <w:rFonts w:ascii="Times New Roman" w:eastAsiaTheme="minorHAnsi" w:hAnsi="Times New Roman"/>
      <w:b/>
      <w:i/>
      <w:sz w:val="24"/>
    </w:rPr>
  </w:style>
  <w:style w:type="paragraph" w:customStyle="1" w:styleId="TypeacteprincipalPagedecouverture">
    <w:name w:val="Type acte principal (Page de couverture)"/>
    <w:basedOn w:val="Normal"/>
    <w:next w:val="Normal"/>
    <w:pPr>
      <w:spacing w:after="240" w:line="240" w:lineRule="auto"/>
      <w:jc w:val="center"/>
    </w:pPr>
    <w:rPr>
      <w:rFonts w:ascii="Times New Roman" w:eastAsiaTheme="minorHAnsi" w:hAnsi="Times New Roman"/>
      <w:b/>
      <w:sz w:val="24"/>
    </w:rPr>
  </w:style>
  <w:style w:type="paragraph" w:customStyle="1" w:styleId="ObjetacteprincipalPagedecouverture">
    <w:name w:val="Objet acte principal (Page de couverture)"/>
    <w:basedOn w:val="Normal"/>
    <w:next w:val="Normal"/>
    <w:pPr>
      <w:spacing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heme="minorHAnsi" w:hAnsi="Times New Roman"/>
      <w:b/>
      <w:caps/>
      <w:sz w:val="24"/>
    </w:rPr>
  </w:style>
  <w:style w:type="paragraph" w:customStyle="1" w:styleId="Nomdelinstitution">
    <w:name w:val="Nom de l'institution"/>
    <w:basedOn w:val="Normal"/>
    <w:next w:val="Normal"/>
    <w:pPr>
      <w:spacing w:after="0" w:line="240" w:lineRule="auto"/>
    </w:pPr>
    <w:rPr>
      <w:rFonts w:ascii="Arial" w:eastAsiaTheme="minorHAnsi" w:hAnsi="Arial" w:cs="Arial"/>
      <w:sz w:val="24"/>
    </w:rPr>
  </w:style>
  <w:style w:type="paragraph" w:customStyle="1" w:styleId="Emission">
    <w:name w:val="Emission"/>
    <w:basedOn w:val="Normal"/>
    <w:next w:val="Normal"/>
    <w:pPr>
      <w:spacing w:after="0" w:line="240" w:lineRule="auto"/>
      <w:ind w:left="5103"/>
    </w:pPr>
    <w:rPr>
      <w:rFonts w:ascii="Times New Roman" w:eastAsiaTheme="minorHAnsi" w:hAnsi="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eastAsiaTheme="minorHAnsi" w:hAnsi="Times New Roman"/>
      <w:sz w:val="24"/>
    </w:rPr>
  </w:style>
  <w:style w:type="paragraph" w:customStyle="1" w:styleId="Volume">
    <w:name w:val="Volume"/>
    <w:basedOn w:val="Normal"/>
    <w:next w:val="Normal"/>
    <w:pPr>
      <w:spacing w:after="240" w:line="240" w:lineRule="auto"/>
      <w:ind w:left="5103"/>
    </w:pPr>
    <w:rPr>
      <w:rFonts w:ascii="Times New Roman" w:eastAsiaTheme="minorHAnsi" w:hAnsi="Times New Roman"/>
      <w:sz w:val="24"/>
    </w:rPr>
  </w:style>
  <w:style w:type="paragraph" w:customStyle="1" w:styleId="Confidentialit">
    <w:name w:val="Confidentialité"/>
    <w:basedOn w:val="Normal"/>
    <w:next w:val="Normal"/>
    <w:pPr>
      <w:spacing w:before="240" w:after="240" w:line="240" w:lineRule="auto"/>
      <w:ind w:left="5103"/>
    </w:pPr>
    <w:rPr>
      <w:rFonts w:ascii="Times New Roman" w:eastAsiaTheme="minorHAnsi" w:hAnsi="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eastAsiaTheme="minorHAnsi" w:hAnsi="Times New Roman"/>
      <w:b/>
      <w:sz w:val="24"/>
    </w:rPr>
  </w:style>
  <w:style w:type="paragraph" w:customStyle="1" w:styleId="AccompagnantPagedecouverture">
    <w:name w:val="Accompagnant (Page de couverture)"/>
    <w:basedOn w:val="Normal"/>
    <w:next w:val="Normal"/>
    <w:pPr>
      <w:spacing w:after="240" w:line="240" w:lineRule="auto"/>
      <w:jc w:val="center"/>
    </w:pPr>
    <w:rPr>
      <w:rFonts w:ascii="Times New Roman" w:eastAsiaTheme="minorHAnsi" w:hAnsi="Times New Roman"/>
      <w:b/>
      <w:i/>
      <w:sz w:val="24"/>
    </w:rPr>
  </w:style>
  <w:style w:type="paragraph" w:customStyle="1" w:styleId="TypeacteprincipalPagedecouverture">
    <w:name w:val="Type acte principal (Page de couverture)"/>
    <w:basedOn w:val="Normal"/>
    <w:next w:val="Normal"/>
    <w:pPr>
      <w:spacing w:after="240" w:line="240" w:lineRule="auto"/>
      <w:jc w:val="center"/>
    </w:pPr>
    <w:rPr>
      <w:rFonts w:ascii="Times New Roman" w:eastAsiaTheme="minorHAnsi" w:hAnsi="Times New Roman"/>
      <w:b/>
      <w:sz w:val="24"/>
    </w:rPr>
  </w:style>
  <w:style w:type="paragraph" w:customStyle="1" w:styleId="ObjetacteprincipalPagedecouverture">
    <w:name w:val="Objet acte principal (Page de couverture)"/>
    <w:basedOn w:val="Normal"/>
    <w:next w:val="Normal"/>
    <w:pPr>
      <w:spacing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04B5-2654-4D7B-BAA1-FEB74374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888</Words>
  <Characters>6360</Characters>
  <Application>Microsoft Office Word</Application>
  <DocSecurity>0</DocSecurity>
  <Lines>302</Lines>
  <Paragraphs>161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Stefanie Heilemann</cp:lastModifiedBy>
  <cp:revision>10</cp:revision>
  <cp:lastPrinted>2015-02-20T15:21:00Z</cp:lastPrinted>
  <dcterms:created xsi:type="dcterms:W3CDTF">2015-03-03T09:20:00Z</dcterms:created>
  <dcterms:modified xsi:type="dcterms:W3CDTF">2015-03-04T09:50:00Z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