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15" w:rsidRDefault="00672690" w:rsidP="005D2E2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EF52858862C4D9B9704641D1774025C" style="width:450.25pt;height:473.9pt">
            <v:imagedata r:id="rId9" o:title=""/>
          </v:shape>
        </w:pict>
      </w:r>
    </w:p>
    <w:bookmarkEnd w:id="0"/>
    <w:p w:rsidR="00C10815" w:rsidRDefault="00C10815">
      <w:pPr>
        <w:rPr>
          <w:noProof/>
        </w:rPr>
        <w:sectPr w:rsidR="00C10815" w:rsidSect="005D2E2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10815" w:rsidRDefault="005D2E2E">
      <w:pPr>
        <w:jc w:val="center"/>
        <w:rPr>
          <w:rFonts w:ascii="Times New Roman" w:hAnsi="Times New Roman"/>
          <w:b/>
          <w:noProof/>
          <w:sz w:val="24"/>
          <w:szCs w:val="24"/>
          <w:lang w:val="fr-FR"/>
        </w:rPr>
      </w:pPr>
      <w:r>
        <w:rPr>
          <w:rFonts w:ascii="Times New Roman" w:hAnsi="Times New Roman"/>
          <w:b/>
          <w:noProof/>
          <w:sz w:val="24"/>
          <w:lang w:val="fr-FR"/>
        </w:rPr>
        <w:lastRenderedPageBreak/>
        <w:t>ANNEXE 1</w:t>
      </w:r>
    </w:p>
    <w:p w:rsidR="00C10815" w:rsidRDefault="005D2E2E">
      <w:pPr>
        <w:jc w:val="center"/>
        <w:rPr>
          <w:rFonts w:ascii="Times New Roman" w:hAnsi="Times New Roman"/>
          <w:b/>
          <w:noProof/>
          <w:sz w:val="24"/>
          <w:szCs w:val="24"/>
          <w:u w:val="single"/>
          <w:lang w:val="fr-FR"/>
        </w:rPr>
      </w:pPr>
      <w:r>
        <w:rPr>
          <w:rFonts w:ascii="Times New Roman" w:hAnsi="Times New Roman"/>
          <w:b/>
          <w:noProof/>
          <w:sz w:val="24"/>
          <w:u w:val="single"/>
          <w:lang w:val="fr-FR"/>
        </w:rPr>
        <w:t>Projets cofinancés par le programme énergétique européen pour la relance (PEER)</w:t>
      </w:r>
    </w:p>
    <w:p w:rsidR="00C10815" w:rsidRDefault="005D2E2E">
      <w:pPr>
        <w:numPr>
          <w:ilvl w:val="0"/>
          <w:numId w:val="1"/>
        </w:numPr>
        <w:jc w:val="both"/>
        <w:rPr>
          <w:rFonts w:ascii="Times New Roman" w:hAnsi="Times New Roman"/>
          <w:noProof/>
          <w:sz w:val="24"/>
          <w:szCs w:val="24"/>
          <w:lang w:val="fr-FR"/>
        </w:rPr>
      </w:pPr>
      <w:r>
        <w:rPr>
          <w:rFonts w:ascii="Times New Roman" w:hAnsi="Times New Roman"/>
          <w:b/>
          <w:noProof/>
          <w:sz w:val="24"/>
          <w:lang w:val="fr-FR"/>
        </w:rPr>
        <w:t>EstLink 2</w:t>
      </w:r>
      <w:r>
        <w:rPr>
          <w:rFonts w:ascii="Times New Roman" w:hAnsi="Times New Roman"/>
          <w:noProof/>
          <w:sz w:val="24"/>
          <w:lang w:val="fr-FR"/>
        </w:rPr>
        <w:t xml:space="preserve"> est la deuxième interconnexion CCHT entre l'Estonie et la Finlande, qui porte la capacité de transfert entre ces deux pays à 1 000 MW.</w:t>
      </w:r>
    </w:p>
    <w:p w:rsidR="00C10815" w:rsidRDefault="005D2E2E">
      <w:pPr>
        <w:numPr>
          <w:ilvl w:val="0"/>
          <w:numId w:val="1"/>
        </w:numPr>
        <w:jc w:val="both"/>
        <w:rPr>
          <w:rFonts w:ascii="Times New Roman" w:hAnsi="Times New Roman"/>
          <w:noProof/>
          <w:sz w:val="24"/>
          <w:szCs w:val="24"/>
          <w:lang w:val="fr-FR"/>
        </w:rPr>
      </w:pPr>
      <w:r>
        <w:rPr>
          <w:rFonts w:ascii="Times New Roman" w:hAnsi="Times New Roman"/>
          <w:b/>
          <w:noProof/>
          <w:sz w:val="24"/>
          <w:lang w:val="fr-FR"/>
        </w:rPr>
        <w:t>Nordbalt</w:t>
      </w:r>
      <w:r>
        <w:rPr>
          <w:noProof/>
          <w:lang w:val="fr-FR"/>
        </w:rPr>
        <w:t xml:space="preserve"> </w:t>
      </w:r>
      <w:r>
        <w:rPr>
          <w:rFonts w:ascii="Times New Roman" w:hAnsi="Times New Roman"/>
          <w:noProof/>
          <w:sz w:val="24"/>
          <w:lang w:val="fr-FR"/>
        </w:rPr>
        <w:t xml:space="preserve">est une nouvelle interconnexion entre la Suède et la Lituanie et sa capacité de transfert est de 700 MW. </w:t>
      </w:r>
    </w:p>
    <w:p w:rsidR="00C10815" w:rsidRDefault="005D2E2E">
      <w:pPr>
        <w:numPr>
          <w:ilvl w:val="0"/>
          <w:numId w:val="1"/>
        </w:numPr>
        <w:jc w:val="both"/>
        <w:rPr>
          <w:rFonts w:ascii="Times New Roman" w:hAnsi="Times New Roman"/>
          <w:noProof/>
          <w:sz w:val="24"/>
          <w:szCs w:val="24"/>
          <w:lang w:val="fr-FR"/>
        </w:rPr>
      </w:pPr>
      <w:r>
        <w:rPr>
          <w:rFonts w:ascii="Times New Roman" w:hAnsi="Times New Roman"/>
          <w:b/>
          <w:noProof/>
          <w:sz w:val="24"/>
          <w:szCs w:val="24"/>
          <w:lang w:val="fr-FR"/>
        </w:rPr>
        <w:t>L'interconnexion Autriche-Hongrie</w:t>
      </w:r>
      <w:r>
        <w:rPr>
          <w:noProof/>
          <w:lang w:val="fr-FR"/>
        </w:rPr>
        <w:t xml:space="preserve"> </w:t>
      </w:r>
      <w:r>
        <w:rPr>
          <w:rFonts w:ascii="Times New Roman" w:hAnsi="Times New Roman"/>
          <w:noProof/>
          <w:sz w:val="24"/>
          <w:lang w:val="fr-FR"/>
        </w:rPr>
        <w:t>(Vienne-Györ), dont la capacité est de 1 100 MVA, a amélioré l'interopérabilité des réseaux électriques autrichien et hongrois</w:t>
      </w:r>
      <w:r>
        <w:rPr>
          <w:noProof/>
          <w:lang w:val="fr-FR"/>
        </w:rPr>
        <w:t xml:space="preserve">. </w:t>
      </w:r>
    </w:p>
    <w:p w:rsidR="00C10815" w:rsidRDefault="005D2E2E">
      <w:pPr>
        <w:numPr>
          <w:ilvl w:val="0"/>
          <w:numId w:val="1"/>
        </w:numPr>
        <w:jc w:val="both"/>
        <w:rPr>
          <w:rFonts w:ascii="Times New Roman" w:hAnsi="Times New Roman"/>
          <w:noProof/>
          <w:sz w:val="24"/>
          <w:szCs w:val="24"/>
          <w:lang w:val="fr-FR"/>
        </w:rPr>
      </w:pPr>
      <w:r>
        <w:rPr>
          <w:rFonts w:ascii="Times New Roman" w:hAnsi="Times New Roman"/>
          <w:b/>
          <w:noProof/>
          <w:sz w:val="24"/>
          <w:szCs w:val="24"/>
          <w:lang w:val="fr-FR"/>
        </w:rPr>
        <w:t>L'interconnexion Espagne-France</w:t>
      </w:r>
      <w:r>
        <w:rPr>
          <w:noProof/>
          <w:lang w:val="fr-FR"/>
        </w:rPr>
        <w:t xml:space="preserve"> </w:t>
      </w:r>
      <w:r>
        <w:rPr>
          <w:rFonts w:ascii="Times New Roman" w:hAnsi="Times New Roman"/>
          <w:noProof/>
          <w:sz w:val="24"/>
          <w:lang w:val="fr-FR"/>
        </w:rPr>
        <w:t xml:space="preserve">(Santa Llogaia-Baixas) est une ligne souterraine  essentielle d'une capacité de 1 400 - 1 800 MW qui traverse la chaîne des Pyrénées en empruntant une galerie technique spécifique. </w:t>
      </w:r>
    </w:p>
    <w:p w:rsidR="00C10815" w:rsidRDefault="005D2E2E">
      <w:pPr>
        <w:numPr>
          <w:ilvl w:val="0"/>
          <w:numId w:val="1"/>
        </w:numPr>
        <w:jc w:val="both"/>
        <w:rPr>
          <w:rFonts w:ascii="Times New Roman" w:hAnsi="Times New Roman"/>
          <w:noProof/>
          <w:sz w:val="24"/>
          <w:szCs w:val="24"/>
          <w:lang w:val="fr-FR"/>
        </w:rPr>
      </w:pPr>
      <w:r>
        <w:rPr>
          <w:rFonts w:ascii="Times New Roman" w:hAnsi="Times New Roman"/>
          <w:b/>
          <w:noProof/>
          <w:sz w:val="24"/>
          <w:lang w:val="fr-FR"/>
        </w:rPr>
        <w:t xml:space="preserve">L'interconnexion Malte-Italie </w:t>
      </w:r>
      <w:r>
        <w:rPr>
          <w:rFonts w:ascii="Times New Roman" w:hAnsi="Times New Roman"/>
          <w:noProof/>
          <w:sz w:val="24"/>
          <w:lang w:val="fr-FR"/>
        </w:rPr>
        <w:t>(Pembroke - Marina di Ragusa) est un câble souterrain CAHT de 250 MVA qui mettra fin à l'isolement du réseau électrique maltais par rapport au reste de l'Europe.</w:t>
      </w:r>
    </w:p>
    <w:p w:rsidR="00C10815" w:rsidRDefault="005D2E2E">
      <w:pPr>
        <w:numPr>
          <w:ilvl w:val="0"/>
          <w:numId w:val="1"/>
        </w:numPr>
        <w:jc w:val="both"/>
        <w:rPr>
          <w:rFonts w:ascii="Times New Roman" w:hAnsi="Times New Roman"/>
          <w:noProof/>
          <w:sz w:val="24"/>
          <w:szCs w:val="24"/>
          <w:lang w:val="fr-FR"/>
        </w:rPr>
      </w:pPr>
      <w:r>
        <w:rPr>
          <w:rFonts w:ascii="Times New Roman" w:hAnsi="Times New Roman"/>
          <w:noProof/>
          <w:sz w:val="24"/>
          <w:lang w:val="fr-FR"/>
        </w:rPr>
        <w:t xml:space="preserve">L'interconnexion Royaume-Uni - Irlande (Deeside - Meath) est un câble CCHT d'une capacité de 500 MW. Il s'agit du premier projet d'interconnexion électrique entre l'Irlande et la Grande-Bretagne. </w:t>
      </w:r>
    </w:p>
    <w:p w:rsidR="00C10815" w:rsidRDefault="005D2E2E">
      <w:pPr>
        <w:numPr>
          <w:ilvl w:val="0"/>
          <w:numId w:val="1"/>
        </w:numPr>
        <w:jc w:val="both"/>
        <w:rPr>
          <w:rFonts w:ascii="Times New Roman" w:hAnsi="Times New Roman"/>
          <w:noProof/>
          <w:sz w:val="24"/>
          <w:szCs w:val="24"/>
          <w:lang w:val="fr-FR"/>
        </w:rPr>
      </w:pPr>
      <w:r>
        <w:rPr>
          <w:rFonts w:ascii="Times New Roman" w:hAnsi="Times New Roman"/>
          <w:noProof/>
          <w:sz w:val="24"/>
          <w:lang w:val="fr-FR"/>
        </w:rPr>
        <w:t xml:space="preserve">Le projet comprenant quatre lignes aériennes entre Tunes and Tavira </w:t>
      </w:r>
      <w:r>
        <w:rPr>
          <w:rFonts w:ascii="Times New Roman" w:hAnsi="Times New Roman"/>
          <w:b/>
          <w:noProof/>
          <w:sz w:val="24"/>
          <w:lang w:val="fr-FR"/>
        </w:rPr>
        <w:t>(PT),</w:t>
      </w:r>
      <w:r>
        <w:rPr>
          <w:rFonts w:ascii="Times New Roman" w:hAnsi="Times New Roman"/>
          <w:noProof/>
          <w:sz w:val="24"/>
          <w:lang w:val="fr-FR"/>
        </w:rPr>
        <w:t xml:space="preserve"> Tunes et Estói (PT), Tavira (PT) et Alcoutim </w:t>
      </w:r>
      <w:r>
        <w:rPr>
          <w:rFonts w:ascii="Times New Roman" w:hAnsi="Times New Roman"/>
          <w:b/>
          <w:noProof/>
          <w:sz w:val="24"/>
          <w:lang w:val="fr-FR"/>
        </w:rPr>
        <w:t>(PT)</w:t>
      </w:r>
      <w:r>
        <w:rPr>
          <w:rFonts w:ascii="Times New Roman" w:hAnsi="Times New Roman"/>
          <w:noProof/>
          <w:sz w:val="24"/>
          <w:lang w:val="fr-FR"/>
        </w:rPr>
        <w:t xml:space="preserve"> et Ourique et Estói (PT) a contribué à la modernisation et à l'extension du réseau électrique portugais.</w:t>
      </w:r>
    </w:p>
    <w:p w:rsidR="00C10815" w:rsidRDefault="005D2E2E">
      <w:pPr>
        <w:numPr>
          <w:ilvl w:val="0"/>
          <w:numId w:val="1"/>
        </w:numPr>
        <w:jc w:val="both"/>
        <w:rPr>
          <w:rFonts w:ascii="Times New Roman" w:hAnsi="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renforcement du réseau électrique</w:t>
      </w:r>
      <w:r>
        <w:rPr>
          <w:rFonts w:ascii="Times New Roman" w:hAnsi="Times New Roman"/>
          <w:noProof/>
          <w:sz w:val="24"/>
          <w:lang w:val="fr-FR"/>
        </w:rPr>
        <w:t xml:space="preserve"> entre la région du Douro </w:t>
      </w:r>
      <w:r>
        <w:rPr>
          <w:rFonts w:ascii="Times New Roman" w:hAnsi="Times New Roman"/>
          <w:b/>
          <w:noProof/>
          <w:sz w:val="24"/>
          <w:lang w:val="fr-FR"/>
        </w:rPr>
        <w:t>(PT)</w:t>
      </w:r>
      <w:r>
        <w:rPr>
          <w:rFonts w:ascii="Times New Roman" w:hAnsi="Times New Roman"/>
          <w:noProof/>
          <w:sz w:val="24"/>
          <w:lang w:val="fr-FR"/>
        </w:rPr>
        <w:t xml:space="preserve"> et la </w:t>
      </w:r>
      <w:r>
        <w:rPr>
          <w:rFonts w:ascii="Times New Roman" w:hAnsi="Times New Roman"/>
          <w:b/>
          <w:noProof/>
          <w:sz w:val="24"/>
          <w:lang w:val="fr-FR"/>
        </w:rPr>
        <w:t>frontière espagnole</w:t>
      </w:r>
      <w:r>
        <w:rPr>
          <w:rFonts w:ascii="Times New Roman" w:hAnsi="Times New Roman"/>
          <w:noProof/>
          <w:sz w:val="24"/>
          <w:lang w:val="fr-FR"/>
        </w:rPr>
        <w:t xml:space="preserve"> à Aldeadavila a été réalisé à l'automne 2011.</w:t>
      </w:r>
    </w:p>
    <w:p w:rsidR="00C10815" w:rsidRDefault="00C10815">
      <w:pPr>
        <w:rPr>
          <w:rFonts w:ascii="Times New Roman" w:hAnsi="Times New Roman"/>
          <w:noProof/>
          <w:sz w:val="24"/>
          <w:szCs w:val="24"/>
          <w:lang w:val="fr-FR"/>
        </w:rPr>
      </w:pPr>
    </w:p>
    <w:p w:rsidR="00C10815" w:rsidRDefault="00C10815">
      <w:pPr>
        <w:rPr>
          <w:rFonts w:ascii="Times New Roman" w:hAnsi="Times New Roman"/>
          <w:noProof/>
          <w:sz w:val="24"/>
          <w:szCs w:val="24"/>
          <w:lang w:val="fr-FR"/>
        </w:rPr>
      </w:pPr>
    </w:p>
    <w:p w:rsidR="00C10815" w:rsidRDefault="00C10815">
      <w:pPr>
        <w:rPr>
          <w:rFonts w:ascii="Times New Roman" w:hAnsi="Times New Roman"/>
          <w:noProof/>
          <w:sz w:val="24"/>
          <w:szCs w:val="24"/>
          <w:lang w:val="fr-FR"/>
        </w:rPr>
      </w:pPr>
    </w:p>
    <w:p w:rsidR="00C10815" w:rsidRDefault="00C10815">
      <w:pPr>
        <w:rPr>
          <w:rFonts w:ascii="Times New Roman" w:hAnsi="Times New Roman"/>
          <w:noProof/>
          <w:sz w:val="24"/>
          <w:szCs w:val="24"/>
          <w:lang w:val="fr-FR"/>
        </w:rPr>
      </w:pPr>
    </w:p>
    <w:p w:rsidR="00C10815" w:rsidRDefault="00C10815">
      <w:pPr>
        <w:rPr>
          <w:rFonts w:ascii="Times New Roman" w:hAnsi="Times New Roman"/>
          <w:noProof/>
          <w:sz w:val="24"/>
          <w:szCs w:val="24"/>
          <w:lang w:val="fr-FR"/>
        </w:rPr>
      </w:pPr>
    </w:p>
    <w:p w:rsidR="00C10815" w:rsidRDefault="00C10815">
      <w:pPr>
        <w:rPr>
          <w:rFonts w:ascii="Times New Roman" w:hAnsi="Times New Roman"/>
          <w:noProof/>
          <w:sz w:val="24"/>
          <w:szCs w:val="24"/>
          <w:lang w:val="fr-FR"/>
        </w:rPr>
      </w:pPr>
    </w:p>
    <w:p w:rsidR="00C10815" w:rsidRDefault="00C10815">
      <w:pPr>
        <w:rPr>
          <w:rFonts w:ascii="Times New Roman" w:hAnsi="Times New Roman"/>
          <w:noProof/>
          <w:sz w:val="24"/>
          <w:szCs w:val="24"/>
          <w:lang w:val="fr-FR"/>
        </w:rPr>
      </w:pPr>
    </w:p>
    <w:p w:rsidR="00C10815" w:rsidRDefault="005D2E2E">
      <w:pPr>
        <w:jc w:val="both"/>
        <w:rPr>
          <w:rFonts w:ascii="Times New Roman" w:hAnsi="Times New Roman"/>
          <w:noProof/>
          <w:sz w:val="24"/>
          <w:szCs w:val="24"/>
          <w:lang w:val="fr-FR"/>
        </w:rPr>
      </w:pPr>
      <w:r>
        <w:rPr>
          <w:noProof/>
          <w:lang w:val="fr-FR"/>
        </w:rPr>
        <w:tab/>
      </w:r>
    </w:p>
    <w:p w:rsidR="00C10815" w:rsidRDefault="005D2E2E">
      <w:pPr>
        <w:jc w:val="center"/>
        <w:rPr>
          <w:rFonts w:ascii="Times New Roman" w:hAnsi="Times New Roman"/>
          <w:b/>
          <w:noProof/>
          <w:sz w:val="24"/>
          <w:szCs w:val="24"/>
          <w:lang w:val="fr-FR"/>
        </w:rPr>
      </w:pPr>
      <w:r>
        <w:rPr>
          <w:noProof/>
          <w:lang w:val="fr-FR"/>
        </w:rPr>
        <w:br w:type="page"/>
      </w:r>
      <w:r>
        <w:rPr>
          <w:rFonts w:ascii="Times New Roman" w:hAnsi="Times New Roman"/>
          <w:b/>
          <w:noProof/>
          <w:sz w:val="24"/>
          <w:lang w:val="fr-FR"/>
        </w:rPr>
        <w:lastRenderedPageBreak/>
        <w:t>ANNEXE 2</w:t>
      </w:r>
    </w:p>
    <w:p w:rsidR="00C10815" w:rsidRDefault="005D2E2E">
      <w:pPr>
        <w:jc w:val="center"/>
        <w:rPr>
          <w:rFonts w:ascii="Times New Roman" w:hAnsi="Times New Roman"/>
          <w:b/>
          <w:noProof/>
          <w:sz w:val="24"/>
          <w:szCs w:val="24"/>
          <w:u w:val="single"/>
          <w:lang w:val="fr-FR"/>
        </w:rPr>
      </w:pPr>
      <w:r>
        <w:rPr>
          <w:rFonts w:ascii="Times New Roman" w:hAnsi="Times New Roman"/>
          <w:b/>
          <w:noProof/>
          <w:sz w:val="24"/>
          <w:u w:val="single"/>
          <w:lang w:val="fr-FR"/>
        </w:rPr>
        <w:t>PIC augmentant la capacité dans les États membres dont le taux d'interconnexion est inférieur à 10 %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666"/>
        <w:gridCol w:w="1842"/>
      </w:tblGrid>
      <w:tr w:rsidR="00C10815" w:rsidRPr="00672690" w:rsidTr="00672690">
        <w:tc>
          <w:tcPr>
            <w:tcW w:w="1807"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b/>
                <w:noProof/>
              </w:rPr>
            </w:pPr>
            <w:r>
              <w:rPr>
                <w:rFonts w:ascii="Times New Roman" w:hAnsi="Times New Roman"/>
                <w:b/>
                <w:noProof/>
              </w:rPr>
              <w:t>Corridor prioritaire</w:t>
            </w: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b/>
                <w:noProof/>
              </w:rPr>
            </w:pPr>
            <w:r>
              <w:rPr>
                <w:rFonts w:ascii="Times New Roman" w:hAnsi="Times New Roman"/>
                <w:b/>
                <w:noProof/>
              </w:rPr>
              <w:t>Projet d'intérêt commun (PIC)</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b/>
                <w:noProof/>
                <w:lang w:val="fr-FR"/>
              </w:rPr>
            </w:pPr>
            <w:r>
              <w:rPr>
                <w:rFonts w:ascii="Times New Roman" w:hAnsi="Times New Roman"/>
                <w:b/>
                <w:noProof/>
                <w:lang w:val="fr-FR"/>
              </w:rPr>
              <w:t>Date d'entrée en service et stade du projet</w:t>
            </w:r>
            <w:r>
              <w:rPr>
                <w:rFonts w:ascii="Times New Roman" w:hAnsi="Times New Roman"/>
                <w:b/>
                <w:noProof/>
                <w:vertAlign w:val="superscript"/>
              </w:rPr>
              <w:footnoteReference w:id="1"/>
            </w:r>
          </w:p>
        </w:tc>
      </w:tr>
      <w:tr w:rsidR="00C10815" w:rsidTr="00672690">
        <w:tc>
          <w:tcPr>
            <w:tcW w:w="1807" w:type="dxa"/>
            <w:vMerge w:val="restart"/>
            <w:tcBorders>
              <w:top w:val="single" w:sz="4" w:space="0" w:color="auto"/>
              <w:left w:val="single" w:sz="4" w:space="0" w:color="auto"/>
              <w:bottom w:val="single" w:sz="4" w:space="0" w:color="auto"/>
              <w:right w:val="single" w:sz="4" w:space="0" w:color="auto"/>
            </w:tcBorders>
          </w:tcPr>
          <w:p w:rsidR="00C10815" w:rsidRDefault="005D2E2E">
            <w:pPr>
              <w:jc w:val="both"/>
              <w:rPr>
                <w:rFonts w:ascii="Times New Roman" w:hAnsi="Times New Roman"/>
                <w:b/>
                <w:noProof/>
                <w:lang w:val="fr-FR"/>
              </w:rPr>
            </w:pPr>
            <w:r>
              <w:rPr>
                <w:rFonts w:ascii="Times New Roman" w:hAnsi="Times New Roman"/>
                <w:b/>
                <w:noProof/>
                <w:lang w:val="fr-FR"/>
              </w:rPr>
              <w:t>Corridor prioritaire Réseau énergétique des mers septentrionales («REMS»)</w:t>
            </w:r>
          </w:p>
          <w:p w:rsidR="00C10815" w:rsidRDefault="00C10815">
            <w:pPr>
              <w:jc w:val="both"/>
              <w:rPr>
                <w:rFonts w:ascii="Times New Roman" w:hAnsi="Times New Roman"/>
                <w:noProof/>
                <w:lang w:val="fr-FR"/>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1.1.1 Interconnexion entre Zeebruge (BE) et les environs de Richborough (UK)</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2018</w:t>
            </w:r>
          </w:p>
          <w:p w:rsidR="00C10815" w:rsidRDefault="005D2E2E">
            <w:pPr>
              <w:spacing w:after="0"/>
              <w:jc w:val="both"/>
              <w:rPr>
                <w:rFonts w:ascii="Times New Roman" w:hAnsi="Times New Roman"/>
                <w:noProof/>
                <w:sz w:val="18"/>
                <w:szCs w:val="18"/>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jc w:val="both"/>
              <w:rPr>
                <w:rFonts w:ascii="Times New Roman" w:hAnsi="Times New Roman"/>
                <w:noProof/>
                <w:lang w:val="fr-FR"/>
              </w:rPr>
            </w:pPr>
            <w:r>
              <w:rPr>
                <w:rFonts w:ascii="Times New Roman" w:hAnsi="Times New Roman"/>
                <w:noProof/>
                <w:lang w:val="fr-FR"/>
              </w:rPr>
              <w:t>1.2 PIC Belgique — deux plates-formes en mer prêtes pour le raccordement au réseau, raccordées à la station terrestre de Zeebrugge (BE) avec investissements anticipés pour de futures interconnexions avec la France et/ou le Royaume-Uni</w:t>
            </w:r>
            <w:r>
              <w:rPr>
                <w:rStyle w:val="FootnoteReference"/>
                <w:rFonts w:ascii="Times New Roman" w:hAnsi="Times New Roman"/>
                <w:noProof/>
              </w:rPr>
              <w:footnoteReference w:id="2"/>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spacing w:after="240"/>
              <w:jc w:val="both"/>
              <w:rPr>
                <w:rFonts w:ascii="Times New Roman" w:hAnsi="Times New Roman"/>
                <w:noProof/>
              </w:rPr>
            </w:pPr>
            <w:r>
              <w:rPr>
                <w:rFonts w:ascii="Times New Roman" w:hAnsi="Times New Roman"/>
                <w:noProof/>
              </w:rPr>
              <w:t>2018</w:t>
            </w:r>
          </w:p>
          <w:p w:rsidR="00C10815" w:rsidRDefault="005D2E2E">
            <w:pPr>
              <w:spacing w:after="240"/>
              <w:jc w:val="both"/>
              <w:rPr>
                <w:rFonts w:ascii="Times New Roman" w:hAnsi="Times New Roman"/>
                <w:noProof/>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rPr>
            </w:pPr>
            <w:r>
              <w:rPr>
                <w:rFonts w:ascii="Times New Roman" w:hAnsi="Times New Roman"/>
                <w:noProof/>
              </w:rPr>
              <w:t>1.6 PIC Interconnexion France — Irlande entre La Martyre (FR) et Great Island ou Knockraha (IE)</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2025</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lang w:val="fr-FR"/>
              </w:rPr>
            </w:pPr>
            <w:r>
              <w:rPr>
                <w:rFonts w:ascii="Times New Roman" w:hAnsi="Times New Roman"/>
                <w:noProof/>
                <w:lang w:val="fr-FR"/>
              </w:rPr>
              <w:t>1.7.1 Interconnexion France — Royaume-Uni entre le Cotentin (FR) et les environs d’Exeter (UK) (actuellement dénommé «projet FAB»)</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2022</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lang w:val="fr-FR"/>
              </w:rPr>
            </w:pPr>
            <w:r>
              <w:rPr>
                <w:rFonts w:ascii="Times New Roman" w:hAnsi="Times New Roman"/>
                <w:noProof/>
                <w:lang w:val="fr-FR"/>
              </w:rPr>
              <w:t>1.7.2 Interconnexion France — Royaume-Uni entre Tourbe (FR) et Chilling (UK) (actuellement dénommé «projet IFA2»)</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2020</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spacing w:after="0"/>
              <w:jc w:val="both"/>
              <w:rPr>
                <w:rFonts w:ascii="Times New Roman" w:hAnsi="Times New Roman"/>
                <w:noProof/>
                <w:lang w:val="fr-FR"/>
              </w:rPr>
            </w:pPr>
            <w:r>
              <w:rPr>
                <w:rFonts w:ascii="Times New Roman" w:hAnsi="Times New Roman"/>
                <w:noProof/>
                <w:lang w:val="fr-FR"/>
              </w:rPr>
              <w:t>1.7.3 Interconnexion France — Royaume-Uni entre Coquelles (FR) et Folkestone (UK) (actuellement dénommé «projet ElecLink»)</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spacing w:after="0"/>
              <w:jc w:val="both"/>
              <w:rPr>
                <w:rFonts w:ascii="Times New Roman" w:hAnsi="Times New Roman"/>
                <w:noProof/>
              </w:rPr>
            </w:pPr>
            <w:r>
              <w:rPr>
                <w:rFonts w:ascii="Times New Roman" w:hAnsi="Times New Roman"/>
                <w:noProof/>
              </w:rPr>
              <w:t>2016</w:t>
            </w:r>
          </w:p>
          <w:p w:rsidR="00C10815" w:rsidRDefault="005D2E2E">
            <w:pPr>
              <w:spacing w:after="0"/>
              <w:jc w:val="both"/>
              <w:rPr>
                <w:rFonts w:ascii="Times New Roman" w:hAnsi="Times New Roman"/>
                <w:noProof/>
              </w:rPr>
            </w:pPr>
            <w:r>
              <w:rPr>
                <w:rFonts w:ascii="Times New Roman" w:hAnsi="Times New Roman"/>
                <w:noProof/>
              </w:rPr>
              <w:t>Construction mi-2015</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1.9.1 Interconnexion Irlande — Royaume-Uni entre Co. Offaly (IE), Pembroke et Pentir (UK)</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120"/>
              <w:jc w:val="both"/>
              <w:rPr>
                <w:rFonts w:ascii="Times New Roman" w:hAnsi="Times New Roman"/>
                <w:noProof/>
              </w:rPr>
            </w:pPr>
            <w:r>
              <w:rPr>
                <w:rFonts w:ascii="Times New Roman" w:hAnsi="Times New Roman"/>
                <w:noProof/>
              </w:rPr>
              <w:t>2019</w:t>
            </w:r>
          </w:p>
          <w:p w:rsidR="00C10815" w:rsidRDefault="005D2E2E">
            <w:pPr>
              <w:spacing w:after="120"/>
              <w:jc w:val="both"/>
              <w:rPr>
                <w:rFonts w:ascii="Times New Roman" w:hAnsi="Times New Roman"/>
                <w:noProof/>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spacing w:after="120"/>
              <w:jc w:val="both"/>
              <w:rPr>
                <w:rFonts w:ascii="Times New Roman" w:hAnsi="Times New Roman"/>
                <w:noProof/>
                <w:lang w:val="fr-FR"/>
              </w:rPr>
            </w:pPr>
            <w:r>
              <w:rPr>
                <w:rFonts w:ascii="Times New Roman" w:hAnsi="Times New Roman"/>
                <w:noProof/>
                <w:lang w:val="fr-FR"/>
              </w:rPr>
              <w:t>1.9.2 Interconnexion Irlande – Royaume-Uni entre les postes de Coolkeeragh - Coleraine (IE) et la station de Hunterston, Islay, Argyll et les parcs éoliens offshore du point C (UK)</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120"/>
              <w:jc w:val="both"/>
              <w:rPr>
                <w:rFonts w:ascii="Times New Roman" w:hAnsi="Times New Roman"/>
                <w:noProof/>
              </w:rPr>
            </w:pPr>
            <w:r>
              <w:rPr>
                <w:rFonts w:ascii="Times New Roman" w:hAnsi="Times New Roman"/>
                <w:noProof/>
              </w:rPr>
              <w:t>2020</w:t>
            </w:r>
          </w:p>
          <w:p w:rsidR="00C10815" w:rsidRDefault="005D2E2E">
            <w:pPr>
              <w:spacing w:after="12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spacing w:after="120"/>
              <w:jc w:val="both"/>
              <w:rPr>
                <w:rFonts w:ascii="Times New Roman" w:hAnsi="Times New Roman"/>
                <w:noProof/>
                <w:lang w:val="fr-FR"/>
              </w:rPr>
            </w:pPr>
            <w:r>
              <w:rPr>
                <w:rFonts w:ascii="Times New Roman" w:hAnsi="Times New Roman"/>
                <w:noProof/>
                <w:lang w:val="fr-FR"/>
              </w:rPr>
              <w:t>1.9.3 Interconnexion Irlande — Royaume-Uni entre le hub Nord, Dublin et Codling Bank (IE) et Trawsfynyd et Pembroke (UK)</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120"/>
              <w:jc w:val="both"/>
              <w:rPr>
                <w:rFonts w:ascii="Times New Roman" w:hAnsi="Times New Roman"/>
                <w:noProof/>
              </w:rPr>
            </w:pPr>
            <w:r>
              <w:rPr>
                <w:rFonts w:ascii="Times New Roman" w:hAnsi="Times New Roman"/>
                <w:noProof/>
              </w:rPr>
              <w:t>2020</w:t>
            </w:r>
          </w:p>
          <w:p w:rsidR="00C10815" w:rsidRDefault="005D2E2E">
            <w:pPr>
              <w:spacing w:after="12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lang w:val="fr-FR"/>
              </w:rPr>
            </w:pPr>
            <w:r>
              <w:rPr>
                <w:rFonts w:ascii="Times New Roman" w:hAnsi="Times New Roman"/>
                <w:noProof/>
                <w:lang w:val="fr-FR"/>
              </w:rPr>
              <w:t>1.9.4 Interconnexion Irlande — Royaume-Uni entre la région centrale de l’Irlande et Pembroke (UK)</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2017-2020</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 xml:space="preserve">1.9.5 Interconnexion Irlande — Royaume-Uni entre la région </w:t>
            </w:r>
            <w:r>
              <w:rPr>
                <w:rFonts w:ascii="Times New Roman" w:hAnsi="Times New Roman"/>
                <w:noProof/>
                <w:lang w:val="fr-FR"/>
              </w:rPr>
              <w:lastRenderedPageBreak/>
              <w:t>centrale de l’Irlande et Alverdiscott, Devon (UK)</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lastRenderedPageBreak/>
              <w:t>2017-2020.</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1.9.6 Interconnexion Irlande — Royaume-Uni entre la côte irlandaise et Pembroke (UK)</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2017-2020.</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1.10 PIC Interconnexion Norvège — Royaume-Uni</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2020</w:t>
            </w:r>
          </w:p>
          <w:p w:rsidR="00C10815" w:rsidRDefault="005D2E2E">
            <w:pPr>
              <w:spacing w:after="0"/>
              <w:jc w:val="both"/>
              <w:rPr>
                <w:rFonts w:ascii="Times New Roman" w:hAnsi="Times New Roman"/>
                <w:noProof/>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1.11.2 Interconnexion Irlande — Royaume-Uni entre le nord-ouest de l’Irlande (IE) et les Midlands (UK)</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2017</w:t>
            </w:r>
          </w:p>
          <w:p w:rsidR="00C10815" w:rsidRDefault="005D2E2E">
            <w:pPr>
              <w:spacing w:after="0"/>
              <w:jc w:val="both"/>
              <w:rPr>
                <w:rFonts w:ascii="Times New Roman" w:hAnsi="Times New Roman"/>
                <w:noProof/>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rPr>
            </w:pPr>
            <w:r>
              <w:rPr>
                <w:rFonts w:ascii="Times New Roman" w:hAnsi="Times New Roman"/>
                <w:noProof/>
              </w:rPr>
              <w:t>1.11.4 Interconnexion Irlande – Royaume-Uni entre Glinsk, Mayo (IE) et Connah's Quay, Deeside (UK)</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2018</w:t>
            </w:r>
          </w:p>
          <w:p w:rsidR="00C10815" w:rsidRDefault="005D2E2E">
            <w:pPr>
              <w:spacing w:after="0"/>
              <w:jc w:val="both"/>
              <w:rPr>
                <w:rFonts w:ascii="Times New Roman" w:hAnsi="Times New Roman"/>
                <w:noProof/>
              </w:rPr>
            </w:pPr>
            <w:r>
              <w:rPr>
                <w:rFonts w:ascii="Times New Roman" w:hAnsi="Times New Roman"/>
                <w:noProof/>
              </w:rPr>
              <w:t>Autorisations</w:t>
            </w:r>
          </w:p>
        </w:tc>
      </w:tr>
      <w:tr w:rsidR="00C10815" w:rsidTr="00672690">
        <w:tc>
          <w:tcPr>
            <w:tcW w:w="1807" w:type="dxa"/>
            <w:vMerge w:val="restart"/>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b/>
                <w:noProof/>
                <w:lang w:val="fr-FR"/>
              </w:rPr>
              <w:t>Corridor prioritaire Interconnexions électriques Nord-Sud en Europe de l'Ouest («INS Électricité Ouest»)</w:t>
            </w: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2.4 PIC Interconnexion France — Italie entre Codrongianos (IT), Lucciana (Corse, FR) et Suvereto (IT) (actuellement dénommé «projet SA.CO.I.3»)</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2022</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2.5.1 Interconnexion entre Grande Île (FR) et Piossasco (IT) (actuellement dénommé «projet Savoie-Piémont»)</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2019</w:t>
            </w:r>
          </w:p>
          <w:p w:rsidR="00C10815" w:rsidRDefault="005D2E2E">
            <w:pPr>
              <w:spacing w:after="0"/>
              <w:jc w:val="both"/>
              <w:rPr>
                <w:rFonts w:ascii="Times New Roman" w:hAnsi="Times New Roman"/>
                <w:noProof/>
              </w:rPr>
            </w:pPr>
            <w:r>
              <w:rPr>
                <w:rFonts w:ascii="Times New Roman" w:hAnsi="Times New Roman"/>
                <w:noProof/>
              </w:rPr>
              <w:t>Autorisations FR</w:t>
            </w:r>
          </w:p>
          <w:p w:rsidR="00C10815" w:rsidRDefault="005D2E2E">
            <w:pPr>
              <w:spacing w:after="0"/>
              <w:jc w:val="both"/>
              <w:rPr>
                <w:rFonts w:ascii="Times New Roman" w:hAnsi="Times New Roman"/>
                <w:noProof/>
              </w:rPr>
            </w:pPr>
            <w:r>
              <w:rPr>
                <w:rFonts w:ascii="Times New Roman" w:hAnsi="Times New Roman"/>
                <w:noProof/>
              </w:rPr>
              <w:t>Construction IT</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2.7 PIC Interconnexion France — Espagne entre l'Aquitaine (FR) et le Pays basque (ES)</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2020</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jc w:val="both"/>
              <w:rPr>
                <w:rFonts w:ascii="Times New Roman" w:hAnsi="Times New Roman"/>
                <w:noProof/>
                <w:lang w:val="fr-FR"/>
              </w:rPr>
            </w:pPr>
            <w:r>
              <w:rPr>
                <w:rFonts w:ascii="Times New Roman" w:hAnsi="Times New Roman"/>
                <w:noProof/>
                <w:lang w:val="fr-FR"/>
              </w:rPr>
              <w:t>2.13.1 Interconnexion Irlande — Royaume-Uni entre Woodland (IE) et Turleenan (UK- Irlande du Nord)</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spacing w:after="0"/>
              <w:jc w:val="both"/>
              <w:rPr>
                <w:rFonts w:ascii="Times New Roman" w:hAnsi="Times New Roman"/>
                <w:noProof/>
              </w:rPr>
            </w:pPr>
            <w:r>
              <w:rPr>
                <w:rFonts w:ascii="Times New Roman" w:hAnsi="Times New Roman"/>
                <w:noProof/>
              </w:rPr>
              <w:t>2017</w:t>
            </w:r>
          </w:p>
          <w:p w:rsidR="00C10815" w:rsidRDefault="005D2E2E">
            <w:pPr>
              <w:spacing w:after="0"/>
              <w:jc w:val="both"/>
              <w:rPr>
                <w:rFonts w:ascii="Times New Roman" w:hAnsi="Times New Roman"/>
                <w:noProof/>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2.13.2 Interconnexion Irlande — Royaume-Uni entre Srananagh (IE) et Turleenan (UK — Irlande du Nord)</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2020-2025.</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rPr>
            </w:pPr>
            <w:r>
              <w:rPr>
                <w:rFonts w:ascii="Times New Roman" w:hAnsi="Times New Roman"/>
                <w:noProof/>
              </w:rPr>
              <w:t>2.14 PIC Interconnexion Italie — Suisse entre Thusis/Sils (CH) et Verderio Inferiore (IT)</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2018</w:t>
            </w:r>
          </w:p>
          <w:p w:rsidR="00C10815" w:rsidRDefault="005D2E2E">
            <w:pPr>
              <w:spacing w:after="0"/>
              <w:jc w:val="both"/>
              <w:rPr>
                <w:rFonts w:ascii="Times New Roman" w:hAnsi="Times New Roman"/>
                <w:noProof/>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2.15.1 Interconnexion entre Airolo (CH) et Baggio (IT)</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rPr>
            </w:pPr>
            <w:r>
              <w:rPr>
                <w:rFonts w:ascii="Times New Roman" w:hAnsi="Times New Roman"/>
                <w:noProof/>
              </w:rPr>
              <w:t>2022</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jc w:val="both"/>
              <w:rPr>
                <w:rFonts w:ascii="Times New Roman" w:hAnsi="Times New Roman"/>
                <w:noProof/>
                <w:lang w:val="pt-PT"/>
              </w:rPr>
            </w:pPr>
            <w:r>
              <w:rPr>
                <w:rFonts w:ascii="Times New Roman" w:hAnsi="Times New Roman"/>
                <w:noProof/>
                <w:lang w:val="pt-PT"/>
              </w:rPr>
              <w:t>2.17 PIC Interconnexion Portugal — Espagne entre Vila Fria - Vila do Conde — Recarei (PT) et Beariz - Fontefría (ES)</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jc w:val="both"/>
              <w:rPr>
                <w:rFonts w:ascii="Times New Roman" w:hAnsi="Times New Roman"/>
                <w:noProof/>
              </w:rPr>
            </w:pPr>
            <w:r>
              <w:rPr>
                <w:rFonts w:ascii="Times New Roman" w:hAnsi="Times New Roman"/>
                <w:noProof/>
              </w:rPr>
              <w:t>2016</w:t>
            </w:r>
          </w:p>
          <w:p w:rsidR="00C10815" w:rsidRDefault="005D2E2E">
            <w:pPr>
              <w:spacing w:after="0"/>
              <w:jc w:val="both"/>
              <w:rPr>
                <w:rFonts w:ascii="Times New Roman" w:hAnsi="Times New Roman"/>
                <w:noProof/>
              </w:rPr>
            </w:pPr>
            <w:r>
              <w:rPr>
                <w:rFonts w:ascii="Times New Roman" w:hAnsi="Times New Roman"/>
                <w:noProof/>
              </w:rPr>
              <w:t>Autorisations</w:t>
            </w:r>
          </w:p>
        </w:tc>
      </w:tr>
    </w:tbl>
    <w:p w:rsidR="00672690" w:rsidRDefault="00672690">
      <w:r>
        <w:br w:type="page"/>
      </w:r>
      <w:bookmarkStart w:id="1" w:name="_GoBack"/>
      <w:bookmarkEnd w:id="1"/>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5666"/>
        <w:gridCol w:w="1842"/>
      </w:tblGrid>
      <w:tr w:rsidR="00C10815" w:rsidTr="00672690">
        <w:tc>
          <w:tcPr>
            <w:tcW w:w="1807" w:type="dxa"/>
            <w:vMerge w:val="restart"/>
            <w:tcBorders>
              <w:top w:val="single" w:sz="4" w:space="0" w:color="auto"/>
              <w:left w:val="single" w:sz="4" w:space="0" w:color="auto"/>
              <w:bottom w:val="single" w:sz="4" w:space="0" w:color="auto"/>
              <w:right w:val="single" w:sz="4" w:space="0" w:color="auto"/>
            </w:tcBorders>
          </w:tcPr>
          <w:p w:rsidR="00C10815" w:rsidRDefault="005D2E2E">
            <w:pPr>
              <w:jc w:val="both"/>
              <w:rPr>
                <w:rFonts w:ascii="Times New Roman" w:hAnsi="Times New Roman"/>
                <w:b/>
                <w:noProof/>
                <w:lang w:val="fr-FR"/>
              </w:rPr>
            </w:pPr>
            <w:r>
              <w:rPr>
                <w:rFonts w:ascii="Times New Roman" w:hAnsi="Times New Roman"/>
                <w:b/>
                <w:noProof/>
                <w:lang w:val="fr-FR"/>
              </w:rPr>
              <w:lastRenderedPageBreak/>
              <w:t>Corridor prioritaire Interconnexions électriques Nord-Sud en Europe centrale et en Europe du Sud-Est («INS Électricité Est»)</w:t>
            </w:r>
          </w:p>
          <w:p w:rsidR="00C10815" w:rsidRDefault="00C10815">
            <w:pPr>
              <w:jc w:val="both"/>
              <w:rPr>
                <w:rFonts w:ascii="Times New Roman" w:hAnsi="Times New Roman"/>
                <w:noProof/>
                <w:lang w:val="fr-FR"/>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3.2.1 Interconnexion entre Lienz (AT) et la Vénétie (IT)</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2022</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3.3 PIC Interconnexion Autriche — Italie entre Nauders (AT) et la région de Milan (IT)</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2018</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jc w:val="both"/>
              <w:rPr>
                <w:rFonts w:ascii="Times New Roman" w:hAnsi="Times New Roman"/>
                <w:noProof/>
              </w:rPr>
            </w:pPr>
            <w:r>
              <w:rPr>
                <w:rFonts w:ascii="Times New Roman" w:hAnsi="Times New Roman"/>
                <w:noProof/>
              </w:rPr>
              <w:t>3.4 PIC Interconnexion Autriche — Italie entre Wurmlach (AT) et Somplago (IT)</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spacing w:after="0"/>
              <w:jc w:val="both"/>
              <w:rPr>
                <w:rFonts w:ascii="Times New Roman" w:hAnsi="Times New Roman"/>
                <w:noProof/>
              </w:rPr>
            </w:pPr>
            <w:r>
              <w:rPr>
                <w:rFonts w:ascii="Times New Roman" w:hAnsi="Times New Roman"/>
                <w:noProof/>
              </w:rPr>
              <w:t>2017</w:t>
            </w:r>
          </w:p>
          <w:p w:rsidR="00C10815" w:rsidRDefault="005D2E2E">
            <w:pPr>
              <w:spacing w:after="0"/>
              <w:jc w:val="both"/>
              <w:rPr>
                <w:rFonts w:ascii="Times New Roman" w:hAnsi="Times New Roman"/>
                <w:noProof/>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lang w:val="fr-FR"/>
              </w:rPr>
            </w:pPr>
            <w:r>
              <w:rPr>
                <w:rFonts w:ascii="Times New Roman" w:hAnsi="Times New Roman"/>
                <w:noProof/>
                <w:lang w:val="fr-FR"/>
              </w:rPr>
              <w:t>3.10.1 Interconnexion entre Hadera (IL) et Vasilikos (CY)</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2018</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 xml:space="preserve"> 3.10.2 Interconnexion entre Vasilikos (CY) et Korakia, Crète (EL)</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2022</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3.14.1 Interconnexion entre Eisenhűttenstadt (DE) et Plewiska (PL)</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2022</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jc w:val="both"/>
              <w:rPr>
                <w:rFonts w:ascii="Times New Roman" w:hAnsi="Times New Roman"/>
                <w:noProof/>
                <w:lang w:val="fr-FR"/>
              </w:rPr>
            </w:pPr>
            <w:r>
              <w:rPr>
                <w:rFonts w:ascii="Times New Roman" w:hAnsi="Times New Roman"/>
                <w:noProof/>
                <w:lang w:val="fr-FR"/>
              </w:rPr>
              <w:t>3.15.1 Interconnexion entre Vierraden (DE) et Krajnik (PL)</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spacing w:after="0"/>
              <w:jc w:val="both"/>
              <w:rPr>
                <w:rFonts w:ascii="Times New Roman" w:hAnsi="Times New Roman"/>
                <w:noProof/>
              </w:rPr>
            </w:pPr>
            <w:r>
              <w:rPr>
                <w:rFonts w:ascii="Times New Roman" w:hAnsi="Times New Roman"/>
                <w:noProof/>
              </w:rPr>
              <w:t>2017</w:t>
            </w:r>
          </w:p>
          <w:p w:rsidR="00C10815" w:rsidRDefault="005D2E2E">
            <w:pPr>
              <w:spacing w:after="0"/>
              <w:jc w:val="both"/>
              <w:rPr>
                <w:rFonts w:ascii="Times New Roman" w:hAnsi="Times New Roman"/>
                <w:noProof/>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jc w:val="both"/>
              <w:rPr>
                <w:rFonts w:ascii="Times New Roman" w:hAnsi="Times New Roman"/>
                <w:noProof/>
                <w:lang w:val="fr-FR"/>
              </w:rPr>
            </w:pPr>
            <w:r>
              <w:rPr>
                <w:rFonts w:ascii="Times New Roman" w:hAnsi="Times New Roman"/>
                <w:noProof/>
                <w:lang w:val="fr-FR"/>
              </w:rPr>
              <w:t>3.19.1 Interconnexion entre Villanova (IT) et Lastva (ME)</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spacing w:after="0"/>
              <w:jc w:val="both"/>
              <w:rPr>
                <w:rFonts w:ascii="Times New Roman" w:hAnsi="Times New Roman"/>
                <w:noProof/>
              </w:rPr>
            </w:pPr>
            <w:r>
              <w:rPr>
                <w:rFonts w:ascii="Times New Roman" w:hAnsi="Times New Roman"/>
                <w:noProof/>
              </w:rPr>
              <w:t>2017</w:t>
            </w:r>
          </w:p>
          <w:p w:rsidR="00C10815" w:rsidRDefault="005D2E2E">
            <w:pPr>
              <w:spacing w:after="0"/>
              <w:jc w:val="both"/>
              <w:rPr>
                <w:rFonts w:ascii="Times New Roman" w:hAnsi="Times New Roman"/>
                <w:noProof/>
              </w:rPr>
            </w:pPr>
            <w:r>
              <w:rPr>
                <w:rFonts w:ascii="Times New Roman" w:hAnsi="Times New Roman"/>
                <w:noProof/>
              </w:rPr>
              <w:t>Construction</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3.20.1 Interconnexion entre Udine Ouest (IT) et Okroglo (SI)</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2021</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3.21 PIC Interconnexion Italie — Slovénie entre Salgareda (IT) et Divača — région de Bericevo (SI)</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2022</w:t>
            </w:r>
          </w:p>
          <w:p w:rsidR="00C10815" w:rsidRDefault="005D2E2E">
            <w:pPr>
              <w:spacing w:after="0"/>
              <w:jc w:val="both"/>
              <w:rPr>
                <w:rFonts w:ascii="Times New Roman" w:hAnsi="Times New Roman"/>
                <w:noProof/>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jc w:val="both"/>
              <w:rPr>
                <w:rFonts w:ascii="Times New Roman" w:hAnsi="Times New Roman"/>
                <w:noProof/>
                <w:lang w:val="fr-FR"/>
              </w:rPr>
            </w:pPr>
            <w:r>
              <w:rPr>
                <w:rFonts w:ascii="Times New Roman" w:hAnsi="Times New Roman"/>
                <w:noProof/>
                <w:lang w:val="fr-FR"/>
              </w:rPr>
              <w:t>3.22.1 Interconnexion entre Resita (RO) et Pancevo (RS)</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spacing w:after="0"/>
              <w:jc w:val="both"/>
              <w:rPr>
                <w:rFonts w:ascii="Times New Roman" w:hAnsi="Times New Roman"/>
                <w:noProof/>
              </w:rPr>
            </w:pPr>
            <w:r>
              <w:rPr>
                <w:rFonts w:ascii="Times New Roman" w:hAnsi="Times New Roman"/>
                <w:noProof/>
              </w:rPr>
              <w:t>2017</w:t>
            </w:r>
          </w:p>
          <w:p w:rsidR="00C10815" w:rsidRDefault="005D2E2E">
            <w:pPr>
              <w:spacing w:after="0"/>
              <w:jc w:val="both"/>
              <w:rPr>
                <w:rFonts w:ascii="Times New Roman" w:hAnsi="Times New Roman"/>
                <w:noProof/>
              </w:rPr>
            </w:pPr>
            <w:r>
              <w:rPr>
                <w:rFonts w:ascii="Times New Roman" w:hAnsi="Times New Roman"/>
                <w:noProof/>
              </w:rPr>
              <w:t>Autorisations</w:t>
            </w:r>
          </w:p>
        </w:tc>
      </w:tr>
      <w:tr w:rsidR="00C10815" w:rsidTr="00672690">
        <w:tc>
          <w:tcPr>
            <w:tcW w:w="1807" w:type="dxa"/>
            <w:vMerge w:val="restart"/>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b/>
                <w:noProof/>
                <w:lang w:val="fr-FR"/>
              </w:rPr>
              <w:t>Corridor prioritaire Plan d'interconnexion des marchés énergétiques de la région de la mer Baltique («PIMERB Électricité»)</w:t>
            </w: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4.2.1 Interconnexion entre Kilingi-Nõmme (EE) et le poste CHP2 de Riga (LV)</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2020</w:t>
            </w:r>
          </w:p>
          <w:p w:rsidR="00C10815" w:rsidRDefault="005D2E2E">
            <w:pPr>
              <w:spacing w:after="0"/>
              <w:jc w:val="both"/>
              <w:rPr>
                <w:rFonts w:ascii="Times New Roman" w:hAnsi="Times New Roman"/>
                <w:noProof/>
              </w:rPr>
            </w:pPr>
            <w:r>
              <w:rPr>
                <w:rFonts w:ascii="Times New Roman" w:hAnsi="Times New Roman"/>
                <w:noProof/>
              </w:rPr>
              <w:t>Autorisations</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hideMark/>
          </w:tcPr>
          <w:p w:rsidR="00C10815" w:rsidRDefault="005D2E2E">
            <w:pPr>
              <w:jc w:val="both"/>
              <w:rPr>
                <w:rFonts w:ascii="Times New Roman" w:hAnsi="Times New Roman"/>
                <w:noProof/>
                <w:lang w:val="fr-FR"/>
              </w:rPr>
            </w:pPr>
            <w:r>
              <w:rPr>
                <w:rFonts w:ascii="Times New Roman" w:hAnsi="Times New Roman"/>
                <w:noProof/>
                <w:lang w:val="fr-FR"/>
              </w:rPr>
              <w:t>4.3 PIC Estonie/Lettonie/Lituanie, interconnexion synchrone avec les réseaux de l'Europe continentale</w:t>
            </w:r>
          </w:p>
        </w:tc>
        <w:tc>
          <w:tcPr>
            <w:tcW w:w="1842" w:type="dxa"/>
            <w:tcBorders>
              <w:top w:val="single" w:sz="4" w:space="0" w:color="auto"/>
              <w:left w:val="single" w:sz="4" w:space="0" w:color="auto"/>
              <w:bottom w:val="single" w:sz="4" w:space="0" w:color="auto"/>
              <w:right w:val="single" w:sz="4" w:space="0" w:color="auto"/>
            </w:tcBorders>
            <w:hideMark/>
          </w:tcPr>
          <w:p w:rsidR="00C10815" w:rsidRDefault="005D2E2E">
            <w:pPr>
              <w:spacing w:after="0"/>
              <w:jc w:val="both"/>
              <w:rPr>
                <w:rFonts w:ascii="Times New Roman" w:hAnsi="Times New Roman"/>
                <w:noProof/>
              </w:rPr>
            </w:pPr>
            <w:r>
              <w:rPr>
                <w:rFonts w:ascii="Times New Roman" w:hAnsi="Times New Roman"/>
                <w:noProof/>
              </w:rPr>
              <w:t>2023-2025.</w:t>
            </w:r>
          </w:p>
          <w:p w:rsidR="00C10815" w:rsidRDefault="005D2E2E">
            <w:pPr>
              <w:spacing w:after="0"/>
              <w:jc w:val="both"/>
              <w:rPr>
                <w:rFonts w:ascii="Times New Roman" w:hAnsi="Times New Roman"/>
                <w:noProof/>
              </w:rPr>
            </w:pPr>
            <w:r>
              <w:rPr>
                <w:rFonts w:ascii="Times New Roman" w:hAnsi="Times New Roman"/>
                <w:noProof/>
              </w:rPr>
              <w:t>Phase d'étude</w:t>
            </w:r>
          </w:p>
        </w:tc>
      </w:tr>
      <w:tr w:rsidR="00C10815" w:rsidTr="00672690">
        <w:tc>
          <w:tcPr>
            <w:tcW w:w="1807" w:type="dxa"/>
            <w:vMerge/>
            <w:tcBorders>
              <w:top w:val="single" w:sz="4" w:space="0" w:color="auto"/>
              <w:left w:val="single" w:sz="4" w:space="0" w:color="auto"/>
              <w:bottom w:val="single" w:sz="4" w:space="0" w:color="auto"/>
              <w:right w:val="single" w:sz="4" w:space="0" w:color="auto"/>
            </w:tcBorders>
            <w:vAlign w:val="center"/>
            <w:hideMark/>
          </w:tcPr>
          <w:p w:rsidR="00C10815" w:rsidRDefault="00C10815">
            <w:pPr>
              <w:spacing w:after="0" w:line="240" w:lineRule="auto"/>
              <w:rPr>
                <w:rFonts w:ascii="Times New Roman" w:hAnsi="Times New Roman"/>
                <w:noProof/>
              </w:rPr>
            </w:pPr>
          </w:p>
        </w:tc>
        <w:tc>
          <w:tcPr>
            <w:tcW w:w="5666"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jc w:val="both"/>
              <w:rPr>
                <w:rFonts w:ascii="Times New Roman" w:hAnsi="Times New Roman"/>
                <w:noProof/>
                <w:lang w:val="fr-FR"/>
              </w:rPr>
            </w:pPr>
            <w:r>
              <w:rPr>
                <w:rFonts w:ascii="Times New Roman" w:hAnsi="Times New Roman"/>
                <w:noProof/>
                <w:lang w:val="fr-FR"/>
              </w:rPr>
              <w:t>4.5.1 Partie lituanienne de l’interconnexion entre Alytus (LT) et la frontière LT/PL</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rsidR="00C10815" w:rsidRDefault="005D2E2E">
            <w:pPr>
              <w:spacing w:after="0"/>
              <w:jc w:val="both"/>
              <w:rPr>
                <w:rFonts w:ascii="Times New Roman" w:hAnsi="Times New Roman"/>
                <w:noProof/>
              </w:rPr>
            </w:pPr>
            <w:r>
              <w:rPr>
                <w:rFonts w:ascii="Times New Roman" w:hAnsi="Times New Roman"/>
                <w:noProof/>
              </w:rPr>
              <w:t>2015</w:t>
            </w:r>
          </w:p>
          <w:p w:rsidR="00C10815" w:rsidRDefault="005D2E2E">
            <w:pPr>
              <w:spacing w:after="0"/>
              <w:jc w:val="both"/>
              <w:rPr>
                <w:rFonts w:ascii="Times New Roman" w:hAnsi="Times New Roman"/>
                <w:noProof/>
              </w:rPr>
            </w:pPr>
            <w:r>
              <w:rPr>
                <w:rFonts w:ascii="Times New Roman" w:hAnsi="Times New Roman"/>
                <w:noProof/>
              </w:rPr>
              <w:t>Construction</w:t>
            </w:r>
          </w:p>
        </w:tc>
      </w:tr>
    </w:tbl>
    <w:p w:rsidR="00C10815" w:rsidRDefault="00C10815">
      <w:pPr>
        <w:jc w:val="both"/>
        <w:rPr>
          <w:rFonts w:ascii="Times New Roman" w:hAnsi="Times New Roman"/>
          <w:b/>
          <w:noProof/>
          <w:sz w:val="24"/>
          <w:szCs w:val="24"/>
        </w:rPr>
      </w:pPr>
    </w:p>
    <w:sectPr w:rsidR="00C1081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15" w:rsidRDefault="005D2E2E">
      <w:pPr>
        <w:spacing w:after="0" w:line="240" w:lineRule="auto"/>
      </w:pPr>
      <w:r>
        <w:separator/>
      </w:r>
    </w:p>
  </w:endnote>
  <w:endnote w:type="continuationSeparator" w:id="0">
    <w:p w:rsidR="00C10815" w:rsidRDefault="005D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2E" w:rsidRPr="005D2E2E" w:rsidRDefault="005D2E2E" w:rsidP="005D2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2E" w:rsidRPr="005D2E2E" w:rsidRDefault="005D2E2E" w:rsidP="005D2E2E">
    <w:pPr>
      <w:pStyle w:val="FooterCoverPage"/>
      <w:rPr>
        <w:rFonts w:ascii="Arial" w:hAnsi="Arial" w:cs="Arial"/>
        <w:b/>
        <w:sz w:val="48"/>
      </w:rPr>
    </w:pPr>
    <w:r w:rsidRPr="005D2E2E">
      <w:rPr>
        <w:rFonts w:ascii="Arial" w:hAnsi="Arial" w:cs="Arial"/>
        <w:b/>
        <w:sz w:val="48"/>
      </w:rPr>
      <w:t>FR</w:t>
    </w:r>
    <w:r w:rsidRPr="005D2E2E">
      <w:rPr>
        <w:rFonts w:ascii="Arial" w:hAnsi="Arial" w:cs="Arial"/>
        <w:b/>
        <w:sz w:val="48"/>
      </w:rPr>
      <w:tab/>
    </w:r>
    <w:r w:rsidRPr="005D2E2E">
      <w:rPr>
        <w:rFonts w:ascii="Arial" w:hAnsi="Arial" w:cs="Arial"/>
        <w:b/>
        <w:sz w:val="48"/>
      </w:rPr>
      <w:tab/>
    </w:r>
    <w:r w:rsidR="00672690">
      <w:fldChar w:fldCharType="begin"/>
    </w:r>
    <w:r w:rsidR="00672690">
      <w:instrText xml:space="preserve"> DOCVARIABLE "LW_Confidence" \* MERGEFORMAT </w:instrText>
    </w:r>
    <w:r w:rsidR="00672690">
      <w:fldChar w:fldCharType="separate"/>
    </w:r>
    <w:r>
      <w:t xml:space="preserve"> </w:t>
    </w:r>
    <w:r w:rsidR="00672690">
      <w:fldChar w:fldCharType="end"/>
    </w:r>
    <w:r w:rsidRPr="005D2E2E">
      <w:tab/>
    </w:r>
    <w:proofErr w:type="spellStart"/>
    <w:r w:rsidRPr="005D2E2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2E" w:rsidRPr="005D2E2E" w:rsidRDefault="005D2E2E" w:rsidP="005D2E2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5" w:rsidRDefault="00C108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90608"/>
      <w:docPartObj>
        <w:docPartGallery w:val="Page Numbers (Bottom of Page)"/>
        <w:docPartUnique/>
      </w:docPartObj>
    </w:sdtPr>
    <w:sdtEndPr>
      <w:rPr>
        <w:noProof/>
      </w:rPr>
    </w:sdtEndPr>
    <w:sdtContent>
      <w:p w:rsidR="00C10815" w:rsidRDefault="005D2E2E">
        <w:pPr>
          <w:pStyle w:val="Footer"/>
          <w:jc w:val="center"/>
        </w:pPr>
        <w:r>
          <w:fldChar w:fldCharType="begin"/>
        </w:r>
        <w:r>
          <w:instrText xml:space="preserve"> PAGE   \* MERGEFORMAT </w:instrText>
        </w:r>
        <w:r>
          <w:fldChar w:fldCharType="separate"/>
        </w:r>
        <w:r w:rsidR="00672690">
          <w:rPr>
            <w:noProof/>
          </w:rPr>
          <w:t>3</w:t>
        </w:r>
        <w:r>
          <w:rPr>
            <w:noProof/>
          </w:rPr>
          <w:fldChar w:fldCharType="end"/>
        </w:r>
      </w:p>
    </w:sdtContent>
  </w:sdt>
  <w:p w:rsidR="00C10815" w:rsidRDefault="00C108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5" w:rsidRDefault="00C10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15" w:rsidRDefault="005D2E2E">
      <w:pPr>
        <w:spacing w:after="0" w:line="240" w:lineRule="auto"/>
      </w:pPr>
      <w:r>
        <w:separator/>
      </w:r>
    </w:p>
  </w:footnote>
  <w:footnote w:type="continuationSeparator" w:id="0">
    <w:p w:rsidR="00C10815" w:rsidRDefault="005D2E2E">
      <w:pPr>
        <w:spacing w:after="0" w:line="240" w:lineRule="auto"/>
      </w:pPr>
      <w:r>
        <w:continuationSeparator/>
      </w:r>
    </w:p>
  </w:footnote>
  <w:footnote w:id="1">
    <w:p w:rsidR="00C10815" w:rsidRDefault="005D2E2E">
      <w:pPr>
        <w:pStyle w:val="FootnoteText"/>
        <w:spacing w:after="0" w:line="240" w:lineRule="auto"/>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Selon le PDDR 2014 du  REGRT-E (le cas échéant) ou suivant les informations fournies à la Commission par les promoteurs de projets en 2014.</w:t>
      </w:r>
    </w:p>
  </w:footnote>
  <w:footnote w:id="2">
    <w:p w:rsidR="00C10815" w:rsidRDefault="005D2E2E">
      <w:pPr>
        <w:pStyle w:val="FootnoteText"/>
        <w:spacing w:after="0" w:line="240" w:lineRule="auto"/>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Les projets en bleu concernent les projets d'interconnexion qui devraient être achevés d'ici à 2017/2018 ou sur lesquels les travaux devraient avoir considérablement avancé d'ici à 2017; ils pourraient bénéficier d'un soutien au titre de l'EFSI.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2E" w:rsidRPr="005D2E2E" w:rsidRDefault="005D2E2E" w:rsidP="005D2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2E" w:rsidRPr="005D2E2E" w:rsidRDefault="005D2E2E" w:rsidP="005D2E2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2E" w:rsidRPr="005D2E2E" w:rsidRDefault="005D2E2E" w:rsidP="005D2E2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5" w:rsidRDefault="00C108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5" w:rsidRDefault="00C108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815" w:rsidRDefault="00C10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1BC9"/>
    <w:multiLevelType w:val="hybridMultilevel"/>
    <w:tmpl w:val="3312C5E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1"/>
    <w:docVar w:name="LW_ANNEX_NBR_LAST" w:val="2"/>
    <w:docVar w:name="LW_CONFIDENCE" w:val=" "/>
    <w:docVar w:name="LW_CONST_RESTREINT_UE" w:val="RESTREINT UE"/>
    <w:docVar w:name="LW_CORRIGENDUM" w:val="CORRIGENDUM_x000b_This document corrects annex 1 of document COM(2015) 82 final of  25.02.2015_x000b_Concerns the EN, FR and DE versions._x000b_Correction of the geographical names on page 2"/>
    <w:docVar w:name="LW_COVERPAGE_GUID" w:val="1EF52858862C4D9B9704641D1774025C"/>
    <w:docVar w:name="LW_CROSSREFERENCE" w:val="&lt;UNUSED&gt;"/>
    <w:docVar w:name="LW_DocType" w:val="NORMAL"/>
    <w:docVar w:name="LW_EMISSION" w:val="4.3.2015"/>
    <w:docVar w:name="LW_EMISSION_ISODATE" w:val="2015-03-04"/>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Réaliser l'objectif de 10 % d'interconnexion dans le secteur de l'électricité_x000b__x000b_Un réseau électrique européen prêt pour 2020"/>
    <w:docVar w:name="LW_PART_NBR" w:val="&lt;UNUSED&gt;"/>
    <w:docVar w:name="LW_PART_NBR_TOTAL" w:val="&lt;UNUSED&gt;"/>
    <w:docVar w:name="LW_REF.INST.NEW" w:val="COM"/>
    <w:docVar w:name="LW_REF.INST.NEW_ADOPTED" w:val="final/2"/>
    <w:docVar w:name="LW_REF.INST.NEW_TEXT" w:val="(2015) 82"/>
    <w:docVar w:name="LW_REF.INTERNE" w:val="&lt;UNUSED&gt;"/>
    <w:docVar w:name="LW_SUPERTITRE" w:val="&lt;UNUSED&gt;"/>
    <w:docVar w:name="LW_TITRE.OBJ.CP" w:val="&lt;UNUSED&gt;"/>
    <w:docVar w:name="LW_TYPE.DOC.CP" w:val="ANNEXES_x000b_"/>
    <w:docVar w:name="LW_TYPEACTEPRINCIPAL.CP" w:val="COMMUNICATION DE LA COMMISSION AU PARLEMENT EUROPÉEN ET AU CONSEIL"/>
  </w:docVars>
  <w:rsids>
    <w:rsidRoot w:val="00C10815"/>
    <w:rsid w:val="005D2E2E"/>
    <w:rsid w:val="00672690"/>
    <w:rsid w:val="00C10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 Text Char1 Char Char,Footnote Text Char Char Char Char,Footnote Text Char2 Char Char Char Char,Footnote Text Char1 Char Char Char Char Char,Footnote Text Char Char Char Char Char Char Char,Plonk Char,Footnote text PFR Char"/>
    <w:link w:val="FootnoteText"/>
    <w:locked/>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Tekst przypis"/>
    <w:basedOn w:val="Normal"/>
    <w:link w:val="FootnoteTextChar1"/>
    <w:unhideWhenUsed/>
    <w:rPr>
      <w:rFonts w:asciiTheme="minorHAnsi" w:eastAsiaTheme="minorHAnsi" w:hAnsiTheme="minorHAnsi" w:cstheme="minorBidi"/>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Odwołanie przypisu"/>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heme="minorHAnsi" w:hAnsi="Times New Roman"/>
      <w:b/>
      <w:caps/>
      <w:sz w:val="24"/>
    </w:rPr>
  </w:style>
  <w:style w:type="paragraph" w:customStyle="1" w:styleId="Nomdelinstitution">
    <w:name w:val="Nom de l'institution"/>
    <w:basedOn w:val="Normal"/>
    <w:next w:val="Normal"/>
    <w:pPr>
      <w:spacing w:after="0" w:line="240" w:lineRule="auto"/>
    </w:pPr>
    <w:rPr>
      <w:rFonts w:ascii="Arial" w:eastAsiaTheme="minorHAnsi" w:hAnsi="Arial" w:cs="Arial"/>
      <w:sz w:val="24"/>
    </w:rPr>
  </w:style>
  <w:style w:type="paragraph" w:customStyle="1" w:styleId="Emission">
    <w:name w:val="Emission"/>
    <w:basedOn w:val="Normal"/>
    <w:next w:val="Normal"/>
    <w:pPr>
      <w:spacing w:after="0" w:line="240" w:lineRule="auto"/>
      <w:ind w:left="5103"/>
    </w:pPr>
    <w:rPr>
      <w:rFonts w:ascii="Times New Roman" w:eastAsiaTheme="minorHAnsi" w:hAnsi="Times New Roman"/>
      <w:sz w:val="24"/>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line="240" w:lineRule="auto"/>
      <w:ind w:left="5103"/>
    </w:pPr>
    <w:rPr>
      <w:rFonts w:ascii="Times New Roman" w:eastAsiaTheme="minorHAnsi" w:hAnsi="Times New Roman"/>
      <w:sz w:val="24"/>
    </w:rPr>
  </w:style>
  <w:style w:type="paragraph" w:customStyle="1" w:styleId="Volume">
    <w:name w:val="Volume"/>
    <w:basedOn w:val="Normal"/>
    <w:next w:val="Normal"/>
    <w:pPr>
      <w:spacing w:after="240" w:line="240" w:lineRule="auto"/>
      <w:ind w:left="5103"/>
    </w:pPr>
    <w:rPr>
      <w:rFonts w:ascii="Times New Roman" w:eastAsiaTheme="minorHAnsi" w:hAnsi="Times New Roman"/>
      <w:sz w:val="24"/>
    </w:rPr>
  </w:style>
  <w:style w:type="paragraph" w:customStyle="1" w:styleId="Confidentialit">
    <w:name w:val="Confidentialité"/>
    <w:basedOn w:val="Normal"/>
    <w:next w:val="Normal"/>
    <w:pPr>
      <w:spacing w:before="240" w:after="240" w:line="240" w:lineRule="auto"/>
      <w:ind w:left="5103"/>
    </w:pPr>
    <w:rPr>
      <w:rFonts w:ascii="Times New Roman" w:eastAsiaTheme="minorHAnsi" w:hAnsi="Times New Roman"/>
      <w:i/>
      <w:sz w:val="32"/>
    </w:rPr>
  </w:style>
  <w:style w:type="paragraph" w:customStyle="1" w:styleId="TypedudocumentPagedecouverture">
    <w:name w:val="Type du document (Page de couverture)"/>
    <w:basedOn w:val="Normal"/>
    <w:next w:val="Normal"/>
    <w:pPr>
      <w:spacing w:before="360" w:after="0" w:line="240" w:lineRule="auto"/>
      <w:jc w:val="center"/>
    </w:pPr>
    <w:rPr>
      <w:rFonts w:ascii="Times New Roman" w:eastAsiaTheme="minorHAnsi" w:hAnsi="Times New Roman"/>
      <w:b/>
      <w:sz w:val="24"/>
    </w:rPr>
  </w:style>
  <w:style w:type="paragraph" w:customStyle="1" w:styleId="AccompagnantPagedecouverture">
    <w:name w:val="Accompagnant (Page de couverture)"/>
    <w:basedOn w:val="Normal"/>
    <w:next w:val="Normal"/>
    <w:pPr>
      <w:spacing w:after="240" w:line="240" w:lineRule="auto"/>
      <w:jc w:val="center"/>
    </w:pPr>
    <w:rPr>
      <w:rFonts w:ascii="Times New Roman" w:eastAsiaTheme="minorHAnsi" w:hAnsi="Times New Roman"/>
      <w:b/>
      <w:i/>
      <w:sz w:val="24"/>
    </w:rPr>
  </w:style>
  <w:style w:type="paragraph" w:customStyle="1" w:styleId="TypeacteprincipalPagedecouverture">
    <w:name w:val="Type acte principal (Page de couverture)"/>
    <w:basedOn w:val="Normal"/>
    <w:next w:val="Normal"/>
    <w:pPr>
      <w:spacing w:after="240" w:line="240" w:lineRule="auto"/>
      <w:jc w:val="center"/>
    </w:pPr>
    <w:rPr>
      <w:rFonts w:ascii="Times New Roman" w:eastAsiaTheme="minorHAnsi" w:hAnsi="Times New Roman"/>
      <w:b/>
      <w:sz w:val="24"/>
    </w:rPr>
  </w:style>
  <w:style w:type="paragraph" w:customStyle="1" w:styleId="ObjetacteprincipalPagedecouverture">
    <w:name w:val="Objet acte principal (Page de couverture)"/>
    <w:basedOn w:val="Normal"/>
    <w:next w:val="Normal"/>
    <w:pPr>
      <w:spacing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Footnote Text Char1 Char Char,Footnote Text Char Char Char Char,Footnote Text Char2 Char Char Char Char,Footnote Text Char1 Char Char Char Char Char,Footnote Text Char Char Char Char Char Char Char,Plonk Char,Footnote text PFR Char"/>
    <w:link w:val="FootnoteText"/>
    <w:locked/>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Tekst przypis"/>
    <w:basedOn w:val="Normal"/>
    <w:link w:val="FootnoteTextChar1"/>
    <w:unhideWhenUsed/>
    <w:rPr>
      <w:rFonts w:asciiTheme="minorHAnsi" w:eastAsiaTheme="minorHAnsi" w:hAnsiTheme="minorHAnsi" w:cstheme="minorBidi"/>
    </w:rPr>
  </w:style>
  <w:style w:type="character" w:customStyle="1" w:styleId="FootnoteTextChar">
    <w:name w:val="Footnote Text Char"/>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Odwołanie przypisu"/>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heme="minorHAnsi" w:hAnsi="Times New Roman"/>
      <w:b/>
      <w:caps/>
      <w:sz w:val="24"/>
    </w:rPr>
  </w:style>
  <w:style w:type="paragraph" w:customStyle="1" w:styleId="Nomdelinstitution">
    <w:name w:val="Nom de l'institution"/>
    <w:basedOn w:val="Normal"/>
    <w:next w:val="Normal"/>
    <w:pPr>
      <w:spacing w:after="0" w:line="240" w:lineRule="auto"/>
    </w:pPr>
    <w:rPr>
      <w:rFonts w:ascii="Arial" w:eastAsiaTheme="minorHAnsi" w:hAnsi="Arial" w:cs="Arial"/>
      <w:sz w:val="24"/>
    </w:rPr>
  </w:style>
  <w:style w:type="paragraph" w:customStyle="1" w:styleId="Emission">
    <w:name w:val="Emission"/>
    <w:basedOn w:val="Normal"/>
    <w:next w:val="Normal"/>
    <w:pPr>
      <w:spacing w:after="0" w:line="240" w:lineRule="auto"/>
      <w:ind w:left="5103"/>
    </w:pPr>
    <w:rPr>
      <w:rFonts w:ascii="Times New Roman" w:eastAsiaTheme="minorHAnsi" w:hAnsi="Times New Roman"/>
      <w:sz w:val="24"/>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line="240" w:lineRule="auto"/>
      <w:ind w:left="5103"/>
    </w:pPr>
    <w:rPr>
      <w:rFonts w:ascii="Times New Roman" w:eastAsiaTheme="minorHAnsi" w:hAnsi="Times New Roman"/>
      <w:sz w:val="24"/>
    </w:rPr>
  </w:style>
  <w:style w:type="paragraph" w:customStyle="1" w:styleId="Volume">
    <w:name w:val="Volume"/>
    <w:basedOn w:val="Normal"/>
    <w:next w:val="Normal"/>
    <w:pPr>
      <w:spacing w:after="240" w:line="240" w:lineRule="auto"/>
      <w:ind w:left="5103"/>
    </w:pPr>
    <w:rPr>
      <w:rFonts w:ascii="Times New Roman" w:eastAsiaTheme="minorHAnsi" w:hAnsi="Times New Roman"/>
      <w:sz w:val="24"/>
    </w:rPr>
  </w:style>
  <w:style w:type="paragraph" w:customStyle="1" w:styleId="Confidentialit">
    <w:name w:val="Confidentialité"/>
    <w:basedOn w:val="Normal"/>
    <w:next w:val="Normal"/>
    <w:pPr>
      <w:spacing w:before="240" w:after="240" w:line="240" w:lineRule="auto"/>
      <w:ind w:left="5103"/>
    </w:pPr>
    <w:rPr>
      <w:rFonts w:ascii="Times New Roman" w:eastAsiaTheme="minorHAnsi" w:hAnsi="Times New Roman"/>
      <w:i/>
      <w:sz w:val="32"/>
    </w:rPr>
  </w:style>
  <w:style w:type="paragraph" w:customStyle="1" w:styleId="TypedudocumentPagedecouverture">
    <w:name w:val="Type du document (Page de couverture)"/>
    <w:basedOn w:val="Normal"/>
    <w:next w:val="Normal"/>
    <w:pPr>
      <w:spacing w:before="360" w:after="0" w:line="240" w:lineRule="auto"/>
      <w:jc w:val="center"/>
    </w:pPr>
    <w:rPr>
      <w:rFonts w:ascii="Times New Roman" w:eastAsiaTheme="minorHAnsi" w:hAnsi="Times New Roman"/>
      <w:b/>
      <w:sz w:val="24"/>
    </w:rPr>
  </w:style>
  <w:style w:type="paragraph" w:customStyle="1" w:styleId="AccompagnantPagedecouverture">
    <w:name w:val="Accompagnant (Page de couverture)"/>
    <w:basedOn w:val="Normal"/>
    <w:next w:val="Normal"/>
    <w:pPr>
      <w:spacing w:after="240" w:line="240" w:lineRule="auto"/>
      <w:jc w:val="center"/>
    </w:pPr>
    <w:rPr>
      <w:rFonts w:ascii="Times New Roman" w:eastAsiaTheme="minorHAnsi" w:hAnsi="Times New Roman"/>
      <w:b/>
      <w:i/>
      <w:sz w:val="24"/>
    </w:rPr>
  </w:style>
  <w:style w:type="paragraph" w:customStyle="1" w:styleId="TypeacteprincipalPagedecouverture">
    <w:name w:val="Type acte principal (Page de couverture)"/>
    <w:basedOn w:val="Normal"/>
    <w:next w:val="Normal"/>
    <w:pPr>
      <w:spacing w:after="240" w:line="240" w:lineRule="auto"/>
      <w:jc w:val="center"/>
    </w:pPr>
    <w:rPr>
      <w:rFonts w:ascii="Times New Roman" w:eastAsiaTheme="minorHAnsi" w:hAnsi="Times New Roman"/>
      <w:b/>
      <w:sz w:val="24"/>
    </w:rPr>
  </w:style>
  <w:style w:type="paragraph" w:customStyle="1" w:styleId="ObjetacteprincipalPagedecouverture">
    <w:name w:val="Objet acte principal (Page de couverture)"/>
    <w:basedOn w:val="Normal"/>
    <w:next w:val="Normal"/>
    <w:pPr>
      <w:spacing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6AE7-6C4A-4A67-A703-C2370D63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792</Words>
  <Characters>5674</Characters>
  <Application>Microsoft Office Word</Application>
  <DocSecurity>0</DocSecurity>
  <Lines>270</Lines>
  <Paragraphs>143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VERMAELEN Hilde (SG)</dc:creator>
  <cp:lastModifiedBy>Stefanie Heilemann</cp:lastModifiedBy>
  <cp:revision>10</cp:revision>
  <cp:lastPrinted>2015-02-20T15:21:00Z</cp:lastPrinted>
  <dcterms:created xsi:type="dcterms:W3CDTF">2015-03-03T12:35:00Z</dcterms:created>
  <dcterms:modified xsi:type="dcterms:W3CDTF">2015-03-04T09:50:00Z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