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B7C" w:rsidRDefault="00744589" w:rsidP="0074458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9D1F0668F6E43B6BCD47F661E02AC4B" style="width:450.7pt;height:473.15pt">
            <v:imagedata r:id="rId9" o:title=""/>
          </v:shape>
        </w:pict>
      </w:r>
    </w:p>
    <w:bookmarkEnd w:id="0"/>
    <w:p w:rsidR="00256B7C" w:rsidRDefault="00256B7C">
      <w:pPr>
        <w:rPr>
          <w:noProof/>
        </w:rPr>
        <w:sectPr w:rsidR="00256B7C" w:rsidSect="0074458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256B7C" w:rsidRDefault="00744589">
      <w:pPr>
        <w:jc w:val="center"/>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ANNEX 1</w:t>
      </w:r>
    </w:p>
    <w:p w:rsidR="00256B7C" w:rsidRDefault="00744589">
      <w:pPr>
        <w:jc w:val="center"/>
        <w:rPr>
          <w:rFonts w:ascii="Times New Roman" w:hAnsi="Times New Roman"/>
          <w:b/>
          <w:noProof/>
          <w:sz w:val="24"/>
          <w:szCs w:val="24"/>
          <w:u w:val="single"/>
        </w:rPr>
      </w:pPr>
      <w:r>
        <w:rPr>
          <w:rFonts w:ascii="Times New Roman" w:hAnsi="Times New Roman"/>
          <w:b/>
          <w:noProof/>
          <w:sz w:val="24"/>
          <w:szCs w:val="24"/>
          <w:u w:val="single"/>
        </w:rPr>
        <w:t>Projects co-funded by the European Energy Programme for Recovery (EEPR)</w:t>
      </w:r>
    </w:p>
    <w:p w:rsidR="00256B7C" w:rsidRDefault="00744589">
      <w:pPr>
        <w:numPr>
          <w:ilvl w:val="0"/>
          <w:numId w:val="1"/>
        </w:numPr>
        <w:jc w:val="both"/>
        <w:rPr>
          <w:rFonts w:ascii="Times New Roman" w:hAnsi="Times New Roman"/>
          <w:noProof/>
          <w:sz w:val="24"/>
          <w:szCs w:val="24"/>
        </w:rPr>
      </w:pPr>
      <w:r>
        <w:rPr>
          <w:rFonts w:ascii="Times New Roman" w:hAnsi="Times New Roman"/>
          <w:b/>
          <w:noProof/>
          <w:sz w:val="24"/>
          <w:szCs w:val="24"/>
        </w:rPr>
        <w:t>EstLink 2</w:t>
      </w:r>
      <w:r>
        <w:rPr>
          <w:rFonts w:ascii="Times New Roman" w:hAnsi="Times New Roman"/>
          <w:noProof/>
          <w:sz w:val="24"/>
          <w:szCs w:val="24"/>
        </w:rPr>
        <w:t xml:space="preserve"> is the second HVDC interconnection between Estonia and Finland that increases the transmission capacity between the two countries to 1000 MW.</w:t>
      </w:r>
    </w:p>
    <w:p w:rsidR="00256B7C" w:rsidRDefault="00744589">
      <w:pPr>
        <w:numPr>
          <w:ilvl w:val="0"/>
          <w:numId w:val="1"/>
        </w:numPr>
        <w:jc w:val="both"/>
        <w:rPr>
          <w:rFonts w:ascii="Times New Roman" w:hAnsi="Times New Roman"/>
          <w:noProof/>
          <w:sz w:val="24"/>
          <w:szCs w:val="24"/>
        </w:rPr>
      </w:pPr>
      <w:r>
        <w:rPr>
          <w:rFonts w:ascii="Times New Roman" w:hAnsi="Times New Roman"/>
          <w:b/>
          <w:noProof/>
          <w:sz w:val="24"/>
          <w:szCs w:val="24"/>
        </w:rPr>
        <w:t>Nordbalt</w:t>
      </w:r>
      <w:r>
        <w:rPr>
          <w:rFonts w:ascii="Times New Roman" w:hAnsi="Times New Roman"/>
          <w:noProof/>
          <w:sz w:val="24"/>
          <w:szCs w:val="24"/>
        </w:rPr>
        <w:t xml:space="preserve"> is a new interconnection between Sweden and Lithuania with a transmission capacity of 700 MW. </w:t>
      </w:r>
    </w:p>
    <w:p w:rsidR="00256B7C" w:rsidRDefault="00744589">
      <w:pPr>
        <w:numPr>
          <w:ilvl w:val="0"/>
          <w:numId w:val="1"/>
        </w:numPr>
        <w:jc w:val="both"/>
        <w:rPr>
          <w:rFonts w:ascii="Times New Roman" w:hAnsi="Times New Roman"/>
          <w:noProof/>
          <w:sz w:val="24"/>
          <w:szCs w:val="24"/>
        </w:rPr>
      </w:pPr>
      <w:r>
        <w:rPr>
          <w:rFonts w:ascii="Times New Roman" w:hAnsi="Times New Roman"/>
          <w:b/>
          <w:noProof/>
          <w:sz w:val="24"/>
          <w:szCs w:val="24"/>
        </w:rPr>
        <w:t>The Austr</w:t>
      </w:r>
      <w:r>
        <w:rPr>
          <w:rFonts w:ascii="Times New Roman" w:hAnsi="Times New Roman"/>
          <w:b/>
          <w:noProof/>
          <w:sz w:val="24"/>
          <w:szCs w:val="24"/>
        </w:rPr>
        <w:t>ia-Hungary interconnection</w:t>
      </w:r>
      <w:r>
        <w:rPr>
          <w:rFonts w:ascii="Times New Roman" w:hAnsi="Times New Roman"/>
          <w:noProof/>
          <w:sz w:val="24"/>
          <w:szCs w:val="24"/>
        </w:rPr>
        <w:t xml:space="preserve"> (Wien-Györ), with a capacity of 1 100 MVA, improved the interoperability of the Austrian and Hungarian electricity networks</w:t>
      </w:r>
    </w:p>
    <w:p w:rsidR="00256B7C" w:rsidRDefault="00744589">
      <w:pPr>
        <w:numPr>
          <w:ilvl w:val="0"/>
          <w:numId w:val="1"/>
        </w:numPr>
        <w:jc w:val="both"/>
        <w:rPr>
          <w:rFonts w:ascii="Times New Roman" w:hAnsi="Times New Roman"/>
          <w:noProof/>
          <w:sz w:val="24"/>
          <w:szCs w:val="24"/>
        </w:rPr>
      </w:pPr>
      <w:r>
        <w:rPr>
          <w:rFonts w:ascii="Times New Roman" w:hAnsi="Times New Roman"/>
          <w:b/>
          <w:noProof/>
          <w:sz w:val="24"/>
          <w:szCs w:val="24"/>
        </w:rPr>
        <w:t>The Spain-France interconnection</w:t>
      </w:r>
      <w:r>
        <w:rPr>
          <w:rFonts w:ascii="Times New Roman" w:hAnsi="Times New Roman"/>
          <w:noProof/>
          <w:sz w:val="24"/>
          <w:szCs w:val="24"/>
        </w:rPr>
        <w:t xml:space="preserve"> (Sta. Llogaia - Baixas) is a centre-piece of an underground cable with a</w:t>
      </w:r>
      <w:r>
        <w:rPr>
          <w:rFonts w:ascii="Times New Roman" w:hAnsi="Times New Roman"/>
          <w:noProof/>
          <w:sz w:val="24"/>
          <w:szCs w:val="24"/>
        </w:rPr>
        <w:t xml:space="preserve"> capacity of 1400-1800 MW crossing the Pyrenees mountains using a dedicated tunnel. </w:t>
      </w:r>
    </w:p>
    <w:p w:rsidR="00256B7C" w:rsidRDefault="00744589">
      <w:pPr>
        <w:numPr>
          <w:ilvl w:val="0"/>
          <w:numId w:val="1"/>
        </w:numPr>
        <w:jc w:val="both"/>
        <w:rPr>
          <w:rFonts w:ascii="Times New Roman" w:hAnsi="Times New Roman"/>
          <w:noProof/>
          <w:sz w:val="24"/>
          <w:szCs w:val="24"/>
        </w:rPr>
      </w:pPr>
      <w:r>
        <w:rPr>
          <w:rFonts w:ascii="Times New Roman" w:hAnsi="Times New Roman"/>
          <w:b/>
          <w:noProof/>
          <w:sz w:val="24"/>
          <w:szCs w:val="24"/>
        </w:rPr>
        <w:t>The Malta-Italy interconnection</w:t>
      </w:r>
      <w:r>
        <w:rPr>
          <w:rFonts w:ascii="Times New Roman" w:hAnsi="Times New Roman"/>
          <w:noProof/>
          <w:sz w:val="24"/>
          <w:szCs w:val="24"/>
        </w:rPr>
        <w:t xml:space="preserve"> (Pembroke - Marina di Ragusa) is a sub-sea HVAC cable rated at 250MVA which will put an end to the isolation of the Maltese electricity gri</w:t>
      </w:r>
      <w:r>
        <w:rPr>
          <w:rFonts w:ascii="Times New Roman" w:hAnsi="Times New Roman"/>
          <w:noProof/>
          <w:sz w:val="24"/>
          <w:szCs w:val="24"/>
        </w:rPr>
        <w:t>d from the rest of Europe.</w:t>
      </w:r>
    </w:p>
    <w:p w:rsidR="00256B7C" w:rsidRDefault="00744589">
      <w:pPr>
        <w:numPr>
          <w:ilvl w:val="0"/>
          <w:numId w:val="1"/>
        </w:numPr>
        <w:jc w:val="both"/>
        <w:rPr>
          <w:rFonts w:ascii="Times New Roman" w:hAnsi="Times New Roman"/>
          <w:noProof/>
          <w:sz w:val="24"/>
          <w:szCs w:val="24"/>
        </w:rPr>
      </w:pPr>
      <w:r>
        <w:rPr>
          <w:rFonts w:ascii="Times New Roman" w:hAnsi="Times New Roman"/>
          <w:b/>
          <w:noProof/>
          <w:sz w:val="24"/>
          <w:szCs w:val="24"/>
        </w:rPr>
        <w:t>The UK-Ireland interconnection</w:t>
      </w:r>
      <w:r>
        <w:rPr>
          <w:rFonts w:ascii="Times New Roman" w:hAnsi="Times New Roman"/>
          <w:noProof/>
          <w:sz w:val="24"/>
          <w:szCs w:val="24"/>
        </w:rPr>
        <w:t xml:space="preserve"> (Deeside - Meath) is a HVDC cable with a capacity of 500 MW. The project was the first electricity interconnection between Ireland and Great Britain. </w:t>
      </w:r>
    </w:p>
    <w:p w:rsidR="00256B7C" w:rsidRDefault="00744589">
      <w:pPr>
        <w:numPr>
          <w:ilvl w:val="0"/>
          <w:numId w:val="1"/>
        </w:numPr>
        <w:jc w:val="both"/>
        <w:rPr>
          <w:rFonts w:ascii="Times New Roman" w:hAnsi="Times New Roman"/>
          <w:noProof/>
          <w:sz w:val="24"/>
          <w:szCs w:val="24"/>
        </w:rPr>
      </w:pPr>
      <w:r>
        <w:rPr>
          <w:rFonts w:ascii="Times New Roman" w:hAnsi="Times New Roman"/>
          <w:noProof/>
          <w:sz w:val="24"/>
          <w:szCs w:val="24"/>
        </w:rPr>
        <w:t>The project comprising four overhead lines</w:t>
      </w:r>
      <w:r>
        <w:rPr>
          <w:rFonts w:ascii="Times New Roman" w:hAnsi="Times New Roman"/>
          <w:b/>
          <w:noProof/>
          <w:sz w:val="24"/>
          <w:szCs w:val="24"/>
        </w:rPr>
        <w:t xml:space="preserve"> </w:t>
      </w:r>
      <w:r>
        <w:rPr>
          <w:rFonts w:ascii="Times New Roman" w:hAnsi="Times New Roman"/>
          <w:noProof/>
          <w:sz w:val="24"/>
          <w:szCs w:val="24"/>
        </w:rPr>
        <w:t>betw</w:t>
      </w:r>
      <w:r>
        <w:rPr>
          <w:rFonts w:ascii="Times New Roman" w:hAnsi="Times New Roman"/>
          <w:noProof/>
          <w:sz w:val="24"/>
          <w:szCs w:val="24"/>
        </w:rPr>
        <w:t xml:space="preserve">een Tunes and Tavira </w:t>
      </w:r>
      <w:r>
        <w:rPr>
          <w:rFonts w:ascii="Times New Roman" w:hAnsi="Times New Roman"/>
          <w:b/>
          <w:noProof/>
          <w:sz w:val="24"/>
          <w:szCs w:val="24"/>
        </w:rPr>
        <w:t>(PT),</w:t>
      </w:r>
      <w:r>
        <w:rPr>
          <w:rFonts w:ascii="Times New Roman" w:hAnsi="Times New Roman"/>
          <w:noProof/>
          <w:sz w:val="24"/>
          <w:szCs w:val="24"/>
        </w:rPr>
        <w:t xml:space="preserve"> Tunes and Estói (PT), Tavira (PT) and Alcoutim </w:t>
      </w:r>
      <w:r>
        <w:rPr>
          <w:rFonts w:ascii="Times New Roman" w:hAnsi="Times New Roman"/>
          <w:b/>
          <w:noProof/>
          <w:sz w:val="24"/>
          <w:szCs w:val="24"/>
        </w:rPr>
        <w:t>(PT)</w:t>
      </w:r>
      <w:r>
        <w:rPr>
          <w:rFonts w:ascii="Times New Roman" w:hAnsi="Times New Roman"/>
          <w:noProof/>
          <w:sz w:val="24"/>
          <w:szCs w:val="24"/>
        </w:rPr>
        <w:t xml:space="preserve"> and Ourique and Estói (PT) contributed to the upgrade and extension of the Portuguese electricity grid.</w:t>
      </w:r>
    </w:p>
    <w:p w:rsidR="00256B7C" w:rsidRDefault="00744589">
      <w:pPr>
        <w:numPr>
          <w:ilvl w:val="0"/>
          <w:numId w:val="1"/>
        </w:numPr>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reinforcement of the electrical network</w:t>
      </w:r>
      <w:r>
        <w:rPr>
          <w:rFonts w:ascii="Times New Roman" w:hAnsi="Times New Roman"/>
          <w:noProof/>
          <w:sz w:val="24"/>
          <w:szCs w:val="24"/>
        </w:rPr>
        <w:t xml:space="preserve"> between the Douro region </w:t>
      </w:r>
      <w:r>
        <w:rPr>
          <w:rFonts w:ascii="Times New Roman" w:hAnsi="Times New Roman"/>
          <w:b/>
          <w:noProof/>
          <w:sz w:val="24"/>
          <w:szCs w:val="24"/>
        </w:rPr>
        <w:t>(PT)</w:t>
      </w:r>
      <w:r>
        <w:rPr>
          <w:rFonts w:ascii="Times New Roman" w:hAnsi="Times New Roman"/>
          <w:noProof/>
          <w:sz w:val="24"/>
          <w:szCs w:val="24"/>
        </w:rPr>
        <w:t xml:space="preserve"> and the </w:t>
      </w:r>
      <w:r>
        <w:rPr>
          <w:rFonts w:ascii="Times New Roman" w:hAnsi="Times New Roman"/>
          <w:b/>
          <w:noProof/>
          <w:sz w:val="24"/>
          <w:szCs w:val="24"/>
        </w:rPr>
        <w:t>Spanish border</w:t>
      </w:r>
      <w:r>
        <w:rPr>
          <w:rFonts w:ascii="Times New Roman" w:hAnsi="Times New Roman"/>
          <w:noProof/>
          <w:sz w:val="24"/>
          <w:szCs w:val="24"/>
        </w:rPr>
        <w:t xml:space="preserve"> of Aldeadavila was completed in the autumn of 2011.</w:t>
      </w:r>
    </w:p>
    <w:p w:rsidR="00256B7C" w:rsidRDefault="00256B7C">
      <w:pPr>
        <w:rPr>
          <w:rFonts w:ascii="Times New Roman" w:hAnsi="Times New Roman"/>
          <w:noProof/>
          <w:sz w:val="24"/>
          <w:szCs w:val="24"/>
        </w:rPr>
      </w:pPr>
    </w:p>
    <w:p w:rsidR="00256B7C" w:rsidRDefault="00256B7C">
      <w:pPr>
        <w:rPr>
          <w:rFonts w:ascii="Times New Roman" w:hAnsi="Times New Roman"/>
          <w:noProof/>
          <w:sz w:val="24"/>
          <w:szCs w:val="24"/>
        </w:rPr>
      </w:pPr>
    </w:p>
    <w:p w:rsidR="00256B7C" w:rsidRDefault="00256B7C">
      <w:pPr>
        <w:rPr>
          <w:rFonts w:ascii="Times New Roman" w:hAnsi="Times New Roman"/>
          <w:noProof/>
          <w:sz w:val="24"/>
          <w:szCs w:val="24"/>
        </w:rPr>
      </w:pPr>
    </w:p>
    <w:p w:rsidR="00256B7C" w:rsidRDefault="00256B7C">
      <w:pPr>
        <w:rPr>
          <w:rFonts w:ascii="Times New Roman" w:hAnsi="Times New Roman"/>
          <w:noProof/>
          <w:sz w:val="24"/>
          <w:szCs w:val="24"/>
        </w:rPr>
      </w:pPr>
    </w:p>
    <w:p w:rsidR="00256B7C" w:rsidRDefault="00256B7C">
      <w:pPr>
        <w:rPr>
          <w:rFonts w:ascii="Times New Roman" w:hAnsi="Times New Roman"/>
          <w:noProof/>
          <w:sz w:val="24"/>
          <w:szCs w:val="24"/>
        </w:rPr>
      </w:pPr>
    </w:p>
    <w:p w:rsidR="00256B7C" w:rsidRDefault="00256B7C">
      <w:pPr>
        <w:rPr>
          <w:rFonts w:ascii="Times New Roman" w:hAnsi="Times New Roman"/>
          <w:noProof/>
          <w:sz w:val="24"/>
          <w:szCs w:val="24"/>
        </w:rPr>
      </w:pPr>
    </w:p>
    <w:p w:rsidR="00256B7C" w:rsidRDefault="00256B7C">
      <w:pPr>
        <w:rPr>
          <w:rFonts w:ascii="Times New Roman" w:hAnsi="Times New Roman"/>
          <w:noProof/>
          <w:sz w:val="24"/>
          <w:szCs w:val="24"/>
        </w:rPr>
      </w:pPr>
    </w:p>
    <w:p w:rsidR="00256B7C" w:rsidRDefault="00744589">
      <w:pPr>
        <w:jc w:val="both"/>
        <w:rPr>
          <w:rFonts w:ascii="Times New Roman" w:hAnsi="Times New Roman"/>
          <w:noProof/>
          <w:sz w:val="24"/>
          <w:szCs w:val="24"/>
        </w:rPr>
      </w:pPr>
      <w:r>
        <w:rPr>
          <w:rFonts w:ascii="Times New Roman" w:hAnsi="Times New Roman"/>
          <w:noProof/>
          <w:sz w:val="24"/>
          <w:szCs w:val="24"/>
        </w:rPr>
        <w:tab/>
      </w:r>
    </w:p>
    <w:p w:rsidR="00256B7C" w:rsidRDefault="00744589">
      <w:pPr>
        <w:jc w:val="center"/>
        <w:rPr>
          <w:rFonts w:ascii="Times New Roman" w:hAnsi="Times New Roman"/>
          <w:b/>
          <w:noProof/>
          <w:sz w:val="24"/>
          <w:szCs w:val="24"/>
        </w:rPr>
      </w:pPr>
      <w:r>
        <w:rPr>
          <w:noProof/>
        </w:rPr>
        <w:br w:type="page"/>
      </w:r>
      <w:r>
        <w:rPr>
          <w:rFonts w:ascii="Times New Roman" w:hAnsi="Times New Roman"/>
          <w:b/>
          <w:noProof/>
          <w:sz w:val="24"/>
          <w:szCs w:val="24"/>
        </w:rPr>
        <w:lastRenderedPageBreak/>
        <w:t>ANNEX 2</w:t>
      </w:r>
    </w:p>
    <w:p w:rsidR="00256B7C" w:rsidRDefault="00744589">
      <w:pPr>
        <w:jc w:val="center"/>
        <w:rPr>
          <w:rFonts w:ascii="Times New Roman" w:hAnsi="Times New Roman"/>
          <w:b/>
          <w:noProof/>
          <w:sz w:val="24"/>
          <w:szCs w:val="24"/>
          <w:u w:val="single"/>
        </w:rPr>
      </w:pPr>
      <w:r>
        <w:rPr>
          <w:rFonts w:ascii="Times New Roman" w:hAnsi="Times New Roman"/>
          <w:b/>
          <w:noProof/>
          <w:sz w:val="24"/>
          <w:szCs w:val="24"/>
          <w:u w:val="single"/>
        </w:rPr>
        <w:t>PCI's increasing capacity in the Member States below 10%</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5666"/>
        <w:gridCol w:w="1842"/>
      </w:tblGrid>
      <w:tr w:rsidR="00256B7C">
        <w:tc>
          <w:tcPr>
            <w:tcW w:w="1807"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b/>
                <w:noProof/>
              </w:rPr>
            </w:pPr>
            <w:r>
              <w:rPr>
                <w:rFonts w:ascii="Times New Roman" w:hAnsi="Times New Roman"/>
                <w:b/>
                <w:noProof/>
              </w:rPr>
              <w:t>Priority corridor</w:t>
            </w: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b/>
                <w:noProof/>
              </w:rPr>
            </w:pPr>
            <w:r>
              <w:rPr>
                <w:rFonts w:ascii="Times New Roman" w:hAnsi="Times New Roman"/>
                <w:b/>
                <w:noProof/>
              </w:rPr>
              <w:t>Project of common Interest</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b/>
                <w:noProof/>
              </w:rPr>
            </w:pPr>
            <w:r>
              <w:rPr>
                <w:rFonts w:ascii="Times New Roman" w:hAnsi="Times New Roman"/>
                <w:b/>
                <w:noProof/>
              </w:rPr>
              <w:t>Commissioning date and stage of the project</w:t>
            </w:r>
            <w:r>
              <w:rPr>
                <w:rFonts w:ascii="Times New Roman" w:hAnsi="Times New Roman"/>
                <w:b/>
                <w:noProof/>
                <w:vertAlign w:val="superscript"/>
              </w:rPr>
              <w:footnoteReference w:id="1"/>
            </w:r>
          </w:p>
        </w:tc>
      </w:tr>
      <w:tr w:rsidR="00256B7C">
        <w:tc>
          <w:tcPr>
            <w:tcW w:w="1807" w:type="dxa"/>
            <w:vMerge w:val="restart"/>
            <w:tcBorders>
              <w:top w:val="single" w:sz="4" w:space="0" w:color="auto"/>
              <w:left w:val="single" w:sz="4" w:space="0" w:color="auto"/>
              <w:bottom w:val="single" w:sz="4" w:space="0" w:color="auto"/>
              <w:right w:val="single" w:sz="4" w:space="0" w:color="auto"/>
            </w:tcBorders>
          </w:tcPr>
          <w:p w:rsidR="00256B7C" w:rsidRDefault="00744589">
            <w:pPr>
              <w:jc w:val="both"/>
              <w:rPr>
                <w:rFonts w:ascii="Times New Roman" w:hAnsi="Times New Roman"/>
                <w:b/>
                <w:noProof/>
              </w:rPr>
            </w:pPr>
            <w:r>
              <w:rPr>
                <w:rFonts w:ascii="Times New Roman" w:hAnsi="Times New Roman"/>
                <w:b/>
                <w:noProof/>
              </w:rPr>
              <w:t xml:space="preserve">Priority </w:t>
            </w:r>
            <w:r>
              <w:rPr>
                <w:rFonts w:ascii="Times New Roman" w:hAnsi="Times New Roman"/>
                <w:b/>
                <w:noProof/>
              </w:rPr>
              <w:t>corridor Northern Seas offshore grid ("NSOG")</w:t>
            </w:r>
          </w:p>
          <w:p w:rsidR="00256B7C" w:rsidRDefault="00256B7C">
            <w:pPr>
              <w:jc w:val="both"/>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1.1.1. Interconnection between Zeebrugge (BE) and the vicinity of Richborough (UK)</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2018</w:t>
            </w:r>
          </w:p>
          <w:p w:rsidR="00256B7C" w:rsidRDefault="00744589">
            <w:pPr>
              <w:spacing w:after="0"/>
              <w:jc w:val="both"/>
              <w:rPr>
                <w:rFonts w:ascii="Times New Roman" w:hAnsi="Times New Roman"/>
                <w:noProof/>
                <w:sz w:val="18"/>
                <w:szCs w:val="18"/>
              </w:rPr>
            </w:pPr>
            <w:r>
              <w:rPr>
                <w:rFonts w:ascii="Times New Roman" w:hAnsi="Times New Roman"/>
                <w:noProof/>
              </w:rPr>
              <w:t>Permitting</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jc w:val="both"/>
              <w:rPr>
                <w:rFonts w:ascii="Times New Roman" w:hAnsi="Times New Roman"/>
                <w:noProof/>
              </w:rPr>
            </w:pPr>
            <w:r>
              <w:rPr>
                <w:rFonts w:ascii="Times New Roman" w:hAnsi="Times New Roman"/>
                <w:noProof/>
              </w:rPr>
              <w:t xml:space="preserve">1.2 PCI Belgium – two grid-ready offshore hubs connected to the onshore substation Zeebrugge (BE) with </w:t>
            </w:r>
            <w:r>
              <w:rPr>
                <w:rFonts w:ascii="Times New Roman" w:hAnsi="Times New Roman"/>
                <w:noProof/>
              </w:rPr>
              <w:t>anticipatory investments enabling future interconnections with France and/or UK</w:t>
            </w:r>
            <w:r>
              <w:rPr>
                <w:rStyle w:val="FootnoteReference"/>
                <w:rFonts w:ascii="Times New Roman" w:hAnsi="Times New Roman"/>
                <w:noProof/>
              </w:rPr>
              <w:footnoteReference w:id="2"/>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spacing w:after="240"/>
              <w:jc w:val="both"/>
              <w:rPr>
                <w:rFonts w:ascii="Times New Roman" w:hAnsi="Times New Roman"/>
                <w:noProof/>
              </w:rPr>
            </w:pPr>
            <w:r>
              <w:rPr>
                <w:rFonts w:ascii="Times New Roman" w:hAnsi="Times New Roman"/>
                <w:noProof/>
              </w:rPr>
              <w:t>2018</w:t>
            </w:r>
          </w:p>
          <w:p w:rsidR="00256B7C" w:rsidRDefault="00744589">
            <w:pPr>
              <w:spacing w:after="240"/>
              <w:jc w:val="both"/>
              <w:rPr>
                <w:rFonts w:ascii="Times New Roman" w:hAnsi="Times New Roman"/>
                <w:noProof/>
              </w:rPr>
            </w:pPr>
            <w:r>
              <w:rPr>
                <w:rFonts w:ascii="Times New Roman" w:hAnsi="Times New Roman"/>
                <w:noProof/>
              </w:rPr>
              <w:t>Permitting</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1.6 PCI France – Ireland interconnection between La Martyre (FR) and Great Island or Knockraha (IE)</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2025</w:t>
            </w:r>
          </w:p>
          <w:p w:rsidR="00256B7C" w:rsidRDefault="00744589">
            <w:pPr>
              <w:spacing w:after="0"/>
              <w:jc w:val="both"/>
              <w:rPr>
                <w:rFonts w:ascii="Times New Roman" w:hAnsi="Times New Roman"/>
                <w:noProof/>
              </w:rPr>
            </w:pPr>
            <w:r>
              <w:rPr>
                <w:rFonts w:ascii="Times New Roman" w:hAnsi="Times New Roman"/>
                <w:noProof/>
              </w:rPr>
              <w:t>Study phase</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 xml:space="preserve">1.7.1. France – United Kingdom </w:t>
            </w:r>
            <w:r>
              <w:rPr>
                <w:rFonts w:ascii="Times New Roman" w:hAnsi="Times New Roman"/>
                <w:noProof/>
              </w:rPr>
              <w:t>interconnection between Cotentin (FR) and the vicinity of Exeter (UK) [currently known as FAB project]</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2022</w:t>
            </w:r>
          </w:p>
          <w:p w:rsidR="00256B7C" w:rsidRDefault="00744589">
            <w:pPr>
              <w:spacing w:after="0"/>
              <w:jc w:val="both"/>
              <w:rPr>
                <w:rFonts w:ascii="Times New Roman" w:hAnsi="Times New Roman"/>
                <w:noProof/>
              </w:rPr>
            </w:pPr>
            <w:r>
              <w:rPr>
                <w:rFonts w:ascii="Times New Roman" w:hAnsi="Times New Roman"/>
                <w:noProof/>
              </w:rPr>
              <w:t>Study phase</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1.7.2. France - United Kingdom interconnection between Tourbe (FR) and Chilling (UK) [currently known as the IFA2 project]</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2020</w:t>
            </w:r>
          </w:p>
          <w:p w:rsidR="00256B7C" w:rsidRDefault="00744589">
            <w:pPr>
              <w:spacing w:after="0"/>
              <w:jc w:val="both"/>
              <w:rPr>
                <w:rFonts w:ascii="Times New Roman" w:hAnsi="Times New Roman"/>
                <w:noProof/>
              </w:rPr>
            </w:pPr>
            <w:r>
              <w:rPr>
                <w:rFonts w:ascii="Times New Roman" w:hAnsi="Times New Roman"/>
                <w:noProof/>
              </w:rPr>
              <w:t xml:space="preserve">Study </w:t>
            </w:r>
            <w:r>
              <w:rPr>
                <w:rFonts w:ascii="Times New Roman" w:hAnsi="Times New Roman"/>
                <w:noProof/>
              </w:rPr>
              <w:t>phase</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spacing w:after="0"/>
              <w:jc w:val="both"/>
              <w:rPr>
                <w:rFonts w:ascii="Times New Roman" w:hAnsi="Times New Roman"/>
                <w:noProof/>
              </w:rPr>
            </w:pPr>
            <w:r>
              <w:rPr>
                <w:rFonts w:ascii="Times New Roman" w:hAnsi="Times New Roman"/>
                <w:noProof/>
              </w:rPr>
              <w:t>1.7.3. France - United Kingdom interconnection between Coquelles (FR) and Folkestone (UK) [currently known as the ElecLink project]</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spacing w:after="0"/>
              <w:jc w:val="both"/>
              <w:rPr>
                <w:rFonts w:ascii="Times New Roman" w:hAnsi="Times New Roman"/>
                <w:noProof/>
              </w:rPr>
            </w:pPr>
            <w:r>
              <w:rPr>
                <w:rFonts w:ascii="Times New Roman" w:hAnsi="Times New Roman"/>
                <w:noProof/>
              </w:rPr>
              <w:t>2016</w:t>
            </w:r>
          </w:p>
          <w:p w:rsidR="00256B7C" w:rsidRDefault="00744589">
            <w:pPr>
              <w:spacing w:after="0"/>
              <w:jc w:val="both"/>
              <w:rPr>
                <w:rFonts w:ascii="Times New Roman" w:hAnsi="Times New Roman"/>
                <w:noProof/>
              </w:rPr>
            </w:pPr>
            <w:r>
              <w:rPr>
                <w:rFonts w:ascii="Times New Roman" w:hAnsi="Times New Roman"/>
                <w:noProof/>
              </w:rPr>
              <w:t>Construction mid-2015</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 xml:space="preserve">1.9.1. Ireland – United Kingdom interconnection between Co. Offaly (IE), Pembroke and </w:t>
            </w:r>
            <w:r>
              <w:rPr>
                <w:rFonts w:ascii="Times New Roman" w:hAnsi="Times New Roman"/>
                <w:noProof/>
              </w:rPr>
              <w:t>Pentir (UK)</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120"/>
              <w:jc w:val="both"/>
              <w:rPr>
                <w:rFonts w:ascii="Times New Roman" w:hAnsi="Times New Roman"/>
                <w:noProof/>
              </w:rPr>
            </w:pPr>
            <w:r>
              <w:rPr>
                <w:rFonts w:ascii="Times New Roman" w:hAnsi="Times New Roman"/>
                <w:noProof/>
              </w:rPr>
              <w:t>2019</w:t>
            </w:r>
          </w:p>
          <w:p w:rsidR="00256B7C" w:rsidRDefault="00744589">
            <w:pPr>
              <w:spacing w:after="120"/>
              <w:jc w:val="both"/>
              <w:rPr>
                <w:rFonts w:ascii="Times New Roman" w:hAnsi="Times New Roman"/>
                <w:noProof/>
              </w:rPr>
            </w:pPr>
            <w:r>
              <w:rPr>
                <w:rFonts w:ascii="Times New Roman" w:hAnsi="Times New Roman"/>
                <w:noProof/>
              </w:rPr>
              <w:t>Permitting</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spacing w:after="120"/>
              <w:jc w:val="both"/>
              <w:rPr>
                <w:rFonts w:ascii="Times New Roman" w:hAnsi="Times New Roman"/>
                <w:noProof/>
              </w:rPr>
            </w:pPr>
            <w:r>
              <w:rPr>
                <w:rFonts w:ascii="Times New Roman" w:hAnsi="Times New Roman"/>
                <w:noProof/>
              </w:rPr>
              <w:t>1.9.2. Ireland – United Kingdom interconnection between Coolkeeragh - Coleraine hubs (IE) and Hunterston station, Islay, Argyll and Location C Offshore Wind Farms (UK)</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120"/>
              <w:jc w:val="both"/>
              <w:rPr>
                <w:rFonts w:ascii="Times New Roman" w:hAnsi="Times New Roman"/>
                <w:noProof/>
              </w:rPr>
            </w:pPr>
            <w:r>
              <w:rPr>
                <w:rFonts w:ascii="Times New Roman" w:hAnsi="Times New Roman"/>
                <w:noProof/>
              </w:rPr>
              <w:t>2020</w:t>
            </w:r>
          </w:p>
          <w:p w:rsidR="00256B7C" w:rsidRDefault="00744589">
            <w:pPr>
              <w:spacing w:after="120"/>
              <w:jc w:val="both"/>
              <w:rPr>
                <w:rFonts w:ascii="Times New Roman" w:hAnsi="Times New Roman"/>
                <w:noProof/>
              </w:rPr>
            </w:pPr>
            <w:r>
              <w:rPr>
                <w:rFonts w:ascii="Times New Roman" w:hAnsi="Times New Roman"/>
                <w:noProof/>
              </w:rPr>
              <w:t>Study phase</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spacing w:after="120"/>
              <w:jc w:val="both"/>
              <w:rPr>
                <w:rFonts w:ascii="Times New Roman" w:hAnsi="Times New Roman"/>
                <w:noProof/>
              </w:rPr>
            </w:pPr>
            <w:r>
              <w:rPr>
                <w:rFonts w:ascii="Times New Roman" w:hAnsi="Times New Roman"/>
                <w:noProof/>
              </w:rPr>
              <w:t xml:space="preserve">1.9.3. Ireland – United Kingdom </w:t>
            </w:r>
            <w:r>
              <w:rPr>
                <w:rFonts w:ascii="Times New Roman" w:hAnsi="Times New Roman"/>
                <w:noProof/>
              </w:rPr>
              <w:t>interconnection between the Northern hub, Dublin and Codling Bank (IE) and Trawsfynyd and Pembroke (UK)</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120"/>
              <w:jc w:val="both"/>
              <w:rPr>
                <w:rFonts w:ascii="Times New Roman" w:hAnsi="Times New Roman"/>
                <w:noProof/>
              </w:rPr>
            </w:pPr>
            <w:r>
              <w:rPr>
                <w:rFonts w:ascii="Times New Roman" w:hAnsi="Times New Roman"/>
                <w:noProof/>
              </w:rPr>
              <w:t>2020</w:t>
            </w:r>
          </w:p>
          <w:p w:rsidR="00256B7C" w:rsidRDefault="00744589">
            <w:pPr>
              <w:spacing w:after="120"/>
              <w:jc w:val="both"/>
              <w:rPr>
                <w:rFonts w:ascii="Times New Roman" w:hAnsi="Times New Roman"/>
                <w:noProof/>
              </w:rPr>
            </w:pPr>
            <w:r>
              <w:rPr>
                <w:rFonts w:ascii="Times New Roman" w:hAnsi="Times New Roman"/>
                <w:noProof/>
              </w:rPr>
              <w:t>Study phase</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1.9.4. Ireland – United Kingdom interconnection between the Irish midlands and Pembroke (UK)</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2017-2020</w:t>
            </w:r>
          </w:p>
          <w:p w:rsidR="00256B7C" w:rsidRDefault="00744589">
            <w:pPr>
              <w:spacing w:after="0"/>
              <w:jc w:val="both"/>
              <w:rPr>
                <w:rFonts w:ascii="Times New Roman" w:hAnsi="Times New Roman"/>
                <w:noProof/>
              </w:rPr>
            </w:pPr>
            <w:r>
              <w:rPr>
                <w:rFonts w:ascii="Times New Roman" w:hAnsi="Times New Roman"/>
                <w:noProof/>
              </w:rPr>
              <w:t>Study phase</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1.9.5. Ireland –</w:t>
            </w:r>
            <w:r>
              <w:rPr>
                <w:rFonts w:ascii="Times New Roman" w:hAnsi="Times New Roman"/>
                <w:noProof/>
              </w:rPr>
              <w:t xml:space="preserve"> United Kingdom interconnection between the Irish midlands and Alverdiscott, Devon (UK)</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2017-2020</w:t>
            </w:r>
          </w:p>
          <w:p w:rsidR="00256B7C" w:rsidRDefault="00744589">
            <w:pPr>
              <w:spacing w:after="0"/>
              <w:jc w:val="both"/>
              <w:rPr>
                <w:rFonts w:ascii="Times New Roman" w:hAnsi="Times New Roman"/>
                <w:noProof/>
              </w:rPr>
            </w:pPr>
            <w:r>
              <w:rPr>
                <w:rFonts w:ascii="Times New Roman" w:hAnsi="Times New Roman"/>
                <w:noProof/>
              </w:rPr>
              <w:t>Study phase</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 xml:space="preserve">1.9.6. Ireland – United Kingdom interconnection between the </w:t>
            </w:r>
            <w:r>
              <w:rPr>
                <w:rFonts w:ascii="Times New Roman" w:hAnsi="Times New Roman"/>
                <w:noProof/>
              </w:rPr>
              <w:lastRenderedPageBreak/>
              <w:t>Irish coast and Pembroke (UK)</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lastRenderedPageBreak/>
              <w:t>2017-2020</w:t>
            </w:r>
          </w:p>
          <w:p w:rsidR="00256B7C" w:rsidRDefault="00744589">
            <w:pPr>
              <w:spacing w:after="0"/>
              <w:jc w:val="both"/>
              <w:rPr>
                <w:rFonts w:ascii="Times New Roman" w:hAnsi="Times New Roman"/>
                <w:noProof/>
              </w:rPr>
            </w:pPr>
            <w:r>
              <w:rPr>
                <w:rFonts w:ascii="Times New Roman" w:hAnsi="Times New Roman"/>
                <w:noProof/>
              </w:rPr>
              <w:lastRenderedPageBreak/>
              <w:t>Study phase</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1.10 PCI Norway – United Kingd</w:t>
            </w:r>
            <w:r>
              <w:rPr>
                <w:rFonts w:ascii="Times New Roman" w:hAnsi="Times New Roman"/>
                <w:noProof/>
              </w:rPr>
              <w:t>om interconnection</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2020</w:t>
            </w:r>
          </w:p>
          <w:p w:rsidR="00256B7C" w:rsidRDefault="00744589">
            <w:pPr>
              <w:spacing w:after="0"/>
              <w:jc w:val="both"/>
              <w:rPr>
                <w:rFonts w:ascii="Times New Roman" w:hAnsi="Times New Roman"/>
                <w:noProof/>
              </w:rPr>
            </w:pPr>
            <w:r>
              <w:rPr>
                <w:rFonts w:ascii="Times New Roman" w:hAnsi="Times New Roman"/>
                <w:noProof/>
              </w:rPr>
              <w:t>Permitting</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1.11.2. Ireland – United Kingdom interconnection between North West Ireland (IE) and Midlands (UK)</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2017</w:t>
            </w:r>
          </w:p>
          <w:p w:rsidR="00256B7C" w:rsidRDefault="00744589">
            <w:pPr>
              <w:spacing w:after="0"/>
              <w:jc w:val="both"/>
              <w:rPr>
                <w:rFonts w:ascii="Times New Roman" w:hAnsi="Times New Roman"/>
                <w:noProof/>
              </w:rPr>
            </w:pPr>
            <w:r>
              <w:rPr>
                <w:rFonts w:ascii="Times New Roman" w:hAnsi="Times New Roman"/>
                <w:noProof/>
              </w:rPr>
              <w:t>Permitting</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 xml:space="preserve">1.11.4. Ireland – United Kingdom interconnection between Glinsk, Mayo (IE) and Connah's Quai, Deeside </w:t>
            </w:r>
            <w:r>
              <w:rPr>
                <w:rFonts w:ascii="Times New Roman" w:hAnsi="Times New Roman"/>
                <w:noProof/>
              </w:rPr>
              <w:t>(UK)</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2018</w:t>
            </w:r>
          </w:p>
          <w:p w:rsidR="00256B7C" w:rsidRDefault="00744589">
            <w:pPr>
              <w:spacing w:after="0"/>
              <w:jc w:val="both"/>
              <w:rPr>
                <w:rFonts w:ascii="Times New Roman" w:hAnsi="Times New Roman"/>
                <w:noProof/>
              </w:rPr>
            </w:pPr>
            <w:r>
              <w:rPr>
                <w:rFonts w:ascii="Times New Roman" w:hAnsi="Times New Roman"/>
                <w:noProof/>
              </w:rPr>
              <w:t>Permitting</w:t>
            </w:r>
          </w:p>
        </w:tc>
      </w:tr>
      <w:tr w:rsidR="00256B7C">
        <w:tc>
          <w:tcPr>
            <w:tcW w:w="1807" w:type="dxa"/>
            <w:vMerge w:val="restart"/>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b/>
                <w:noProof/>
              </w:rPr>
              <w:t>Priority corridor North-South electricity interconnections in Western Europe ("NSI West Electricity")</w:t>
            </w: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 xml:space="preserve">2.4 PCI France - Italy interconnection between Codrongianos (IT), Lucciana (Corsica, FR)  and Suvereto (IT) [currently known as the </w:t>
            </w:r>
            <w:r>
              <w:rPr>
                <w:rFonts w:ascii="Times New Roman" w:hAnsi="Times New Roman"/>
                <w:noProof/>
              </w:rPr>
              <w:t>SA.CO.I.3 project]</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2022</w:t>
            </w:r>
          </w:p>
          <w:p w:rsidR="00256B7C" w:rsidRDefault="00744589">
            <w:pPr>
              <w:spacing w:after="0"/>
              <w:jc w:val="both"/>
              <w:rPr>
                <w:rFonts w:ascii="Times New Roman" w:hAnsi="Times New Roman"/>
                <w:noProof/>
              </w:rPr>
            </w:pPr>
            <w:r>
              <w:rPr>
                <w:rFonts w:ascii="Times New Roman" w:hAnsi="Times New Roman"/>
                <w:noProof/>
              </w:rPr>
              <w:t>Study phase</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2.5.1. Interconnection between Grande Ile (FR) and Piossasco (IT) [currently known as Savoie-Piemont project]</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2019</w:t>
            </w:r>
          </w:p>
          <w:p w:rsidR="00256B7C" w:rsidRDefault="00744589">
            <w:pPr>
              <w:spacing w:after="0"/>
              <w:jc w:val="both"/>
              <w:rPr>
                <w:rFonts w:ascii="Times New Roman" w:hAnsi="Times New Roman"/>
                <w:noProof/>
              </w:rPr>
            </w:pPr>
            <w:r>
              <w:rPr>
                <w:rFonts w:ascii="Times New Roman" w:hAnsi="Times New Roman"/>
                <w:noProof/>
              </w:rPr>
              <w:t>Permitting FR</w:t>
            </w:r>
          </w:p>
          <w:p w:rsidR="00256B7C" w:rsidRDefault="00744589">
            <w:pPr>
              <w:spacing w:after="0"/>
              <w:jc w:val="both"/>
              <w:rPr>
                <w:rFonts w:ascii="Times New Roman" w:hAnsi="Times New Roman"/>
                <w:noProof/>
              </w:rPr>
            </w:pPr>
            <w:r>
              <w:rPr>
                <w:rFonts w:ascii="Times New Roman" w:hAnsi="Times New Roman"/>
                <w:noProof/>
              </w:rPr>
              <w:t>Construction IT</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 xml:space="preserve">2.7 PCI France - Spain interconnection between Aquitaine (FR) and the </w:t>
            </w:r>
            <w:r>
              <w:rPr>
                <w:rFonts w:ascii="Times New Roman" w:hAnsi="Times New Roman"/>
                <w:noProof/>
              </w:rPr>
              <w:t>Basque country (ES)</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2020</w:t>
            </w:r>
          </w:p>
          <w:p w:rsidR="00256B7C" w:rsidRDefault="00744589">
            <w:pPr>
              <w:spacing w:after="0"/>
              <w:jc w:val="both"/>
              <w:rPr>
                <w:rFonts w:ascii="Times New Roman" w:hAnsi="Times New Roman"/>
                <w:noProof/>
              </w:rPr>
            </w:pPr>
            <w:r>
              <w:rPr>
                <w:rFonts w:ascii="Times New Roman" w:hAnsi="Times New Roman"/>
                <w:noProof/>
              </w:rPr>
              <w:t>Study phase</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jc w:val="both"/>
              <w:rPr>
                <w:rFonts w:ascii="Times New Roman" w:hAnsi="Times New Roman"/>
                <w:noProof/>
              </w:rPr>
            </w:pPr>
            <w:r>
              <w:rPr>
                <w:rFonts w:ascii="Times New Roman" w:hAnsi="Times New Roman"/>
                <w:noProof/>
              </w:rPr>
              <w:t>2.13.1. Ireland – United Kingdom interconnection between Woodland (IE) and Turleenan (UK – Northern Ireland)</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spacing w:after="0"/>
              <w:jc w:val="both"/>
              <w:rPr>
                <w:rFonts w:ascii="Times New Roman" w:hAnsi="Times New Roman"/>
                <w:noProof/>
              </w:rPr>
            </w:pPr>
            <w:r>
              <w:rPr>
                <w:rFonts w:ascii="Times New Roman" w:hAnsi="Times New Roman"/>
                <w:noProof/>
              </w:rPr>
              <w:t>2017</w:t>
            </w:r>
          </w:p>
          <w:p w:rsidR="00256B7C" w:rsidRDefault="00744589">
            <w:pPr>
              <w:spacing w:after="0"/>
              <w:jc w:val="both"/>
              <w:rPr>
                <w:rFonts w:ascii="Times New Roman" w:hAnsi="Times New Roman"/>
                <w:noProof/>
              </w:rPr>
            </w:pPr>
            <w:r>
              <w:rPr>
                <w:rFonts w:ascii="Times New Roman" w:hAnsi="Times New Roman"/>
                <w:noProof/>
              </w:rPr>
              <w:t>Permitting</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 xml:space="preserve">2.13.2. Ireland – United Kingdom Interconnection between Srananagh (IE) and Turleenan (UK </w:t>
            </w:r>
            <w:r>
              <w:rPr>
                <w:rFonts w:ascii="Times New Roman" w:hAnsi="Times New Roman"/>
                <w:noProof/>
              </w:rPr>
              <w:t>– Northern Ireland)</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2020-2025</w:t>
            </w:r>
          </w:p>
          <w:p w:rsidR="00256B7C" w:rsidRDefault="00744589">
            <w:pPr>
              <w:spacing w:after="0"/>
              <w:jc w:val="both"/>
              <w:rPr>
                <w:rFonts w:ascii="Times New Roman" w:hAnsi="Times New Roman"/>
                <w:noProof/>
              </w:rPr>
            </w:pPr>
            <w:r>
              <w:rPr>
                <w:rFonts w:ascii="Times New Roman" w:hAnsi="Times New Roman"/>
                <w:noProof/>
              </w:rPr>
              <w:t>Study phase</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2.14 PCI Italy – Switzerland interconnection between Thusis/Sils (CH) and Verderio Inferiore (IT)</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2018</w:t>
            </w:r>
          </w:p>
          <w:p w:rsidR="00256B7C" w:rsidRDefault="00744589">
            <w:pPr>
              <w:spacing w:after="0"/>
              <w:jc w:val="both"/>
              <w:rPr>
                <w:rFonts w:ascii="Times New Roman" w:hAnsi="Times New Roman"/>
                <w:noProof/>
              </w:rPr>
            </w:pPr>
            <w:r>
              <w:rPr>
                <w:rFonts w:ascii="Times New Roman" w:hAnsi="Times New Roman"/>
                <w:noProof/>
              </w:rPr>
              <w:t>Permitting</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2.15.1. Interconnection between Airolo (CH) and Baggio (IT)</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2022</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jc w:val="both"/>
              <w:rPr>
                <w:rFonts w:ascii="Times New Roman" w:hAnsi="Times New Roman"/>
                <w:noProof/>
              </w:rPr>
            </w:pPr>
            <w:r>
              <w:rPr>
                <w:rFonts w:ascii="Times New Roman" w:hAnsi="Times New Roman"/>
                <w:noProof/>
              </w:rPr>
              <w:t xml:space="preserve">2.17 PCI Portugal - Spain </w:t>
            </w:r>
            <w:r>
              <w:rPr>
                <w:rFonts w:ascii="Times New Roman" w:hAnsi="Times New Roman"/>
                <w:noProof/>
              </w:rPr>
              <w:t>interconnection between Vila Fria - Vila do Conde – Recarei (PT) and Beariz - Fontefría (ES)</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jc w:val="both"/>
              <w:rPr>
                <w:rFonts w:ascii="Times New Roman" w:hAnsi="Times New Roman"/>
                <w:noProof/>
              </w:rPr>
            </w:pPr>
            <w:r>
              <w:rPr>
                <w:rFonts w:ascii="Times New Roman" w:hAnsi="Times New Roman"/>
                <w:noProof/>
              </w:rPr>
              <w:t>2016</w:t>
            </w:r>
          </w:p>
          <w:p w:rsidR="00256B7C" w:rsidRDefault="00744589">
            <w:pPr>
              <w:spacing w:after="0"/>
              <w:jc w:val="both"/>
              <w:rPr>
                <w:rFonts w:ascii="Times New Roman" w:hAnsi="Times New Roman"/>
                <w:noProof/>
              </w:rPr>
            </w:pPr>
            <w:r>
              <w:rPr>
                <w:rFonts w:ascii="Times New Roman" w:hAnsi="Times New Roman"/>
                <w:noProof/>
              </w:rPr>
              <w:t>Permitting</w:t>
            </w:r>
          </w:p>
        </w:tc>
      </w:tr>
      <w:tr w:rsidR="00256B7C">
        <w:tc>
          <w:tcPr>
            <w:tcW w:w="1807" w:type="dxa"/>
            <w:vMerge w:val="restart"/>
            <w:tcBorders>
              <w:top w:val="single" w:sz="4" w:space="0" w:color="auto"/>
              <w:left w:val="single" w:sz="4" w:space="0" w:color="auto"/>
              <w:bottom w:val="single" w:sz="4" w:space="0" w:color="auto"/>
              <w:right w:val="single" w:sz="4" w:space="0" w:color="auto"/>
            </w:tcBorders>
          </w:tcPr>
          <w:p w:rsidR="00256B7C" w:rsidRDefault="00744589">
            <w:pPr>
              <w:jc w:val="both"/>
              <w:rPr>
                <w:rFonts w:ascii="Times New Roman" w:hAnsi="Times New Roman"/>
                <w:b/>
                <w:noProof/>
              </w:rPr>
            </w:pPr>
            <w:r>
              <w:rPr>
                <w:rFonts w:ascii="Times New Roman" w:hAnsi="Times New Roman"/>
                <w:b/>
                <w:noProof/>
              </w:rPr>
              <w:t>Priority corridor North-South electricity interconnections in Central Eastern and South Eastern Europe ("NSI East Electricity")</w:t>
            </w:r>
          </w:p>
          <w:p w:rsidR="00256B7C" w:rsidRDefault="00256B7C">
            <w:pPr>
              <w:jc w:val="both"/>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 xml:space="preserve">3.2.1. </w:t>
            </w:r>
            <w:r>
              <w:rPr>
                <w:rFonts w:ascii="Times New Roman" w:hAnsi="Times New Roman"/>
                <w:noProof/>
              </w:rPr>
              <w:t>Interconnection between Lienz (AT) and Veneto region (IT)</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2022</w:t>
            </w:r>
          </w:p>
          <w:p w:rsidR="00256B7C" w:rsidRDefault="00744589">
            <w:pPr>
              <w:spacing w:after="0"/>
              <w:jc w:val="both"/>
              <w:rPr>
                <w:rFonts w:ascii="Times New Roman" w:hAnsi="Times New Roman"/>
                <w:noProof/>
              </w:rPr>
            </w:pPr>
            <w:r>
              <w:rPr>
                <w:rFonts w:ascii="Times New Roman" w:hAnsi="Times New Roman"/>
                <w:noProof/>
              </w:rPr>
              <w:t>Study phase</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3.3 PCI Austria - Italy interconnection between Nauders (AT) and Milan region (IT)</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2018</w:t>
            </w:r>
          </w:p>
          <w:p w:rsidR="00256B7C" w:rsidRDefault="00744589">
            <w:pPr>
              <w:spacing w:after="0"/>
              <w:jc w:val="both"/>
              <w:rPr>
                <w:rFonts w:ascii="Times New Roman" w:hAnsi="Times New Roman"/>
                <w:noProof/>
              </w:rPr>
            </w:pPr>
            <w:r>
              <w:rPr>
                <w:rFonts w:ascii="Times New Roman" w:hAnsi="Times New Roman"/>
                <w:noProof/>
              </w:rPr>
              <w:t>Study phase</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jc w:val="both"/>
              <w:rPr>
                <w:rFonts w:ascii="Times New Roman" w:hAnsi="Times New Roman"/>
                <w:noProof/>
              </w:rPr>
            </w:pPr>
            <w:r>
              <w:rPr>
                <w:rFonts w:ascii="Times New Roman" w:hAnsi="Times New Roman"/>
                <w:noProof/>
              </w:rPr>
              <w:t xml:space="preserve">3.4 PCI Austria – Italy interconnection between Wurmlach (AT) and Somplago </w:t>
            </w:r>
            <w:r>
              <w:rPr>
                <w:rFonts w:ascii="Times New Roman" w:hAnsi="Times New Roman"/>
                <w:noProof/>
              </w:rPr>
              <w:t>(IT)</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spacing w:after="0"/>
              <w:jc w:val="both"/>
              <w:rPr>
                <w:rFonts w:ascii="Times New Roman" w:hAnsi="Times New Roman"/>
                <w:noProof/>
              </w:rPr>
            </w:pPr>
            <w:r>
              <w:rPr>
                <w:rFonts w:ascii="Times New Roman" w:hAnsi="Times New Roman"/>
                <w:noProof/>
              </w:rPr>
              <w:t>2017</w:t>
            </w:r>
          </w:p>
          <w:p w:rsidR="00256B7C" w:rsidRDefault="00744589">
            <w:pPr>
              <w:spacing w:after="0"/>
              <w:jc w:val="both"/>
              <w:rPr>
                <w:rFonts w:ascii="Times New Roman" w:hAnsi="Times New Roman"/>
                <w:noProof/>
              </w:rPr>
            </w:pPr>
            <w:r>
              <w:rPr>
                <w:rFonts w:ascii="Times New Roman" w:hAnsi="Times New Roman"/>
                <w:noProof/>
              </w:rPr>
              <w:t>Permitting</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3.10.1. Interconnection between Hadera (IL) and Vasilikos (CY)</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2018</w:t>
            </w:r>
          </w:p>
          <w:p w:rsidR="00256B7C" w:rsidRDefault="00744589">
            <w:pPr>
              <w:spacing w:after="0"/>
              <w:jc w:val="both"/>
              <w:rPr>
                <w:rFonts w:ascii="Times New Roman" w:hAnsi="Times New Roman"/>
                <w:noProof/>
              </w:rPr>
            </w:pPr>
            <w:r>
              <w:rPr>
                <w:rFonts w:ascii="Times New Roman" w:hAnsi="Times New Roman"/>
                <w:noProof/>
              </w:rPr>
              <w:t>Study phase</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 xml:space="preserve"> 3.10.2. Interconnection between Vasilikos (CY) and Korakia, Crete (EL)</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2022</w:t>
            </w:r>
          </w:p>
          <w:p w:rsidR="00256B7C" w:rsidRDefault="00744589">
            <w:pPr>
              <w:spacing w:after="0"/>
              <w:jc w:val="both"/>
              <w:rPr>
                <w:rFonts w:ascii="Times New Roman" w:hAnsi="Times New Roman"/>
                <w:noProof/>
              </w:rPr>
            </w:pPr>
            <w:r>
              <w:rPr>
                <w:rFonts w:ascii="Times New Roman" w:hAnsi="Times New Roman"/>
                <w:noProof/>
              </w:rPr>
              <w:t>Study phase</w:t>
            </w:r>
          </w:p>
        </w:tc>
      </w:tr>
    </w:tbl>
    <w:p w:rsidR="00256B7C" w:rsidRDefault="00744589">
      <w:pPr>
        <w:rPr>
          <w:noProof/>
        </w:rPr>
      </w:pPr>
      <w:r>
        <w:rPr>
          <w:noProof/>
        </w:rPr>
        <w:br w:type="page"/>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5666"/>
        <w:gridCol w:w="1842"/>
      </w:tblGrid>
      <w:tr w:rsidR="00256B7C">
        <w:tc>
          <w:tcPr>
            <w:tcW w:w="1807" w:type="dxa"/>
            <w:vMerge w:val="restart"/>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lang w:val="nl-NL"/>
              </w:rPr>
            </w:pPr>
            <w:r>
              <w:rPr>
                <w:rFonts w:ascii="Times New Roman" w:hAnsi="Times New Roman"/>
                <w:noProof/>
                <w:lang w:val="nl-NL"/>
              </w:rPr>
              <w:t xml:space="preserve">3.14.1. Interconnection between Eisenhüttenstadt (DE) and </w:t>
            </w:r>
            <w:r>
              <w:rPr>
                <w:rFonts w:ascii="Times New Roman" w:hAnsi="Times New Roman"/>
                <w:noProof/>
                <w:lang w:val="nl-NL"/>
              </w:rPr>
              <w:t>Plewiska (PL)</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lang w:val="nl-NL"/>
              </w:rPr>
            </w:pPr>
            <w:r>
              <w:rPr>
                <w:rFonts w:ascii="Times New Roman" w:hAnsi="Times New Roman"/>
                <w:noProof/>
                <w:lang w:val="nl-NL"/>
              </w:rPr>
              <w:t>2022</w:t>
            </w:r>
          </w:p>
          <w:p w:rsidR="00256B7C" w:rsidRDefault="00744589">
            <w:pPr>
              <w:spacing w:after="0"/>
              <w:jc w:val="both"/>
              <w:rPr>
                <w:rFonts w:ascii="Times New Roman" w:hAnsi="Times New Roman"/>
                <w:noProof/>
                <w:lang w:val="nl-NL"/>
              </w:rPr>
            </w:pPr>
            <w:r>
              <w:rPr>
                <w:rFonts w:ascii="Times New Roman" w:hAnsi="Times New Roman"/>
                <w:noProof/>
                <w:lang w:val="nl-NL"/>
              </w:rPr>
              <w:t>Study phase</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jc w:val="both"/>
              <w:rPr>
                <w:rFonts w:ascii="Times New Roman" w:hAnsi="Times New Roman"/>
                <w:noProof/>
                <w:lang w:val="nl-NL"/>
              </w:rPr>
            </w:pPr>
            <w:r>
              <w:rPr>
                <w:rFonts w:ascii="Times New Roman" w:hAnsi="Times New Roman"/>
                <w:noProof/>
                <w:lang w:val="nl-NL"/>
              </w:rPr>
              <w:t>3.15.1. Interconnection between Vierraden (DE) and Krajnik (PL)</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spacing w:after="0"/>
              <w:jc w:val="both"/>
              <w:rPr>
                <w:rFonts w:ascii="Times New Roman" w:hAnsi="Times New Roman"/>
                <w:noProof/>
              </w:rPr>
            </w:pPr>
            <w:r>
              <w:rPr>
                <w:rFonts w:ascii="Times New Roman" w:hAnsi="Times New Roman"/>
                <w:noProof/>
              </w:rPr>
              <w:t>2017</w:t>
            </w:r>
          </w:p>
          <w:p w:rsidR="00256B7C" w:rsidRDefault="00744589">
            <w:pPr>
              <w:spacing w:after="0"/>
              <w:jc w:val="both"/>
              <w:rPr>
                <w:rFonts w:ascii="Times New Roman" w:hAnsi="Times New Roman"/>
                <w:noProof/>
              </w:rPr>
            </w:pPr>
            <w:r>
              <w:rPr>
                <w:rFonts w:ascii="Times New Roman" w:hAnsi="Times New Roman"/>
                <w:noProof/>
              </w:rPr>
              <w:t>Permitting</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jc w:val="both"/>
              <w:rPr>
                <w:rFonts w:ascii="Times New Roman" w:hAnsi="Times New Roman"/>
                <w:noProof/>
              </w:rPr>
            </w:pPr>
            <w:r>
              <w:rPr>
                <w:rFonts w:ascii="Times New Roman" w:hAnsi="Times New Roman"/>
                <w:noProof/>
              </w:rPr>
              <w:t>3.19.1. Interconnection between Villanova (IT) and Lastva (ME)</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spacing w:after="0"/>
              <w:jc w:val="both"/>
              <w:rPr>
                <w:rFonts w:ascii="Times New Roman" w:hAnsi="Times New Roman"/>
                <w:noProof/>
              </w:rPr>
            </w:pPr>
            <w:r>
              <w:rPr>
                <w:rFonts w:ascii="Times New Roman" w:hAnsi="Times New Roman"/>
                <w:noProof/>
              </w:rPr>
              <w:t>2017</w:t>
            </w:r>
          </w:p>
          <w:p w:rsidR="00256B7C" w:rsidRDefault="00744589">
            <w:pPr>
              <w:spacing w:after="0"/>
              <w:jc w:val="both"/>
              <w:rPr>
                <w:rFonts w:ascii="Times New Roman" w:hAnsi="Times New Roman"/>
                <w:noProof/>
              </w:rPr>
            </w:pPr>
            <w:r>
              <w:rPr>
                <w:rFonts w:ascii="Times New Roman" w:hAnsi="Times New Roman"/>
                <w:noProof/>
              </w:rPr>
              <w:t>Construction</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 xml:space="preserve">3.20.1. Interconnection between West Udine (IT) and </w:t>
            </w:r>
            <w:r>
              <w:rPr>
                <w:rFonts w:ascii="Times New Roman" w:hAnsi="Times New Roman"/>
                <w:noProof/>
              </w:rPr>
              <w:t>Okroglo (SI)</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2021</w:t>
            </w:r>
          </w:p>
          <w:p w:rsidR="00256B7C" w:rsidRDefault="00744589">
            <w:pPr>
              <w:spacing w:after="0"/>
              <w:jc w:val="both"/>
              <w:rPr>
                <w:rFonts w:ascii="Times New Roman" w:hAnsi="Times New Roman"/>
                <w:noProof/>
              </w:rPr>
            </w:pPr>
            <w:r>
              <w:rPr>
                <w:rFonts w:ascii="Times New Roman" w:hAnsi="Times New Roman"/>
                <w:noProof/>
              </w:rPr>
              <w:t>Study phase</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3.21 PCI Italy – Slovenia interconnection between Salgareda (IT) and Divača - Bericevo region (SI)</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2022</w:t>
            </w:r>
          </w:p>
          <w:p w:rsidR="00256B7C" w:rsidRDefault="00744589">
            <w:pPr>
              <w:spacing w:after="0"/>
              <w:jc w:val="both"/>
              <w:rPr>
                <w:rFonts w:ascii="Times New Roman" w:hAnsi="Times New Roman"/>
                <w:noProof/>
              </w:rPr>
            </w:pPr>
            <w:r>
              <w:rPr>
                <w:rFonts w:ascii="Times New Roman" w:hAnsi="Times New Roman"/>
                <w:noProof/>
              </w:rPr>
              <w:t>Permitting</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jc w:val="both"/>
              <w:rPr>
                <w:rFonts w:ascii="Times New Roman" w:hAnsi="Times New Roman"/>
                <w:noProof/>
              </w:rPr>
            </w:pPr>
            <w:r>
              <w:rPr>
                <w:rFonts w:ascii="Times New Roman" w:hAnsi="Times New Roman"/>
                <w:noProof/>
              </w:rPr>
              <w:t>3.22.1. Interconnection between Resita (RO) and Pancevo (RS)</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spacing w:after="0"/>
              <w:jc w:val="both"/>
              <w:rPr>
                <w:rFonts w:ascii="Times New Roman" w:hAnsi="Times New Roman"/>
                <w:noProof/>
              </w:rPr>
            </w:pPr>
            <w:r>
              <w:rPr>
                <w:rFonts w:ascii="Times New Roman" w:hAnsi="Times New Roman"/>
                <w:noProof/>
              </w:rPr>
              <w:t>2017</w:t>
            </w:r>
          </w:p>
          <w:p w:rsidR="00256B7C" w:rsidRDefault="00744589">
            <w:pPr>
              <w:spacing w:after="0"/>
              <w:jc w:val="both"/>
              <w:rPr>
                <w:rFonts w:ascii="Times New Roman" w:hAnsi="Times New Roman"/>
                <w:noProof/>
              </w:rPr>
            </w:pPr>
            <w:r>
              <w:rPr>
                <w:rFonts w:ascii="Times New Roman" w:hAnsi="Times New Roman"/>
                <w:noProof/>
              </w:rPr>
              <w:t>Permitting</w:t>
            </w:r>
          </w:p>
        </w:tc>
      </w:tr>
      <w:tr w:rsidR="00256B7C">
        <w:tc>
          <w:tcPr>
            <w:tcW w:w="1807" w:type="dxa"/>
            <w:vMerge w:val="restart"/>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b/>
                <w:noProof/>
              </w:rPr>
              <w:t xml:space="preserve">Baltic Energy Market </w:t>
            </w:r>
            <w:r>
              <w:rPr>
                <w:rFonts w:ascii="Times New Roman" w:hAnsi="Times New Roman"/>
                <w:b/>
                <w:noProof/>
              </w:rPr>
              <w:t>Interconnection Plan ("BEMIP Electricity")</w:t>
            </w: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4.2.1. Interconnection between Kilingi-Nõmme (EE) and Riga CHP2 substation (LV)</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2020</w:t>
            </w:r>
          </w:p>
          <w:p w:rsidR="00256B7C" w:rsidRDefault="00744589">
            <w:pPr>
              <w:spacing w:after="0"/>
              <w:jc w:val="both"/>
              <w:rPr>
                <w:rFonts w:ascii="Times New Roman" w:hAnsi="Times New Roman"/>
                <w:noProof/>
              </w:rPr>
            </w:pPr>
            <w:r>
              <w:rPr>
                <w:rFonts w:ascii="Times New Roman" w:hAnsi="Times New Roman"/>
                <w:noProof/>
              </w:rPr>
              <w:t>Permitting</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256B7C" w:rsidRDefault="00744589">
            <w:pPr>
              <w:jc w:val="both"/>
              <w:rPr>
                <w:rFonts w:ascii="Times New Roman" w:hAnsi="Times New Roman"/>
                <w:noProof/>
              </w:rPr>
            </w:pPr>
            <w:r>
              <w:rPr>
                <w:rFonts w:ascii="Times New Roman" w:hAnsi="Times New Roman"/>
                <w:noProof/>
              </w:rPr>
              <w:t>4.3 PCI Estonia / Latvia / Lithuania synchronous interconnection with the Continental European networks</w:t>
            </w:r>
          </w:p>
        </w:tc>
        <w:tc>
          <w:tcPr>
            <w:tcW w:w="1842" w:type="dxa"/>
            <w:tcBorders>
              <w:top w:val="single" w:sz="4" w:space="0" w:color="auto"/>
              <w:left w:val="single" w:sz="4" w:space="0" w:color="auto"/>
              <w:bottom w:val="single" w:sz="4" w:space="0" w:color="auto"/>
              <w:right w:val="single" w:sz="4" w:space="0" w:color="auto"/>
            </w:tcBorders>
            <w:hideMark/>
          </w:tcPr>
          <w:p w:rsidR="00256B7C" w:rsidRDefault="00744589">
            <w:pPr>
              <w:spacing w:after="0"/>
              <w:jc w:val="both"/>
              <w:rPr>
                <w:rFonts w:ascii="Times New Roman" w:hAnsi="Times New Roman"/>
                <w:noProof/>
              </w:rPr>
            </w:pPr>
            <w:r>
              <w:rPr>
                <w:rFonts w:ascii="Times New Roman" w:hAnsi="Times New Roman"/>
                <w:noProof/>
              </w:rPr>
              <w:t>2023-2025</w:t>
            </w:r>
          </w:p>
          <w:p w:rsidR="00256B7C" w:rsidRDefault="00744589">
            <w:pPr>
              <w:spacing w:after="0"/>
              <w:jc w:val="both"/>
              <w:rPr>
                <w:rFonts w:ascii="Times New Roman" w:hAnsi="Times New Roman"/>
                <w:noProof/>
              </w:rPr>
            </w:pPr>
            <w:r>
              <w:rPr>
                <w:rFonts w:ascii="Times New Roman" w:hAnsi="Times New Roman"/>
                <w:noProof/>
              </w:rPr>
              <w:t>Study phase</w:t>
            </w:r>
          </w:p>
        </w:tc>
      </w:tr>
      <w:tr w:rsidR="00256B7C">
        <w:tc>
          <w:tcPr>
            <w:tcW w:w="1807" w:type="dxa"/>
            <w:vMerge/>
            <w:tcBorders>
              <w:top w:val="single" w:sz="4" w:space="0" w:color="auto"/>
              <w:left w:val="single" w:sz="4" w:space="0" w:color="auto"/>
              <w:bottom w:val="single" w:sz="4" w:space="0" w:color="auto"/>
              <w:right w:val="single" w:sz="4" w:space="0" w:color="auto"/>
            </w:tcBorders>
            <w:vAlign w:val="center"/>
            <w:hideMark/>
          </w:tcPr>
          <w:p w:rsidR="00256B7C" w:rsidRDefault="00256B7C">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jc w:val="both"/>
              <w:rPr>
                <w:rFonts w:ascii="Times New Roman" w:hAnsi="Times New Roman"/>
                <w:noProof/>
              </w:rPr>
            </w:pPr>
            <w:r>
              <w:rPr>
                <w:rFonts w:ascii="Times New Roman" w:hAnsi="Times New Roman"/>
                <w:noProof/>
              </w:rPr>
              <w:t>4.5.1. LT part of interconnection between Alytus (LT) and LT/PL border</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256B7C" w:rsidRDefault="00744589">
            <w:pPr>
              <w:spacing w:after="0"/>
              <w:jc w:val="both"/>
              <w:rPr>
                <w:rFonts w:ascii="Times New Roman" w:hAnsi="Times New Roman"/>
                <w:noProof/>
              </w:rPr>
            </w:pPr>
            <w:r>
              <w:rPr>
                <w:rFonts w:ascii="Times New Roman" w:hAnsi="Times New Roman"/>
                <w:noProof/>
              </w:rPr>
              <w:t>2015</w:t>
            </w:r>
          </w:p>
          <w:p w:rsidR="00256B7C" w:rsidRDefault="00744589">
            <w:pPr>
              <w:spacing w:after="0"/>
              <w:jc w:val="both"/>
              <w:rPr>
                <w:rFonts w:ascii="Times New Roman" w:hAnsi="Times New Roman"/>
                <w:noProof/>
              </w:rPr>
            </w:pPr>
            <w:r>
              <w:rPr>
                <w:rFonts w:ascii="Times New Roman" w:hAnsi="Times New Roman"/>
                <w:noProof/>
              </w:rPr>
              <w:t>Construction</w:t>
            </w:r>
          </w:p>
        </w:tc>
      </w:tr>
    </w:tbl>
    <w:p w:rsidR="00256B7C" w:rsidRDefault="00256B7C">
      <w:pPr>
        <w:jc w:val="both"/>
        <w:rPr>
          <w:rFonts w:ascii="Times New Roman" w:hAnsi="Times New Roman"/>
          <w:b/>
          <w:noProof/>
          <w:sz w:val="24"/>
          <w:szCs w:val="24"/>
        </w:rPr>
      </w:pPr>
    </w:p>
    <w:sectPr w:rsidR="00256B7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B7C" w:rsidRDefault="00744589">
      <w:pPr>
        <w:spacing w:after="0" w:line="240" w:lineRule="auto"/>
      </w:pPr>
      <w:r>
        <w:separator/>
      </w:r>
    </w:p>
  </w:endnote>
  <w:endnote w:type="continuationSeparator" w:id="0">
    <w:p w:rsidR="00256B7C" w:rsidRDefault="0074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89" w:rsidRPr="00744589" w:rsidRDefault="00744589" w:rsidP="00744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89" w:rsidRPr="00744589" w:rsidRDefault="00744589" w:rsidP="00744589">
    <w:pPr>
      <w:pStyle w:val="FooterCoverPage"/>
      <w:rPr>
        <w:rFonts w:ascii="Arial" w:hAnsi="Arial" w:cs="Arial"/>
        <w:b/>
        <w:sz w:val="48"/>
      </w:rPr>
    </w:pPr>
    <w:r w:rsidRPr="00744589">
      <w:rPr>
        <w:rFonts w:ascii="Arial" w:hAnsi="Arial" w:cs="Arial"/>
        <w:b/>
        <w:sz w:val="48"/>
      </w:rPr>
      <w:t>EN</w:t>
    </w:r>
    <w:r w:rsidRPr="00744589">
      <w:rPr>
        <w:rFonts w:ascii="Arial" w:hAnsi="Arial" w:cs="Arial"/>
        <w:b/>
        <w:sz w:val="48"/>
      </w:rPr>
      <w:tab/>
    </w:r>
    <w:r w:rsidRPr="00744589">
      <w:rPr>
        <w:rFonts w:ascii="Arial" w:hAnsi="Arial" w:cs="Arial"/>
        <w:b/>
        <w:sz w:val="48"/>
      </w:rPr>
      <w:tab/>
    </w:r>
    <w:fldSimple w:instr=" DOCVARIABLE &quot;LW_Confidence&quot; \* MERGEFORMAT ">
      <w:r>
        <w:t xml:space="preserve"> </w:t>
      </w:r>
    </w:fldSimple>
    <w:r w:rsidRPr="00744589">
      <w:tab/>
    </w:r>
    <w:proofErr w:type="spellStart"/>
    <w:r w:rsidRPr="00744589">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89" w:rsidRPr="00744589" w:rsidRDefault="00744589" w:rsidP="0074458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7C" w:rsidRDefault="00256B7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790608"/>
      <w:docPartObj>
        <w:docPartGallery w:val="Page Numbers (Bottom of Page)"/>
        <w:docPartUnique/>
      </w:docPartObj>
    </w:sdtPr>
    <w:sdtEndPr>
      <w:rPr>
        <w:noProof/>
      </w:rPr>
    </w:sdtEndPr>
    <w:sdtContent>
      <w:p w:rsidR="00256B7C" w:rsidRDefault="0074458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256B7C" w:rsidRDefault="00256B7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7C" w:rsidRDefault="00256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B7C" w:rsidRDefault="00744589">
      <w:pPr>
        <w:spacing w:after="0" w:line="240" w:lineRule="auto"/>
      </w:pPr>
      <w:r>
        <w:separator/>
      </w:r>
    </w:p>
  </w:footnote>
  <w:footnote w:type="continuationSeparator" w:id="0">
    <w:p w:rsidR="00256B7C" w:rsidRDefault="00744589">
      <w:pPr>
        <w:spacing w:after="0" w:line="240" w:lineRule="auto"/>
      </w:pPr>
      <w:r>
        <w:continuationSeparator/>
      </w:r>
    </w:p>
  </w:footnote>
  <w:footnote w:id="1">
    <w:p w:rsidR="00256B7C" w:rsidRDefault="0074458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According to ENTSO-E's TYNDP 2014 (if applicable) or according to information provided by project promoters to the Commission in 2014;</w:t>
      </w:r>
    </w:p>
  </w:footnote>
  <w:footnote w:id="2">
    <w:p w:rsidR="00256B7C" w:rsidRDefault="00744589">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Projects in blue concern the interconnection projects which are expected to be completed by 2017/18 or where a substan</w:t>
      </w:r>
      <w:r>
        <w:rPr>
          <w:rFonts w:ascii="Times New Roman" w:hAnsi="Times New Roman"/>
        </w:rPr>
        <w:t xml:space="preserve">tial amount of work will have been done by 2017; they could apply for support under the EFSI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89" w:rsidRPr="00744589" w:rsidRDefault="00744589" w:rsidP="00744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89" w:rsidRPr="00744589" w:rsidRDefault="00744589" w:rsidP="0074458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589" w:rsidRPr="00744589" w:rsidRDefault="00744589" w:rsidP="0074458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7C" w:rsidRDefault="00256B7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7C" w:rsidRDefault="00256B7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7C" w:rsidRDefault="00256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1BC9"/>
    <w:multiLevelType w:val="hybridMultilevel"/>
    <w:tmpl w:val="3312C5E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2"/>
    <w:docVar w:name="LW_CONFIDENCE" w:val=" "/>
    <w:docVar w:name="LW_CONST_RESTREINT_UE" w:val="RESTREINT UE"/>
    <w:docVar w:name="LW_CORRIGENDUM" w:val="CORRIGENDUM_x000b_This document corrects annex 1 of document COM(2015)82 final of  25.02.2015_x000b_Concerns the EN, FR and DE versions._x000b_Correction of the geographical names on page 2"/>
    <w:docVar w:name="LW_COVERPAGE_GUID" w:val="09D1F0668F6E43B6BCD47F661E02AC4B"/>
    <w:docVar w:name="LW_CROSSREFERENCE" w:val="&lt;UNUSED&gt;"/>
    <w:docVar w:name="LW_DocType" w:val="NORMAL"/>
    <w:docVar w:name="LW_EMISSION" w:val="4.3.2015"/>
    <w:docVar w:name="LW_EMISSION_ISODATE" w:val="2015-03-04"/>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Achieving the 10% electricity interconnection target _x000b__x000b_Making Europe's electricity grid fit for 2020"/>
    <w:docVar w:name="LW_PART_NBR" w:val="&lt;UNUSED&gt;"/>
    <w:docVar w:name="LW_PART_NBR_TOTAL" w:val="&lt;UNUSED&gt;"/>
    <w:docVar w:name="LW_REF.INST.NEW" w:val="COM"/>
    <w:docVar w:name="LW_REF.INST.NEW_ADOPTED" w:val="final/2"/>
    <w:docVar w:name="LW_REF.INST.NEW_TEXT" w:val="(2015) 82"/>
    <w:docVar w:name="LW_REF.INTERNE" w:val="&lt;UNUSED&gt;"/>
    <w:docVar w:name="LW_SUPERTITRE" w:val="&lt;UNUSED&gt;"/>
    <w:docVar w:name="LW_TITRE.OBJ.CP" w:val="&lt;UNUSED&gt;"/>
    <w:docVar w:name="LW_TYPE.DOC.CP" w:val="ANNEXES_x000b_"/>
    <w:docVar w:name="LW_TYPEACTEPRINCIPAL.CP" w:val="COMMUNICATION FROM THE COMMISSION TO THE EUROPEAN PARLIAMENT AND THE COUNCIL"/>
  </w:docVars>
  <w:rsids>
    <w:rsidRoot w:val="00256B7C"/>
    <w:rsid w:val="00046EF9"/>
    <w:rsid w:val="00256B7C"/>
    <w:rsid w:val="00744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Footnote Text Char1 Char Char,Footnote Text Char Char Char Char,Footnote Text Char2 Char Char Char Char,Footnote Text Char1 Char Char Char Char Char,Footnote Text Char Char Char Char Char Char Char,Plonk Char,Footnote text PFR Char"/>
    <w:link w:val="FootnoteText"/>
    <w:locked/>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Tekst przypis"/>
    <w:basedOn w:val="Normal"/>
    <w:link w:val="FootnoteTextChar1"/>
    <w:unhideWhenUsed/>
    <w:rPr>
      <w:rFonts w:asciiTheme="minorHAnsi" w:eastAsiaTheme="minorHAnsi" w:hAnsiTheme="minorHAnsi" w:cstheme="minorBidi"/>
    </w:rPr>
  </w:style>
  <w:style w:type="character" w:customStyle="1" w:styleId="FootnoteTextChar">
    <w:name w:val="Footnote Text Char"/>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Odwołanie przypisu"/>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heme="minorHAnsi" w:hAnsi="Times New Roman"/>
      <w:b/>
      <w:caps/>
      <w:sz w:val="24"/>
    </w:rPr>
  </w:style>
  <w:style w:type="paragraph" w:customStyle="1" w:styleId="Nomdelinstitution">
    <w:name w:val="Nom de l'institution"/>
    <w:basedOn w:val="Normal"/>
    <w:next w:val="Normal"/>
    <w:pPr>
      <w:spacing w:after="0" w:line="240" w:lineRule="auto"/>
    </w:pPr>
    <w:rPr>
      <w:rFonts w:ascii="Arial" w:eastAsiaTheme="minorHAnsi" w:hAnsi="Arial" w:cs="Arial"/>
      <w:sz w:val="24"/>
    </w:rPr>
  </w:style>
  <w:style w:type="paragraph" w:customStyle="1" w:styleId="Emission">
    <w:name w:val="Emission"/>
    <w:basedOn w:val="Normal"/>
    <w:next w:val="Normal"/>
    <w:pPr>
      <w:spacing w:after="0" w:line="240" w:lineRule="auto"/>
      <w:ind w:left="5103"/>
    </w:pPr>
    <w:rPr>
      <w:rFonts w:ascii="Times New Roman" w:eastAsiaTheme="minorHAnsi" w:hAnsi="Times New Roman"/>
      <w:sz w:val="24"/>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line="240" w:lineRule="auto"/>
      <w:ind w:left="5103"/>
    </w:pPr>
    <w:rPr>
      <w:rFonts w:ascii="Times New Roman" w:eastAsiaTheme="minorHAnsi" w:hAnsi="Times New Roman"/>
      <w:sz w:val="24"/>
    </w:rPr>
  </w:style>
  <w:style w:type="paragraph" w:customStyle="1" w:styleId="Volume">
    <w:name w:val="Volume"/>
    <w:basedOn w:val="Normal"/>
    <w:next w:val="Normal"/>
    <w:pPr>
      <w:spacing w:after="240" w:line="240" w:lineRule="auto"/>
      <w:ind w:left="5103"/>
    </w:pPr>
    <w:rPr>
      <w:rFonts w:ascii="Times New Roman" w:eastAsiaTheme="minorHAnsi" w:hAnsi="Times New Roman"/>
      <w:sz w:val="24"/>
    </w:rPr>
  </w:style>
  <w:style w:type="paragraph" w:customStyle="1" w:styleId="Confidentialit">
    <w:name w:val="Confidentialité"/>
    <w:basedOn w:val="Normal"/>
    <w:next w:val="Normal"/>
    <w:pPr>
      <w:spacing w:before="240" w:after="240" w:line="240" w:lineRule="auto"/>
      <w:ind w:left="5103"/>
    </w:pPr>
    <w:rPr>
      <w:rFonts w:ascii="Times New Roman" w:eastAsiaTheme="minorHAnsi" w:hAnsi="Times New Roman"/>
      <w:i/>
      <w:sz w:val="32"/>
    </w:rPr>
  </w:style>
  <w:style w:type="paragraph" w:customStyle="1" w:styleId="TypedudocumentPagedecouverture">
    <w:name w:val="Type du document (Page de couverture)"/>
    <w:basedOn w:val="Normal"/>
    <w:next w:val="Normal"/>
    <w:pPr>
      <w:spacing w:before="360" w:after="0" w:line="240" w:lineRule="auto"/>
      <w:jc w:val="center"/>
    </w:pPr>
    <w:rPr>
      <w:rFonts w:ascii="Times New Roman" w:eastAsiaTheme="minorHAnsi" w:hAnsi="Times New Roman"/>
      <w:b/>
      <w:sz w:val="24"/>
    </w:rPr>
  </w:style>
  <w:style w:type="paragraph" w:customStyle="1" w:styleId="AccompagnantPagedecouverture">
    <w:name w:val="Accompagnant (Page de couverture)"/>
    <w:basedOn w:val="Normal"/>
    <w:next w:val="Normal"/>
    <w:pPr>
      <w:spacing w:after="240" w:line="240" w:lineRule="auto"/>
      <w:jc w:val="center"/>
    </w:pPr>
    <w:rPr>
      <w:rFonts w:ascii="Times New Roman" w:eastAsiaTheme="minorHAnsi" w:hAnsi="Times New Roman"/>
      <w:b/>
      <w:i/>
      <w:sz w:val="24"/>
    </w:rPr>
  </w:style>
  <w:style w:type="paragraph" w:customStyle="1" w:styleId="TypeacteprincipalPagedecouverture">
    <w:name w:val="Type acte principal (Page de couverture)"/>
    <w:basedOn w:val="Normal"/>
    <w:next w:val="Normal"/>
    <w:pPr>
      <w:spacing w:after="240" w:line="240" w:lineRule="auto"/>
      <w:jc w:val="center"/>
    </w:pPr>
    <w:rPr>
      <w:rFonts w:ascii="Times New Roman" w:eastAsiaTheme="minorHAnsi" w:hAnsi="Times New Roman"/>
      <w:b/>
      <w:sz w:val="24"/>
    </w:rPr>
  </w:style>
  <w:style w:type="paragraph" w:customStyle="1" w:styleId="ObjetacteprincipalPagedecouverture">
    <w:name w:val="Objet acte principal (Page de couverture)"/>
    <w:basedOn w:val="Normal"/>
    <w:next w:val="Normal"/>
    <w:pPr>
      <w:spacing w:after="360" w:line="240" w:lineRule="auto"/>
      <w:jc w:val="center"/>
    </w:pPr>
    <w:rPr>
      <w:rFonts w:ascii="Times New Roman" w:eastAsiaTheme="minorHAnsi"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Footnote Text Char1 Char Char,Footnote Text Char Char Char Char,Footnote Text Char2 Char Char Char Char,Footnote Text Char1 Char Char Char Char Char,Footnote Text Char Char Char Char Char Char Char,Plonk Char,Footnote text PFR Char"/>
    <w:link w:val="FootnoteText"/>
    <w:locked/>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Tekst przypis"/>
    <w:basedOn w:val="Normal"/>
    <w:link w:val="FootnoteTextChar1"/>
    <w:unhideWhenUsed/>
    <w:rPr>
      <w:rFonts w:asciiTheme="minorHAnsi" w:eastAsiaTheme="minorHAnsi" w:hAnsiTheme="minorHAnsi" w:cstheme="minorBidi"/>
    </w:rPr>
  </w:style>
  <w:style w:type="character" w:customStyle="1" w:styleId="FootnoteTextChar">
    <w:name w:val="Footnote Text Char"/>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Odwołanie przypisu"/>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heme="minorHAnsi" w:hAnsi="Times New Roman"/>
      <w:b/>
      <w:caps/>
      <w:sz w:val="24"/>
    </w:rPr>
  </w:style>
  <w:style w:type="paragraph" w:customStyle="1" w:styleId="Nomdelinstitution">
    <w:name w:val="Nom de l'institution"/>
    <w:basedOn w:val="Normal"/>
    <w:next w:val="Normal"/>
    <w:pPr>
      <w:spacing w:after="0" w:line="240" w:lineRule="auto"/>
    </w:pPr>
    <w:rPr>
      <w:rFonts w:ascii="Arial" w:eastAsiaTheme="minorHAnsi" w:hAnsi="Arial" w:cs="Arial"/>
      <w:sz w:val="24"/>
    </w:rPr>
  </w:style>
  <w:style w:type="paragraph" w:customStyle="1" w:styleId="Emission">
    <w:name w:val="Emission"/>
    <w:basedOn w:val="Normal"/>
    <w:next w:val="Normal"/>
    <w:pPr>
      <w:spacing w:after="0" w:line="240" w:lineRule="auto"/>
      <w:ind w:left="5103"/>
    </w:pPr>
    <w:rPr>
      <w:rFonts w:ascii="Times New Roman" w:eastAsiaTheme="minorHAnsi" w:hAnsi="Times New Roman"/>
      <w:sz w:val="24"/>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line="240" w:lineRule="auto"/>
      <w:ind w:left="5103"/>
    </w:pPr>
    <w:rPr>
      <w:rFonts w:ascii="Times New Roman" w:eastAsiaTheme="minorHAnsi" w:hAnsi="Times New Roman"/>
      <w:sz w:val="24"/>
    </w:rPr>
  </w:style>
  <w:style w:type="paragraph" w:customStyle="1" w:styleId="Volume">
    <w:name w:val="Volume"/>
    <w:basedOn w:val="Normal"/>
    <w:next w:val="Normal"/>
    <w:pPr>
      <w:spacing w:after="240" w:line="240" w:lineRule="auto"/>
      <w:ind w:left="5103"/>
    </w:pPr>
    <w:rPr>
      <w:rFonts w:ascii="Times New Roman" w:eastAsiaTheme="minorHAnsi" w:hAnsi="Times New Roman"/>
      <w:sz w:val="24"/>
    </w:rPr>
  </w:style>
  <w:style w:type="paragraph" w:customStyle="1" w:styleId="Confidentialit">
    <w:name w:val="Confidentialité"/>
    <w:basedOn w:val="Normal"/>
    <w:next w:val="Normal"/>
    <w:pPr>
      <w:spacing w:before="240" w:after="240" w:line="240" w:lineRule="auto"/>
      <w:ind w:left="5103"/>
    </w:pPr>
    <w:rPr>
      <w:rFonts w:ascii="Times New Roman" w:eastAsiaTheme="minorHAnsi" w:hAnsi="Times New Roman"/>
      <w:i/>
      <w:sz w:val="32"/>
    </w:rPr>
  </w:style>
  <w:style w:type="paragraph" w:customStyle="1" w:styleId="TypedudocumentPagedecouverture">
    <w:name w:val="Type du document (Page de couverture)"/>
    <w:basedOn w:val="Normal"/>
    <w:next w:val="Normal"/>
    <w:pPr>
      <w:spacing w:before="360" w:after="0" w:line="240" w:lineRule="auto"/>
      <w:jc w:val="center"/>
    </w:pPr>
    <w:rPr>
      <w:rFonts w:ascii="Times New Roman" w:eastAsiaTheme="minorHAnsi" w:hAnsi="Times New Roman"/>
      <w:b/>
      <w:sz w:val="24"/>
    </w:rPr>
  </w:style>
  <w:style w:type="paragraph" w:customStyle="1" w:styleId="AccompagnantPagedecouverture">
    <w:name w:val="Accompagnant (Page de couverture)"/>
    <w:basedOn w:val="Normal"/>
    <w:next w:val="Normal"/>
    <w:pPr>
      <w:spacing w:after="240" w:line="240" w:lineRule="auto"/>
      <w:jc w:val="center"/>
    </w:pPr>
    <w:rPr>
      <w:rFonts w:ascii="Times New Roman" w:eastAsiaTheme="minorHAnsi" w:hAnsi="Times New Roman"/>
      <w:b/>
      <w:i/>
      <w:sz w:val="24"/>
    </w:rPr>
  </w:style>
  <w:style w:type="paragraph" w:customStyle="1" w:styleId="TypeacteprincipalPagedecouverture">
    <w:name w:val="Type acte principal (Page de couverture)"/>
    <w:basedOn w:val="Normal"/>
    <w:next w:val="Normal"/>
    <w:pPr>
      <w:spacing w:after="240" w:line="240" w:lineRule="auto"/>
      <w:jc w:val="center"/>
    </w:pPr>
    <w:rPr>
      <w:rFonts w:ascii="Times New Roman" w:eastAsiaTheme="minorHAnsi" w:hAnsi="Times New Roman"/>
      <w:b/>
      <w:sz w:val="24"/>
    </w:rPr>
  </w:style>
  <w:style w:type="paragraph" w:customStyle="1" w:styleId="ObjetacteprincipalPagedecouverture">
    <w:name w:val="Objet acte principal (Page de couverture)"/>
    <w:basedOn w:val="Normal"/>
    <w:next w:val="Normal"/>
    <w:pPr>
      <w:spacing w:after="360" w:line="240" w:lineRule="auto"/>
      <w:jc w:val="center"/>
    </w:pPr>
    <w:rPr>
      <w:rFonts w:ascii="Times New Roman" w:eastAsiaTheme="minorHAnsi"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A910D-9277-48CB-963D-EFB87487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874</Words>
  <Characters>5313</Characters>
  <Application>Microsoft Office Word</Application>
  <DocSecurity>0</DocSecurity>
  <Lines>260</Lines>
  <Paragraphs>130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VERMAELEN Hilde (SG)</dc:creator>
  <cp:lastModifiedBy>Stefanie Heilemann</cp:lastModifiedBy>
  <cp:revision>9</cp:revision>
  <cp:lastPrinted>2015-02-20T15:21:00Z</cp:lastPrinted>
  <dcterms:created xsi:type="dcterms:W3CDTF">2015-03-02T13:30:00Z</dcterms:created>
  <dcterms:modified xsi:type="dcterms:W3CDTF">2015-03-04T09:36:00Z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2</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Classification">
    <vt:lpwstr> </vt:lpwstr>
  </property>
</Properties>
</file>