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57" w:rsidRDefault="0089745A" w:rsidP="0089745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33963E7ED8142C48E9B31643062BC7B" style="width:450.75pt;height:293.25pt">
            <v:imagedata r:id="rId9" o:title=""/>
          </v:shape>
        </w:pict>
      </w:r>
    </w:p>
    <w:bookmarkEnd w:id="0"/>
    <w:p w:rsidR="007A0A57" w:rsidRDefault="007A0A57">
      <w:pPr>
        <w:rPr>
          <w:noProof/>
        </w:rPr>
        <w:sectPr w:rsidR="007A0A57" w:rsidSect="0089745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7A0A57" w:rsidRDefault="0089745A">
      <w:pPr>
        <w:keepNext/>
        <w:spacing w:before="240" w:after="120"/>
        <w:ind w:left="480" w:hanging="480"/>
        <w:outlineLvl w:val="0"/>
        <w:rPr>
          <w:rFonts w:ascii="Times New Roman" w:hAnsi="Times New Roman"/>
          <w:noProof/>
          <w:sz w:val="24"/>
        </w:rPr>
      </w:pPr>
      <w:bookmarkStart w:id="1" w:name="_GoBack"/>
      <w:bookmarkEnd w:id="1"/>
      <w:r>
        <w:rPr>
          <w:rFonts w:ascii="Times New Roman" w:hAnsi="Times New Roman"/>
          <w:b/>
          <w:noProof/>
          <w:kern w:val="32"/>
          <w:sz w:val="24"/>
        </w:rPr>
        <w:lastRenderedPageBreak/>
        <w:t>I.</w:t>
      </w:r>
      <w:r>
        <w:rPr>
          <w:rFonts w:ascii="Times New Roman" w:hAnsi="Times New Roman"/>
          <w:b/>
          <w:noProof/>
          <w:kern w:val="32"/>
          <w:sz w:val="24"/>
        </w:rPr>
        <w:tab/>
        <w:t xml:space="preserve">Introduction. A Special </w:t>
      </w:r>
      <w:r>
        <w:rPr>
          <w:rFonts w:ascii="Times New Roman" w:eastAsia="Times New Roman" w:hAnsi="Times New Roman" w:cs="Times New Roman"/>
          <w:b/>
          <w:bCs/>
          <w:noProof/>
          <w:kern w:val="32"/>
          <w:sz w:val="24"/>
          <w:szCs w:val="24"/>
        </w:rPr>
        <w:t>Relationship</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We need a stronger Europe when it comes to foreign policy. </w:t>
      </w:r>
      <w:r>
        <w:rPr>
          <w:rFonts w:ascii="Times New Roman" w:eastAsia="Calibri" w:hAnsi="Times New Roman" w:cs="Times New Roman"/>
          <w:noProof/>
          <w:sz w:val="24"/>
          <w:szCs w:val="24"/>
        </w:rPr>
        <w:t>With countries in our neighbourhood, we need to step up close cooperation, association and partnership to further strengthen our economic and political ties.</w:t>
      </w:r>
    </w:p>
    <w:p w:rsidR="007A0A57" w:rsidRDefault="0089745A">
      <w:pPr>
        <w:spacing w:before="120" w:after="120" w:line="240" w:lineRule="auto"/>
        <w:jc w:val="both"/>
        <w:rPr>
          <w:rFonts w:ascii="Times New Roman" w:hAnsi="Times New Roman"/>
          <w:noProof/>
          <w:sz w:val="24"/>
          <w:shd w:val="clear" w:color="auto" w:fill="FFFFFF"/>
        </w:rPr>
      </w:pPr>
      <w:r>
        <w:rPr>
          <w:rFonts w:ascii="Times New Roman" w:eastAsia="Calibri" w:hAnsi="Times New Roman" w:cs="Times New Roman"/>
          <w:noProof/>
          <w:sz w:val="24"/>
          <w:szCs w:val="24"/>
        </w:rPr>
        <w:t>Article 8(1) of the Treaty on European Union states that "</w:t>
      </w:r>
      <w:r>
        <w:rPr>
          <w:rFonts w:ascii="Times New Roman" w:hAnsi="Times New Roman"/>
          <w:i/>
          <w:noProof/>
          <w:sz w:val="24"/>
          <w:shd w:val="clear" w:color="auto" w:fill="FFFFFF"/>
        </w:rPr>
        <w:t>the Union shall develop a special relati</w:t>
      </w:r>
      <w:r>
        <w:rPr>
          <w:rFonts w:ascii="Times New Roman" w:hAnsi="Times New Roman"/>
          <w:i/>
          <w:noProof/>
          <w:sz w:val="24"/>
          <w:shd w:val="clear" w:color="auto" w:fill="FFFFFF"/>
        </w:rPr>
        <w:t xml:space="preserve">onship with neighbouring countries, aiming to establish an area of prosperity and good neighbourliness, founded on the values of the Union and </w:t>
      </w:r>
      <w:r>
        <w:rPr>
          <w:rFonts w:ascii="Times New Roman" w:eastAsia="Times New Roman" w:hAnsi="Times New Roman" w:cs="Times New Roman"/>
          <w:i/>
          <w:noProof/>
          <w:sz w:val="24"/>
          <w:szCs w:val="24"/>
          <w:shd w:val="clear" w:color="auto" w:fill="FFFFFF"/>
        </w:rPr>
        <w:t>characterised</w:t>
      </w:r>
      <w:r>
        <w:rPr>
          <w:rFonts w:ascii="Times New Roman" w:hAnsi="Times New Roman"/>
          <w:i/>
          <w:noProof/>
          <w:sz w:val="24"/>
          <w:shd w:val="clear" w:color="auto" w:fill="FFFFFF"/>
        </w:rPr>
        <w:t xml:space="preserve"> by close and peaceful relations based on </w:t>
      </w:r>
      <w:r>
        <w:rPr>
          <w:rFonts w:ascii="Times New Roman" w:eastAsia="Times New Roman" w:hAnsi="Times New Roman" w:cs="Times New Roman"/>
          <w:i/>
          <w:noProof/>
          <w:sz w:val="24"/>
          <w:szCs w:val="24"/>
          <w:shd w:val="clear" w:color="auto" w:fill="FFFFFF"/>
        </w:rPr>
        <w:t>cooperation</w:t>
      </w:r>
      <w:r>
        <w:rPr>
          <w:rFonts w:ascii="Times New Roman" w:eastAsia="Times New Roman" w:hAnsi="Times New Roman" w:cs="Times New Roman"/>
          <w:noProof/>
          <w:sz w:val="24"/>
          <w:szCs w:val="24"/>
          <w:shd w:val="clear" w:color="auto" w:fill="FFFFFF"/>
        </w:rPr>
        <w:t>".</w:t>
      </w:r>
      <w:r>
        <w:rPr>
          <w:rFonts w:ascii="Times New Roman" w:hAnsi="Times New Roman"/>
          <w:noProof/>
          <w:sz w:val="24"/>
          <w:shd w:val="clear" w:color="auto" w:fill="FFFFFF"/>
        </w:rPr>
        <w:t xml:space="preserve"> </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European Neighbourhood Policy (ENP) was</w:t>
      </w:r>
      <w:r>
        <w:rPr>
          <w:rFonts w:ascii="Times New Roman" w:eastAsia="Calibri" w:hAnsi="Times New Roman" w:cs="Times New Roman"/>
          <w:noProof/>
          <w:sz w:val="24"/>
          <w:szCs w:val="24"/>
        </w:rPr>
        <w:t xml:space="preserve"> designed in 2003 (Communication ‘Wider Europe’</w:t>
      </w:r>
      <w:r>
        <w:rPr>
          <w:noProof/>
        </w:rPr>
        <w:footnoteReference w:id="2"/>
      </w:r>
      <w:r>
        <w:rPr>
          <w:rFonts w:ascii="Times New Roman" w:eastAsia="Calibri" w:hAnsi="Times New Roman" w:cs="Times New Roman"/>
          <w:noProof/>
          <w:sz w:val="24"/>
          <w:szCs w:val="24"/>
        </w:rPr>
        <w:t>) to develop closer relations between the EU and its neighbouring countries including by giving the opportunity of closer economic integration with the EU and the prospect of increased access to the EU’s Inte</w:t>
      </w:r>
      <w:r>
        <w:rPr>
          <w:rFonts w:ascii="Times New Roman" w:eastAsia="Calibri" w:hAnsi="Times New Roman" w:cs="Times New Roman"/>
          <w:noProof/>
          <w:sz w:val="24"/>
          <w:szCs w:val="24"/>
        </w:rPr>
        <w:t>rnal Market. The plan was for integration to be progressive, through the implementation of challenging political, economic and institutional reforms, and a commitment to common values.</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 the past ten years, there have been significant political developm</w:t>
      </w:r>
      <w:r>
        <w:rPr>
          <w:rFonts w:ascii="Times New Roman" w:eastAsia="Calibri" w:hAnsi="Times New Roman" w:cs="Times New Roman"/>
          <w:noProof/>
          <w:sz w:val="24"/>
          <w:szCs w:val="24"/>
        </w:rPr>
        <w:t>ents in the neighbourhood. Today’s neighbourhood is less stable than it was ten years ago. For example, in the East, growing challenges to a number of Eastern Partnership countries, from the crisis in Georgia in 2008 to the on-going conflict in Ukraine, ha</w:t>
      </w:r>
      <w:r>
        <w:rPr>
          <w:rFonts w:ascii="Times New Roman" w:eastAsia="Calibri" w:hAnsi="Times New Roman" w:cs="Times New Roman"/>
          <w:noProof/>
          <w:sz w:val="24"/>
          <w:szCs w:val="24"/>
        </w:rPr>
        <w:t>ve been caused by an increasingly assertive Russian foreign policy, which has also resulted in exacerbating divisions between Russia and the EU. In the South, Syria has been afflicted by civil war since 2011 which has had a serious impact on its neighbours</w:t>
      </w:r>
      <w:r>
        <w:rPr>
          <w:rFonts w:ascii="Times New Roman" w:eastAsia="Calibri" w:hAnsi="Times New Roman" w:cs="Times New Roman"/>
          <w:noProof/>
          <w:sz w:val="24"/>
          <w:szCs w:val="24"/>
        </w:rPr>
        <w:t>. Libya is currently a country in conflict. Over the past three years, Egypt has also undergone complex political change. Despite considerable efforts, the Middle East Peace Process is still stalled and there have been several outbreaks of hostilities, inc</w:t>
      </w:r>
      <w:r>
        <w:rPr>
          <w:rFonts w:ascii="Times New Roman" w:eastAsia="Calibri" w:hAnsi="Times New Roman" w:cs="Times New Roman"/>
          <w:noProof/>
          <w:sz w:val="24"/>
          <w:szCs w:val="24"/>
        </w:rPr>
        <w:t xml:space="preserve">luding in 2014 in Gaza. These events have served to increase the challenges faced by both the EU and its partners, aggravating economic and social pressures, irregular migration and refugee flows, security threats and leading to diverging aspirations. </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w:t>
      </w:r>
      <w:r>
        <w:rPr>
          <w:rFonts w:ascii="Times New Roman" w:eastAsia="Calibri" w:hAnsi="Times New Roman" w:cs="Times New Roman"/>
          <w:noProof/>
          <w:sz w:val="24"/>
          <w:szCs w:val="24"/>
        </w:rPr>
        <w:t xml:space="preserve"> ENP has evolved over this period: the regional component has been strengthened as the Barcelona Process evolved into the creation of the Union for the Mediterranean in 2008 and the Eastern Partnership was launched in 2009. The content of the policy has al</w:t>
      </w:r>
      <w:r>
        <w:rPr>
          <w:rFonts w:ascii="Times New Roman" w:eastAsia="Calibri" w:hAnsi="Times New Roman" w:cs="Times New Roman"/>
          <w:noProof/>
          <w:sz w:val="24"/>
          <w:szCs w:val="24"/>
        </w:rPr>
        <w:t>so significantly increased. Neighbouring countries now have the prospect of Deep and Comprehensive Free Trade Areas, as well as Mobility Partnerships or a visa free regime. Some of these have already been concluded. In addition, the ENP was reviewed in 201</w:t>
      </w:r>
      <w:r>
        <w:rPr>
          <w:rFonts w:ascii="Times New Roman" w:eastAsia="Calibri" w:hAnsi="Times New Roman" w:cs="Times New Roman"/>
          <w:noProof/>
          <w:sz w:val="24"/>
          <w:szCs w:val="24"/>
        </w:rPr>
        <w:t>1</w:t>
      </w:r>
      <w:r>
        <w:rPr>
          <w:noProof/>
        </w:rPr>
        <w:footnoteReference w:id="3"/>
      </w:r>
      <w:r>
        <w:rPr>
          <w:rFonts w:ascii="Times New Roman" w:eastAsia="Calibri" w:hAnsi="Times New Roman" w:cs="Times New Roman"/>
          <w:noProof/>
          <w:sz w:val="24"/>
          <w:szCs w:val="24"/>
        </w:rPr>
        <w:t xml:space="preserve"> to design a response to the events of the Arab Spring, during which popular uprisings and ensuing consequences led to some progress, such as in Tunisia, but also to wider instability and political tension. The transitions have been very different in nat</w:t>
      </w:r>
      <w:r>
        <w:rPr>
          <w:rFonts w:ascii="Times New Roman" w:eastAsia="Calibri" w:hAnsi="Times New Roman" w:cs="Times New Roman"/>
          <w:noProof/>
          <w:sz w:val="24"/>
          <w:szCs w:val="24"/>
        </w:rPr>
        <w:t xml:space="preserve">ure depending on the country. </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ENP has not always been able to offer adequate responses to these recent developments, nor to the changing aspirations of our partners. Therefore, the EU’s own interests have not been fully served either. </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Partners have d</w:t>
      </w:r>
      <w:r>
        <w:rPr>
          <w:rFonts w:ascii="Times New Roman" w:eastAsia="Calibri" w:hAnsi="Times New Roman" w:cs="Times New Roman"/>
          <w:noProof/>
          <w:sz w:val="24"/>
          <w:szCs w:val="24"/>
        </w:rPr>
        <w:t>emonstrated increasing differences of engagement with the EU as a whole and in relation to different policy sectors. The ENP has extended the EU’s influence in some respects, but in a number of areas, the reform agenda has stalled, in part due to competing</w:t>
      </w:r>
      <w:r>
        <w:rPr>
          <w:rFonts w:ascii="Times New Roman" w:eastAsia="Calibri" w:hAnsi="Times New Roman" w:cs="Times New Roman"/>
          <w:noProof/>
          <w:sz w:val="24"/>
          <w:szCs w:val="24"/>
        </w:rPr>
        <w:t xml:space="preserve"> interests, in part because </w:t>
      </w:r>
      <w:r>
        <w:rPr>
          <w:rFonts w:ascii="Times New Roman" w:eastAsia="Calibri" w:hAnsi="Times New Roman" w:cs="Times New Roman"/>
          <w:noProof/>
          <w:sz w:val="24"/>
          <w:szCs w:val="24"/>
          <w:shd w:val="clear" w:color="auto" w:fill="FFFFFF"/>
        </w:rPr>
        <w:t xml:space="preserve">not all partners seem equally interested in a special partnership with the EU under the model of pluralism and integration. </w:t>
      </w:r>
      <w:r>
        <w:rPr>
          <w:rFonts w:ascii="Times New Roman" w:eastAsia="Calibri" w:hAnsi="Times New Roman" w:cs="Times New Roman"/>
          <w:noProof/>
          <w:sz w:val="24"/>
          <w:szCs w:val="24"/>
        </w:rPr>
        <w:t>The EU has also experienced a major economic crisis in recent years,</w:t>
      </w:r>
      <w:r>
        <w:rPr>
          <w:rFonts w:ascii="Calibri" w:eastAsia="Calibri" w:hAnsi="Calibri" w:cs="Times New Roman"/>
          <w:noProof/>
        </w:rPr>
        <w:t xml:space="preserve"> </w:t>
      </w:r>
      <w:r>
        <w:rPr>
          <w:rFonts w:ascii="Times New Roman" w:eastAsia="Calibri" w:hAnsi="Times New Roman" w:cs="Times New Roman"/>
          <w:noProof/>
          <w:sz w:val="24"/>
          <w:szCs w:val="24"/>
        </w:rPr>
        <w:t xml:space="preserve">which has inevitably had an impact </w:t>
      </w:r>
      <w:r>
        <w:rPr>
          <w:rFonts w:ascii="Times New Roman" w:eastAsia="Calibri" w:hAnsi="Times New Roman" w:cs="Times New Roman"/>
          <w:noProof/>
          <w:sz w:val="24"/>
          <w:szCs w:val="24"/>
        </w:rPr>
        <w:t>on our neighbours.</w:t>
      </w:r>
    </w:p>
    <w:p w:rsidR="007A0A57" w:rsidRDefault="0089745A">
      <w:pPr>
        <w:spacing w:before="120" w:after="120" w:line="240" w:lineRule="auto"/>
        <w:jc w:val="both"/>
        <w:rPr>
          <w:rFonts w:ascii="Times New Roman" w:eastAsia="Calibri" w:hAnsi="Times New Roman" w:cs="Times New Roman"/>
          <w:noProof/>
          <w:sz w:val="24"/>
          <w:szCs w:val="24"/>
          <w:shd w:val="clear" w:color="auto" w:fill="FFFFFF"/>
        </w:rPr>
      </w:pPr>
      <w:r>
        <w:rPr>
          <w:rFonts w:ascii="Times New Roman" w:eastAsia="Calibri" w:hAnsi="Times New Roman" w:cs="Times New Roman"/>
          <w:noProof/>
          <w:sz w:val="24"/>
          <w:szCs w:val="24"/>
          <w:shd w:val="clear" w:color="auto" w:fill="FFFFFF"/>
        </w:rPr>
        <w:lastRenderedPageBreak/>
        <w:t>Political and economic reforms have a deep effect on societies and economies, as the EU’s own experience has shown. Partners assess the benefits in the long term, but also the costs that arise in the short term as a result of their relationship with the EU</w:t>
      </w:r>
      <w:r>
        <w:rPr>
          <w:rFonts w:ascii="Times New Roman" w:eastAsia="Calibri" w:hAnsi="Times New Roman" w:cs="Times New Roman"/>
          <w:noProof/>
          <w:sz w:val="24"/>
          <w:szCs w:val="24"/>
          <w:shd w:val="clear" w:color="auto" w:fill="FFFFFF"/>
        </w:rPr>
        <w:t xml:space="preserve"> under the ENP. </w:t>
      </w:r>
    </w:p>
    <w:p w:rsidR="007A0A57" w:rsidRDefault="0089745A">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shd w:val="clear" w:color="auto" w:fill="FFFFFF"/>
        </w:rPr>
        <w:t xml:space="preserve">Our neighbours’ strategic orientations determine the extent to which each of them wishes to engage with different actors including the EU. </w:t>
      </w:r>
      <w:r>
        <w:rPr>
          <w:rFonts w:ascii="Times New Roman" w:eastAsia="Calibri" w:hAnsi="Times New Roman" w:cs="Times New Roman"/>
          <w:noProof/>
          <w:sz w:val="24"/>
          <w:szCs w:val="24"/>
        </w:rPr>
        <w:t xml:space="preserve">Some partners have chosen to engage on a path of closer association with the EU, and the EU is ready to deepen its relations with them. Others prefer to follow a different path. </w:t>
      </w:r>
      <w:r>
        <w:rPr>
          <w:rFonts w:ascii="Times New Roman" w:eastAsia="Calibri" w:hAnsi="Times New Roman" w:cs="Times New Roman"/>
          <w:noProof/>
          <w:sz w:val="24"/>
          <w:szCs w:val="24"/>
          <w:shd w:val="clear" w:color="auto" w:fill="FFFFFF"/>
        </w:rPr>
        <w:t>The EU respects these sovereign choices and is ready to seek other forms of en</w:t>
      </w:r>
      <w:r>
        <w:rPr>
          <w:rFonts w:ascii="Times New Roman" w:eastAsia="Calibri" w:hAnsi="Times New Roman" w:cs="Times New Roman"/>
          <w:noProof/>
          <w:sz w:val="24"/>
          <w:szCs w:val="24"/>
          <w:shd w:val="clear" w:color="auto" w:fill="FFFFFF"/>
        </w:rPr>
        <w:t xml:space="preserve">gagement. </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Given all this, there is now a clear need to review the assumptions on which the policy is based, as well as its scope, and how instruments should be used, including how different policy sectors can better contribute to cooperation, ensuring lin</w:t>
      </w:r>
      <w:r>
        <w:rPr>
          <w:rFonts w:ascii="Times New Roman" w:eastAsia="Calibri" w:hAnsi="Times New Roman" w:cs="Times New Roman"/>
          <w:noProof/>
          <w:sz w:val="24"/>
          <w:szCs w:val="24"/>
        </w:rPr>
        <w:t xml:space="preserve">kages between internal and external priorities.  The purpose of such a review is to ensure the ENP can, in the future, support more effectively the development of an area of shared stability, security and prosperity with our partners. </w:t>
      </w:r>
      <w:r>
        <w:rPr>
          <w:rFonts w:ascii="Times New Roman" w:hAnsi="Times New Roman"/>
          <w:noProof/>
          <w:sz w:val="24"/>
          <w:shd w:val="clear" w:color="auto" w:fill="FFFFFF"/>
        </w:rPr>
        <w:t>It also has to explor</w:t>
      </w:r>
      <w:r>
        <w:rPr>
          <w:rFonts w:ascii="Times New Roman" w:hAnsi="Times New Roman"/>
          <w:noProof/>
          <w:sz w:val="24"/>
          <w:shd w:val="clear" w:color="auto" w:fill="FFFFFF"/>
        </w:rPr>
        <w:t xml:space="preserve">e whether the ‘special relationship’ is reaching its full potential, and what can be done to strengthen it in the interests of both the EU and its partners.  </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clearer analysis of the interests, both of the EU and its partners is needed to make the ENP fi</w:t>
      </w:r>
      <w:r>
        <w:rPr>
          <w:rFonts w:ascii="Times New Roman" w:eastAsia="Calibri" w:hAnsi="Times New Roman" w:cs="Times New Roman"/>
          <w:noProof/>
          <w:sz w:val="24"/>
          <w:szCs w:val="24"/>
        </w:rPr>
        <w:t>t for purpose. On one hand, it is essential to consult partners on their interests and ambitions for this partnership. On the other, the EU needs to define more clearly its own aims and interests, while promoting the values on which it is based.</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review</w:t>
      </w:r>
      <w:r>
        <w:rPr>
          <w:rFonts w:ascii="Times New Roman" w:eastAsia="Calibri" w:hAnsi="Times New Roman" w:cs="Times New Roman"/>
          <w:noProof/>
          <w:sz w:val="24"/>
          <w:szCs w:val="24"/>
        </w:rPr>
        <w:t xml:space="preserve"> needs to answer the demands of partners with very different levels of ambition. Where there is already full engagement and commitment to integration, the review should consider how we can take forward and deepen our partnership. The EU remains committed t</w:t>
      </w:r>
      <w:r>
        <w:rPr>
          <w:rFonts w:ascii="Times New Roman" w:eastAsia="Calibri" w:hAnsi="Times New Roman" w:cs="Times New Roman"/>
          <w:noProof/>
          <w:sz w:val="24"/>
          <w:szCs w:val="24"/>
        </w:rPr>
        <w:t xml:space="preserve">o ensuring that the full potential of each partnership is reached, building on achievements to date. </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Where partners have shown less engagement, or none at all, the review of the ENP should consider the reasons for this, and examine ways to fit better the </w:t>
      </w:r>
      <w:r>
        <w:rPr>
          <w:rFonts w:ascii="Times New Roman" w:eastAsia="Calibri" w:hAnsi="Times New Roman" w:cs="Times New Roman"/>
          <w:noProof/>
          <w:sz w:val="24"/>
          <w:szCs w:val="24"/>
        </w:rPr>
        <w:t xml:space="preserve">aspirations on both sides. Some partners currently outside the neighbourhood may be needed to be more closely associated. It should also be considered how the EU should best respond to crises and conflict situations, including protracted ones, taking into </w:t>
      </w:r>
      <w:r>
        <w:rPr>
          <w:rFonts w:ascii="Times New Roman" w:eastAsia="Calibri" w:hAnsi="Times New Roman" w:cs="Times New Roman"/>
          <w:noProof/>
          <w:sz w:val="24"/>
          <w:szCs w:val="24"/>
        </w:rPr>
        <w:t xml:space="preserve">account the sources of influence and pressure on our partners that determine their political positions, including towards the EU. </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this regard, an effective ENP needs to be closely integrated into an overall EU Foreign Policy with a comprehensive approa</w:t>
      </w:r>
      <w:r>
        <w:rPr>
          <w:rFonts w:ascii="Times New Roman" w:eastAsia="Calibri" w:hAnsi="Times New Roman" w:cs="Times New Roman"/>
          <w:noProof/>
          <w:sz w:val="24"/>
          <w:szCs w:val="24"/>
        </w:rPr>
        <w:t>ch using all instruments both of the EU and of Member States.</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is in this context that President Juncker decided that the ENP will be reviewed within the first year of the new Commission’s mandate. EU Member States have also called for a review, and have</w:t>
      </w:r>
      <w:r>
        <w:rPr>
          <w:rFonts w:ascii="Times New Roman" w:eastAsia="Calibri" w:hAnsi="Times New Roman" w:cs="Times New Roman"/>
          <w:noProof/>
          <w:sz w:val="24"/>
          <w:szCs w:val="24"/>
        </w:rPr>
        <w:t xml:space="preserve"> already made proposals. Partner countries have expressed the need to revisit  the policy; as have external stakeholders, including civil society organisations and social partners’ organisations.</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parallel the Commission is refining the Enlargement polic</w:t>
      </w:r>
      <w:r>
        <w:rPr>
          <w:rFonts w:ascii="Times New Roman" w:eastAsia="Calibri" w:hAnsi="Times New Roman" w:cs="Times New Roman"/>
          <w:noProof/>
          <w:sz w:val="24"/>
          <w:szCs w:val="24"/>
        </w:rPr>
        <w:t>y, which remains distinct from the ENP. In this context, President Juncker has stated in his Political Guidelines that no further enlargement will take place over the next five years.</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aim of this document is to frame the discussion for a thorough re-ex</w:t>
      </w:r>
      <w:r>
        <w:rPr>
          <w:rFonts w:ascii="Times New Roman" w:eastAsia="Calibri" w:hAnsi="Times New Roman" w:cs="Times New Roman"/>
          <w:noProof/>
          <w:sz w:val="24"/>
          <w:szCs w:val="24"/>
        </w:rPr>
        <w:t>amination of the ENP. In section II, we set out some preliminary findings in terms of lessons learned from the ENP to date. In section III, we develop some suggested first elements of response towards developing a stronger partnership and identify a number</w:t>
      </w:r>
      <w:r>
        <w:rPr>
          <w:rFonts w:ascii="Times New Roman" w:eastAsia="Calibri" w:hAnsi="Times New Roman" w:cs="Times New Roman"/>
          <w:noProof/>
          <w:sz w:val="24"/>
          <w:szCs w:val="24"/>
        </w:rPr>
        <w:t xml:space="preserve"> of key questions for discussion with key partners and stakeholders. In section IV, we summarise the next steps with regard to structuring public consultation. The results of the consultation will contribute to a further Communication in the autumn of 2015</w:t>
      </w:r>
      <w:r>
        <w:rPr>
          <w:rFonts w:ascii="Times New Roman" w:eastAsia="Calibri" w:hAnsi="Times New Roman" w:cs="Times New Roman"/>
          <w:noProof/>
          <w:sz w:val="24"/>
          <w:szCs w:val="24"/>
        </w:rPr>
        <w:t>, setting out concrete proposals for the future direction of the ENP.</w:t>
      </w:r>
    </w:p>
    <w:p w:rsidR="007A0A57" w:rsidRDefault="0089745A">
      <w:pPr>
        <w:keepNext/>
        <w:spacing w:before="240" w:after="120"/>
        <w:ind w:left="480" w:hanging="480"/>
        <w:outlineLvl w:val="0"/>
        <w:rPr>
          <w:rFonts w:ascii="Times New Roman" w:hAnsi="Times New Roman"/>
          <w:noProof/>
          <w:sz w:val="24"/>
        </w:rPr>
      </w:pPr>
      <w:r>
        <w:rPr>
          <w:rFonts w:ascii="Times New Roman" w:hAnsi="Times New Roman"/>
          <w:b/>
          <w:noProof/>
          <w:kern w:val="32"/>
          <w:sz w:val="24"/>
        </w:rPr>
        <w:lastRenderedPageBreak/>
        <w:t>II.</w:t>
      </w:r>
      <w:r>
        <w:rPr>
          <w:rFonts w:ascii="Times New Roman" w:hAnsi="Times New Roman"/>
          <w:b/>
          <w:noProof/>
          <w:kern w:val="32"/>
          <w:sz w:val="24"/>
        </w:rPr>
        <w:tab/>
        <w:t xml:space="preserve">Lessons Learned and Questions on </w:t>
      </w:r>
      <w:r>
        <w:rPr>
          <w:rFonts w:ascii="Times New Roman" w:eastAsia="Times New Roman" w:hAnsi="Times New Roman" w:cs="Times New Roman"/>
          <w:b/>
          <w:bCs/>
          <w:noProof/>
          <w:kern w:val="32"/>
          <w:sz w:val="24"/>
          <w:szCs w:val="24"/>
        </w:rPr>
        <w:t xml:space="preserve">the </w:t>
      </w:r>
      <w:r>
        <w:rPr>
          <w:rFonts w:ascii="Times New Roman" w:hAnsi="Times New Roman"/>
          <w:b/>
          <w:noProof/>
          <w:kern w:val="32"/>
          <w:sz w:val="24"/>
        </w:rPr>
        <w:t>Future Direction of ENP</w:t>
      </w:r>
    </w:p>
    <w:p w:rsidR="007A0A57" w:rsidRDefault="0089745A">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This section draws on the experience of ten years of implementation of the policy, as reflected by regular and frequent c</w:t>
      </w:r>
      <w:r>
        <w:rPr>
          <w:rFonts w:ascii="Times New Roman" w:eastAsia="Calibri" w:hAnsi="Times New Roman" w:cs="Times New Roman"/>
          <w:noProof/>
          <w:sz w:val="24"/>
          <w:szCs w:val="24"/>
        </w:rPr>
        <w:t>ontacts with EU Member States and ENP partner countries and the current period of informal consultation, to which many have already contributed.</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Since 2004, the ENP has provided a framework for the EU’s relations with its neighbouring countries, enabling t</w:t>
      </w:r>
      <w:r>
        <w:rPr>
          <w:rFonts w:ascii="Times New Roman" w:eastAsia="Calibri" w:hAnsi="Times New Roman" w:cs="Times New Roman"/>
          <w:noProof/>
          <w:sz w:val="24"/>
          <w:szCs w:val="24"/>
        </w:rPr>
        <w:t xml:space="preserve">he EU Member States to reach consensus on greater engagement with neighbours both to the East and to the South. The EU’s relations with neighbourhood countries have significantly intensified through the ENP, as a result of clear commitments spelled out by </w:t>
      </w:r>
      <w:r>
        <w:rPr>
          <w:rFonts w:ascii="Times New Roman" w:eastAsia="Calibri" w:hAnsi="Times New Roman" w:cs="Times New Roman"/>
          <w:noProof/>
          <w:sz w:val="24"/>
          <w:szCs w:val="24"/>
        </w:rPr>
        <w:t>both sides in the ENP Action Plans. The ENP has provided a way to respond to the partners’ own demands for greater engagement with the Union. After 10 years, the partnerships with the neighbours have a higher profile in EU affairs; the EU is the main tradi</w:t>
      </w:r>
      <w:r>
        <w:rPr>
          <w:rFonts w:ascii="Times New Roman" w:eastAsia="Calibri" w:hAnsi="Times New Roman" w:cs="Times New Roman"/>
          <w:noProof/>
          <w:sz w:val="24"/>
          <w:szCs w:val="24"/>
        </w:rPr>
        <w:t>ng partner for most partner countries; passenger and migration flows between the ENP and EU have been constantly on the rise. The EU has used the ENP to foster and evaluate, on an annual basis, reform efforts in each country, in particular on governance is</w:t>
      </w:r>
      <w:r>
        <w:rPr>
          <w:rFonts w:ascii="Times New Roman" w:eastAsia="Calibri" w:hAnsi="Times New Roman" w:cs="Times New Roman"/>
          <w:noProof/>
          <w:sz w:val="24"/>
          <w:szCs w:val="24"/>
        </w:rPr>
        <w:t>sues, on the basis of action plans agreed with the individual partners.</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However, some shortcomings have been identified. </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Some partners are actively seeking closer integration with the EU. Others are not, or not currently, attracted by it, calling into que</w:t>
      </w:r>
      <w:r>
        <w:rPr>
          <w:rFonts w:ascii="Times New Roman" w:eastAsia="Calibri" w:hAnsi="Times New Roman" w:cs="Times New Roman"/>
          <w:noProof/>
          <w:sz w:val="24"/>
          <w:szCs w:val="24"/>
        </w:rPr>
        <w:t xml:space="preserve">stion some of the assumptions on which the ENP has been constructed. </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Although the concept of differentiation has been present from the start, individual countries do not always find their specific aspirations sufficiently reflected. The lack of a sense of</w:t>
      </w:r>
      <w:r>
        <w:rPr>
          <w:rFonts w:ascii="Times New Roman" w:eastAsia="Calibri" w:hAnsi="Times New Roman" w:cs="Times New Roman"/>
          <w:noProof/>
          <w:sz w:val="24"/>
          <w:szCs w:val="24"/>
        </w:rPr>
        <w:t xml:space="preserve"> shared ownership with partners prevents the policy from achieving its full potential.</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approach of ‘more for more’ underlines the EU’s commitment to its core values, but has not always contributed to an atmosphere of equal partnership, and has not alwa</w:t>
      </w:r>
      <w:r>
        <w:rPr>
          <w:rFonts w:ascii="Times New Roman" w:eastAsia="Calibri" w:hAnsi="Times New Roman" w:cs="Times New Roman"/>
          <w:noProof/>
          <w:sz w:val="24"/>
          <w:szCs w:val="24"/>
        </w:rPr>
        <w:t xml:space="preserve">ys been successful in providing incentives further reforms in the partner countries. </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questions raised in this Communication seek to explore how the ENP can become a more effective vehicle for promoting both the EU’s interests and those of its partners, and a framework more conducive to developing fuller partnerships in which both sides</w:t>
      </w:r>
      <w:r>
        <w:rPr>
          <w:rFonts w:ascii="Times New Roman" w:eastAsia="Calibri" w:hAnsi="Times New Roman" w:cs="Times New Roman"/>
          <w:noProof/>
          <w:sz w:val="24"/>
          <w:szCs w:val="24"/>
        </w:rPr>
        <w:t xml:space="preserve"> find their aspirations better reflected. </w:t>
      </w:r>
    </w:p>
    <w:p w:rsidR="007A0A57" w:rsidRDefault="0089745A">
      <w:pPr>
        <w:numPr>
          <w:ilvl w:val="0"/>
          <w:numId w:val="8"/>
        </w:numPr>
        <w:spacing w:before="120" w:after="120" w:line="240" w:lineRule="auto"/>
        <w:jc w:val="both"/>
        <w:rPr>
          <w:rFonts w:ascii="Times New Roman" w:hAnsi="Times New Roman"/>
          <w:noProof/>
          <w:sz w:val="24"/>
          <w:szCs w:val="24"/>
        </w:rPr>
      </w:pPr>
      <w:r>
        <w:rPr>
          <w:rFonts w:ascii="Times New Roman" w:eastAsia="Calibri" w:hAnsi="Times New Roman" w:cs="Times New Roman"/>
          <w:noProof/>
          <w:sz w:val="24"/>
          <w:szCs w:val="24"/>
        </w:rPr>
        <w:t xml:space="preserve">The importance of building </w:t>
      </w:r>
      <w:r>
        <w:rPr>
          <w:rFonts w:ascii="Times New Roman" w:eastAsia="Calibri" w:hAnsi="Times New Roman" w:cs="Times New Roman"/>
          <w:b/>
          <w:noProof/>
          <w:sz w:val="24"/>
          <w:szCs w:val="24"/>
        </w:rPr>
        <w:t>deeper relationships</w:t>
      </w:r>
      <w:r>
        <w:rPr>
          <w:rFonts w:ascii="Times New Roman" w:eastAsia="Calibri" w:hAnsi="Times New Roman" w:cs="Times New Roman"/>
          <w:noProof/>
          <w:sz w:val="24"/>
          <w:szCs w:val="24"/>
        </w:rPr>
        <w:t xml:space="preserve"> with the EU’s partners is not in question. </w:t>
      </w:r>
    </w:p>
    <w:p w:rsidR="007A0A57" w:rsidRDefault="0089745A">
      <w:pPr>
        <w:spacing w:before="120" w:after="120" w:line="240" w:lineRule="auto"/>
        <w:ind w:left="714"/>
        <w:jc w:val="both"/>
        <w:rPr>
          <w:rFonts w:ascii="Times New Roman" w:eastAsia="Calibri" w:hAnsi="Times New Roman" w:cs="Times New Roman"/>
          <w:noProof/>
          <w:sz w:val="24"/>
          <w:szCs w:val="24"/>
        </w:rPr>
      </w:pPr>
      <w:r>
        <w:rPr>
          <w:rFonts w:ascii="Times New Roman" w:eastAsia="Calibri" w:hAnsi="Times New Roman" w:cs="Times New Roman"/>
          <w:i/>
          <w:noProof/>
          <w:sz w:val="24"/>
          <w:szCs w:val="24"/>
        </w:rPr>
        <w:t xml:space="preserve">Should the ENP be maintained? Should a single framework continue to cover both East and South? </w:t>
      </w:r>
    </w:p>
    <w:p w:rsidR="007A0A57" w:rsidRDefault="0089745A">
      <w:pPr>
        <w:numPr>
          <w:ilvl w:val="0"/>
          <w:numId w:val="4"/>
        </w:numPr>
        <w:spacing w:before="120" w:after="120" w:line="240" w:lineRule="auto"/>
        <w:jc w:val="both"/>
        <w:rPr>
          <w:rFonts w:ascii="Times New Roman" w:hAnsi="Times New Roman"/>
          <w:i/>
          <w:noProof/>
          <w:sz w:val="24"/>
          <w:szCs w:val="24"/>
        </w:rPr>
      </w:pPr>
      <w:r>
        <w:rPr>
          <w:rFonts w:ascii="Times New Roman" w:eastAsia="Calibri" w:hAnsi="Times New Roman" w:cs="Times New Roman"/>
          <w:noProof/>
          <w:sz w:val="24"/>
          <w:szCs w:val="24"/>
        </w:rPr>
        <w:t xml:space="preserve">The current framework of the ENP covers </w:t>
      </w:r>
      <w:r>
        <w:rPr>
          <w:rFonts w:ascii="Times New Roman" w:eastAsia="Calibri" w:hAnsi="Times New Roman" w:cs="Times New Roman"/>
          <w:b/>
          <w:noProof/>
          <w:sz w:val="24"/>
          <w:szCs w:val="24"/>
        </w:rPr>
        <w:t>16 neighbouring countries</w:t>
      </w:r>
      <w:r>
        <w:rPr>
          <w:rFonts w:ascii="Times New Roman" w:eastAsia="Calibri" w:hAnsi="Times New Roman" w:cs="Times New Roman"/>
          <w:noProof/>
          <w:sz w:val="24"/>
          <w:szCs w:val="24"/>
        </w:rPr>
        <w:t>. However, many of the challenges that need to be tackled by the EU and its neighbours together, cannot be adequately addressed without taking into account, or in some cases co-operating with</w:t>
      </w:r>
      <w:r>
        <w:rPr>
          <w:rFonts w:ascii="Times New Roman" w:eastAsia="Calibri" w:hAnsi="Times New Roman" w:cs="Times New Roman"/>
          <w:noProof/>
          <w:sz w:val="24"/>
          <w:szCs w:val="24"/>
        </w:rPr>
        <w:t xml:space="preserve">, the </w:t>
      </w:r>
      <w:r>
        <w:rPr>
          <w:rFonts w:ascii="Times New Roman" w:eastAsia="Calibri" w:hAnsi="Times New Roman" w:cs="Times New Roman"/>
          <w:b/>
          <w:noProof/>
          <w:sz w:val="24"/>
          <w:szCs w:val="24"/>
        </w:rPr>
        <w:t>neighbours of the neighbours</w:t>
      </w:r>
      <w:r>
        <w:rPr>
          <w:rFonts w:ascii="Times New Roman" w:eastAsia="Calibri" w:hAnsi="Times New Roman" w:cs="Times New Roman"/>
          <w:noProof/>
          <w:sz w:val="24"/>
          <w:szCs w:val="24"/>
        </w:rPr>
        <w:t xml:space="preserve">.  </w:t>
      </w:r>
    </w:p>
    <w:p w:rsidR="007A0A57" w:rsidRDefault="0089745A">
      <w:p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Should the current geographical scope be maintained? Should the ENP allow for more flexible ways of working with the neighbours of the neighbours? How can the EU, through the ENP framework, support its neighbours in th</w:t>
      </w:r>
      <w:r>
        <w:rPr>
          <w:rFonts w:ascii="Times New Roman" w:eastAsia="Calibri" w:hAnsi="Times New Roman" w:cs="Times New Roman"/>
          <w:i/>
          <w:noProof/>
          <w:sz w:val="24"/>
          <w:szCs w:val="24"/>
        </w:rPr>
        <w:t>eir interactions with their own neighbours? What could be done better to ensure greater coherence between the ENP and the EU’s relations with Russia, with partners in Central Asia, or in Africa, especially in the Sahel and in the Horn of Africa, and with t</w:t>
      </w:r>
      <w:r>
        <w:rPr>
          <w:rFonts w:ascii="Times New Roman" w:eastAsia="Calibri" w:hAnsi="Times New Roman" w:cs="Times New Roman"/>
          <w:i/>
          <w:noProof/>
          <w:sz w:val="24"/>
          <w:szCs w:val="24"/>
        </w:rPr>
        <w:t>he Gulf countries?</w:t>
      </w:r>
    </w:p>
    <w:p w:rsidR="007A0A57" w:rsidRDefault="0089745A">
      <w:pPr>
        <w:numPr>
          <w:ilvl w:val="0"/>
          <w:numId w:val="4"/>
        </w:numPr>
        <w:spacing w:before="120" w:after="120" w:line="240" w:lineRule="auto"/>
        <w:jc w:val="both"/>
        <w:rPr>
          <w:rFonts w:ascii="Times New Roman" w:hAnsi="Times New Roman"/>
          <w:noProof/>
          <w:sz w:val="24"/>
          <w:szCs w:val="24"/>
        </w:rPr>
      </w:pPr>
      <w:r>
        <w:rPr>
          <w:rFonts w:ascii="Times New Roman" w:eastAsia="Calibri" w:hAnsi="Times New Roman" w:cs="Times New Roman"/>
          <w:noProof/>
          <w:sz w:val="24"/>
          <w:szCs w:val="24"/>
        </w:rPr>
        <w:t xml:space="preserve">While the ENP is conducted through the </w:t>
      </w:r>
      <w:r>
        <w:rPr>
          <w:rFonts w:ascii="Times New Roman" w:hAnsi="Times New Roman"/>
          <w:noProof/>
          <w:sz w:val="24"/>
        </w:rPr>
        <w:t>EU institutions</w:t>
      </w:r>
      <w:r>
        <w:rPr>
          <w:rFonts w:ascii="Times New Roman" w:eastAsia="Calibri" w:hAnsi="Times New Roman" w:cs="Times New Roman"/>
          <w:noProof/>
          <w:sz w:val="24"/>
          <w:szCs w:val="24"/>
        </w:rPr>
        <w:t xml:space="preserve">, greater Member State involvement could lead to greater results. </w:t>
      </w:r>
    </w:p>
    <w:p w:rsidR="007A0A57" w:rsidRDefault="0089745A">
      <w:pPr>
        <w:spacing w:before="120" w:after="120" w:line="240" w:lineRule="auto"/>
        <w:ind w:left="720"/>
        <w:jc w:val="both"/>
        <w:rPr>
          <w:rFonts w:ascii="Times New Roman" w:hAnsi="Times New Roman"/>
          <w:i/>
          <w:noProof/>
          <w:sz w:val="24"/>
          <w:szCs w:val="24"/>
        </w:rPr>
      </w:pPr>
      <w:r>
        <w:rPr>
          <w:rFonts w:ascii="Times New Roman" w:eastAsia="Calibri" w:hAnsi="Times New Roman" w:cs="Times New Roman"/>
          <w:i/>
          <w:noProof/>
          <w:sz w:val="24"/>
          <w:szCs w:val="24"/>
        </w:rPr>
        <w:t>How could a more comprehensive approach with more active involvement by Member States give the policy greater weight</w:t>
      </w:r>
      <w:r>
        <w:rPr>
          <w:rFonts w:ascii="Times New Roman" w:eastAsia="Calibri" w:hAnsi="Times New Roman" w:cs="Times New Roman"/>
          <w:i/>
          <w:noProof/>
          <w:sz w:val="24"/>
          <w:szCs w:val="24"/>
        </w:rPr>
        <w:t>? Would stronger co-ownership of the policy be preferred by partners?</w:t>
      </w:r>
    </w:p>
    <w:p w:rsidR="007A0A57" w:rsidRDefault="0089745A">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ENP has </w:t>
      </w:r>
      <w:r>
        <w:rPr>
          <w:rFonts w:ascii="Times New Roman" w:eastAsia="Calibri" w:hAnsi="Times New Roman" w:cs="Times New Roman"/>
          <w:b/>
          <w:noProof/>
          <w:sz w:val="24"/>
          <w:szCs w:val="24"/>
        </w:rPr>
        <w:t>developed and applied tools for closer political association and economic integration of partners aspiring towards this goal</w:t>
      </w:r>
      <w:r>
        <w:rPr>
          <w:rFonts w:ascii="Times New Roman" w:hAnsi="Times New Roman"/>
          <w:noProof/>
          <w:sz w:val="24"/>
        </w:rPr>
        <w:t>, including</w:t>
      </w:r>
      <w:r>
        <w:rPr>
          <w:rFonts w:ascii="Times New Roman" w:eastAsia="Calibri" w:hAnsi="Times New Roman" w:cs="Times New Roman"/>
          <w:b/>
          <w:noProof/>
          <w:sz w:val="24"/>
          <w:szCs w:val="24"/>
        </w:rPr>
        <w:t xml:space="preserve"> </w:t>
      </w:r>
      <w:r>
        <w:rPr>
          <w:rFonts w:ascii="Times New Roman" w:hAnsi="Times New Roman"/>
          <w:noProof/>
          <w:sz w:val="24"/>
        </w:rPr>
        <w:t>f</w:t>
      </w:r>
      <w:r>
        <w:rPr>
          <w:rFonts w:ascii="Times New Roman" w:eastAsia="Calibri" w:hAnsi="Times New Roman" w:cs="Times New Roman"/>
          <w:noProof/>
          <w:sz w:val="24"/>
          <w:szCs w:val="24"/>
        </w:rPr>
        <w:t>ar-reaching agreements such as the As</w:t>
      </w:r>
      <w:r>
        <w:rPr>
          <w:rFonts w:ascii="Times New Roman" w:eastAsia="Calibri" w:hAnsi="Times New Roman" w:cs="Times New Roman"/>
          <w:noProof/>
          <w:sz w:val="24"/>
          <w:szCs w:val="24"/>
        </w:rPr>
        <w:t xml:space="preserve">sociation Agreements and the Deep and Comprehensive Free Trade Areas (AAs/DCFTAs). </w:t>
      </w:r>
    </w:p>
    <w:p w:rsidR="007A0A57" w:rsidRDefault="0089745A">
      <w:pPr>
        <w:spacing w:before="120" w:after="120" w:line="240" w:lineRule="auto"/>
        <w:ind w:left="714"/>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xml:space="preserve">Are the Association Agreements and DCFTAs the right objective for all or should more tailor-made alternatives be developed, to reflect differing interests and ambitions of </w:t>
      </w:r>
      <w:r>
        <w:rPr>
          <w:rFonts w:ascii="Times New Roman" w:eastAsia="Calibri" w:hAnsi="Times New Roman" w:cs="Times New Roman"/>
          <w:i/>
          <w:noProof/>
          <w:sz w:val="24"/>
          <w:szCs w:val="24"/>
        </w:rPr>
        <w:t xml:space="preserve">some partners? </w:t>
      </w:r>
    </w:p>
    <w:p w:rsidR="007A0A57" w:rsidRDefault="0089745A">
      <w:pPr>
        <w:numPr>
          <w:ilvl w:val="0"/>
          <w:numId w:val="4"/>
        </w:numPr>
        <w:spacing w:before="120" w:after="120" w:line="240" w:lineRule="auto"/>
        <w:jc w:val="both"/>
        <w:rPr>
          <w:rFonts w:ascii="Times New Roman" w:hAnsi="Times New Roman"/>
          <w:i/>
          <w:noProof/>
          <w:sz w:val="24"/>
          <w:szCs w:val="24"/>
        </w:rPr>
      </w:pPr>
      <w:r>
        <w:rPr>
          <w:rFonts w:ascii="Times New Roman" w:eastAsia="Calibri" w:hAnsi="Times New Roman" w:cs="Times New Roman"/>
          <w:b/>
          <w:noProof/>
          <w:sz w:val="24"/>
          <w:szCs w:val="24"/>
        </w:rPr>
        <w:t>ENP Action Plans</w:t>
      </w:r>
      <w:r>
        <w:rPr>
          <w:rFonts w:ascii="Times New Roman" w:eastAsia="Calibri" w:hAnsi="Times New Roman" w:cs="Times New Roman"/>
          <w:noProof/>
          <w:sz w:val="24"/>
          <w:szCs w:val="24"/>
        </w:rPr>
        <w:t xml:space="preserve"> have framed the development of relationships between the EU and most ENP partners.</w:t>
      </w:r>
    </w:p>
    <w:p w:rsidR="007A0A57" w:rsidRDefault="0089745A">
      <w:pPr>
        <w:spacing w:before="120" w:after="120" w:line="240" w:lineRule="auto"/>
        <w:ind w:left="720"/>
        <w:jc w:val="both"/>
        <w:rPr>
          <w:rFonts w:ascii="Times New Roman" w:eastAsia="Calibri" w:hAnsi="Times New Roman" w:cs="Times New Roman"/>
          <w:noProof/>
          <w:sz w:val="24"/>
          <w:szCs w:val="24"/>
        </w:rPr>
      </w:pPr>
      <w:r>
        <w:rPr>
          <w:rFonts w:ascii="Times New Roman" w:eastAsia="Calibri" w:hAnsi="Times New Roman" w:cs="Times New Roman"/>
          <w:i/>
          <w:noProof/>
          <w:sz w:val="24"/>
          <w:szCs w:val="24"/>
        </w:rPr>
        <w:t>Are the ENP Action Plans the right tool to deepen our partnerships? Are they too broad for some partners? Would the EU, would partners, bene</w:t>
      </w:r>
      <w:r>
        <w:rPr>
          <w:rFonts w:ascii="Times New Roman" w:eastAsia="Calibri" w:hAnsi="Times New Roman" w:cs="Times New Roman"/>
          <w:i/>
          <w:noProof/>
          <w:sz w:val="24"/>
          <w:szCs w:val="24"/>
        </w:rPr>
        <w:t xml:space="preserve">fit from a narrower focus and greater prioritisation? </w:t>
      </w:r>
    </w:p>
    <w:p w:rsidR="007A0A57" w:rsidRDefault="0089745A">
      <w:pPr>
        <w:numPr>
          <w:ilvl w:val="0"/>
          <w:numId w:val="4"/>
        </w:numPr>
        <w:spacing w:before="120" w:after="120" w:line="240" w:lineRule="auto"/>
        <w:jc w:val="both"/>
        <w:rPr>
          <w:rFonts w:ascii="Times New Roman" w:hAnsi="Times New Roman"/>
          <w:noProof/>
          <w:sz w:val="24"/>
          <w:szCs w:val="24"/>
        </w:rPr>
      </w:pPr>
      <w:r>
        <w:rPr>
          <w:rFonts w:ascii="Times New Roman" w:eastAsia="Calibri" w:hAnsi="Times New Roman" w:cs="Times New Roman"/>
          <w:b/>
          <w:noProof/>
          <w:sz w:val="24"/>
          <w:szCs w:val="24"/>
        </w:rPr>
        <w:t>ENP Progress Reports</w:t>
      </w:r>
      <w:r>
        <w:rPr>
          <w:rFonts w:ascii="Times New Roman" w:eastAsia="Calibri" w:hAnsi="Times New Roman" w:cs="Times New Roman"/>
          <w:noProof/>
          <w:sz w:val="24"/>
          <w:szCs w:val="24"/>
        </w:rPr>
        <w:t xml:space="preserve"> have helped the EU monitor closely progress with each of the ENP partners that have Action Plans, against the jointly agreed objectives set out in those Plans. </w:t>
      </w:r>
    </w:p>
    <w:p w:rsidR="007A0A57" w:rsidRDefault="0089745A">
      <w:p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Is this approach ap</w:t>
      </w:r>
      <w:r>
        <w:rPr>
          <w:rFonts w:ascii="Times New Roman" w:eastAsia="Calibri" w:hAnsi="Times New Roman" w:cs="Times New Roman"/>
          <w:i/>
          <w:noProof/>
          <w:sz w:val="24"/>
          <w:szCs w:val="24"/>
        </w:rPr>
        <w:t>propriate for all partners? Has it added value to the EU’s relations with each of its partners? Can EU and/or partner interests be served by a lighter reporting mechanism? Should the reporting be modulated according to the level of engagement of the ENP pa</w:t>
      </w:r>
      <w:r>
        <w:rPr>
          <w:rFonts w:ascii="Times New Roman" w:eastAsia="Calibri" w:hAnsi="Times New Roman" w:cs="Times New Roman"/>
          <w:i/>
          <w:noProof/>
          <w:sz w:val="24"/>
          <w:szCs w:val="24"/>
        </w:rPr>
        <w:t>rtner concerned? How can we better communicate key elements?</w:t>
      </w:r>
    </w:p>
    <w:p w:rsidR="007A0A57" w:rsidRDefault="0089745A">
      <w:pPr>
        <w:numPr>
          <w:ilvl w:val="0"/>
          <w:numId w:val="3"/>
        </w:numPr>
        <w:spacing w:before="120" w:after="120" w:line="240" w:lineRule="auto"/>
        <w:ind w:left="714" w:hanging="357"/>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 xml:space="preserve">The ENP has provided a </w:t>
      </w:r>
      <w:r>
        <w:rPr>
          <w:rFonts w:ascii="Times New Roman" w:eastAsia="Calibri" w:hAnsi="Times New Roman" w:cs="Times New Roman"/>
          <w:b/>
          <w:noProof/>
          <w:sz w:val="24"/>
          <w:szCs w:val="24"/>
        </w:rPr>
        <w:t>framework for sector cooperation</w:t>
      </w:r>
      <w:r>
        <w:rPr>
          <w:rFonts w:ascii="Times New Roman" w:eastAsia="Calibri" w:hAnsi="Times New Roman" w:cs="Times New Roman"/>
          <w:noProof/>
          <w:sz w:val="24"/>
          <w:szCs w:val="24"/>
        </w:rPr>
        <w:t xml:space="preserve"> across a broad range of areas (including energy, transport, </w:t>
      </w:r>
      <w:r>
        <w:rPr>
          <w:rFonts w:ascii="Times New Roman" w:eastAsia="Calibri" w:hAnsi="Times New Roman" w:cs="Times New Roman"/>
          <w:noProof/>
          <w:sz w:val="24"/>
        </w:rPr>
        <w:t xml:space="preserve">agriculture and rural development, justice and home affairs, </w:t>
      </w:r>
      <w:r>
        <w:rPr>
          <w:rFonts w:ascii="Times New Roman" w:eastAsia="Calibri" w:hAnsi="Times New Roman" w:cs="Times New Roman"/>
          <w:noProof/>
          <w:sz w:val="24"/>
          <w:szCs w:val="24"/>
        </w:rPr>
        <w:t xml:space="preserve">customs, taxation, environment, </w:t>
      </w:r>
      <w:r>
        <w:rPr>
          <w:rFonts w:ascii="Times New Roman" w:eastAsia="Calibri" w:hAnsi="Times New Roman" w:cs="Times New Roman"/>
          <w:noProof/>
          <w:sz w:val="24"/>
        </w:rPr>
        <w:t>disaster management, research and innovation,</w:t>
      </w:r>
      <w:r>
        <w:rPr>
          <w:rFonts w:ascii="Times New Roman" w:eastAsia="Calibri" w:hAnsi="Times New Roman" w:cs="Times New Roman"/>
          <w:noProof/>
          <w:sz w:val="24"/>
          <w:szCs w:val="24"/>
        </w:rPr>
        <w:t xml:space="preserve"> education, </w:t>
      </w:r>
      <w:r>
        <w:rPr>
          <w:rFonts w:ascii="Times New Roman" w:eastAsia="Calibri" w:hAnsi="Times New Roman" w:cs="Times New Roman"/>
          <w:noProof/>
          <w:sz w:val="24"/>
        </w:rPr>
        <w:t>youth, culture,</w:t>
      </w:r>
      <w:r>
        <w:rPr>
          <w:rFonts w:ascii="Times New Roman" w:eastAsia="Calibri" w:hAnsi="Times New Roman" w:cs="Times New Roman"/>
          <w:noProof/>
          <w:sz w:val="24"/>
          <w:szCs w:val="24"/>
        </w:rPr>
        <w:t xml:space="preserve"> health, etc.). </w:t>
      </w:r>
    </w:p>
    <w:p w:rsidR="007A0A57" w:rsidRDefault="0089745A">
      <w:pPr>
        <w:spacing w:before="120" w:after="120" w:line="240" w:lineRule="auto"/>
        <w:ind w:left="714"/>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Can partnerships be focussed more explicitly on joint interests, in order to increase ownership on both sides? How should the ENP accom</w:t>
      </w:r>
      <w:r>
        <w:rPr>
          <w:rFonts w:ascii="Times New Roman" w:eastAsia="Calibri" w:hAnsi="Times New Roman" w:cs="Times New Roman"/>
          <w:i/>
          <w:noProof/>
          <w:sz w:val="24"/>
          <w:szCs w:val="24"/>
        </w:rPr>
        <w:t xml:space="preserve">modate the differentiation that this would entail? Are new elements needed to support deeper cooperation in these or other fields? </w:t>
      </w:r>
    </w:p>
    <w:p w:rsidR="007A0A57" w:rsidRDefault="0089745A">
      <w:pPr>
        <w:numPr>
          <w:ilvl w:val="0"/>
          <w:numId w:val="4"/>
        </w:numPr>
        <w:spacing w:before="120" w:after="120" w:line="240" w:lineRule="auto"/>
        <w:jc w:val="both"/>
        <w:rPr>
          <w:rFonts w:ascii="Times New Roman" w:hAnsi="Times New Roman"/>
          <w:i/>
          <w:noProof/>
          <w:sz w:val="24"/>
          <w:szCs w:val="24"/>
        </w:rPr>
      </w:pPr>
      <w:r>
        <w:rPr>
          <w:rFonts w:ascii="Times New Roman" w:eastAsia="Calibri" w:hAnsi="Times New Roman" w:cs="Times New Roman"/>
          <w:b/>
          <w:noProof/>
          <w:sz w:val="24"/>
          <w:szCs w:val="24"/>
        </w:rPr>
        <w:t>Visa liberalisation</w:t>
      </w:r>
      <w:r>
        <w:rPr>
          <w:rFonts w:ascii="Times New Roman" w:eastAsia="Calibri" w:hAnsi="Times New Roman" w:cs="Times New Roman"/>
          <w:noProof/>
          <w:sz w:val="24"/>
          <w:szCs w:val="24"/>
        </w:rPr>
        <w:t xml:space="preserve"> and visa facilitation processes have eased travel and cemented reforms; mobility partnerships have furth</w:t>
      </w:r>
      <w:r>
        <w:rPr>
          <w:rFonts w:ascii="Times New Roman" w:eastAsia="Calibri" w:hAnsi="Times New Roman" w:cs="Times New Roman"/>
          <w:noProof/>
          <w:sz w:val="24"/>
          <w:szCs w:val="24"/>
        </w:rPr>
        <w:t>ered contacts, with programmes supporting these processes.</w:t>
      </w:r>
    </w:p>
    <w:p w:rsidR="007A0A57" w:rsidRDefault="0089745A">
      <w:p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What further work is necessary in this area, which is regarded as key by all ENP partners? How can the ENP further support the management of migration and help to draw the benefits of mobility?</w:t>
      </w:r>
    </w:p>
    <w:p w:rsidR="007A0A57" w:rsidRDefault="0089745A">
      <w:pPr>
        <w:numPr>
          <w:ilvl w:val="0"/>
          <w:numId w:val="4"/>
        </w:numPr>
        <w:spacing w:before="120" w:after="120" w:line="240" w:lineRule="auto"/>
        <w:jc w:val="both"/>
        <w:rPr>
          <w:rFonts w:ascii="Times New Roman" w:hAnsi="Times New Roman"/>
          <w:i/>
          <w:noProof/>
          <w:sz w:val="24"/>
          <w:szCs w:val="24"/>
        </w:rPr>
      </w:pPr>
      <w:r>
        <w:rPr>
          <w:rFonts w:ascii="Times New Roman" w:eastAsia="Calibri" w:hAnsi="Times New Roman" w:cs="Times New Roman"/>
          <w:noProof/>
          <w:sz w:val="24"/>
          <w:szCs w:val="24"/>
        </w:rPr>
        <w:t>The</w:t>
      </w:r>
      <w:r>
        <w:rPr>
          <w:rFonts w:ascii="Times New Roman" w:eastAsia="Calibri" w:hAnsi="Times New Roman" w:cs="Times New Roman"/>
          <w:noProof/>
          <w:sz w:val="24"/>
          <w:szCs w:val="24"/>
        </w:rPr>
        <w:t xml:space="preserve"> EU seeks to promote </w:t>
      </w:r>
      <w:r>
        <w:rPr>
          <w:rFonts w:ascii="Times New Roman" w:eastAsia="Calibri" w:hAnsi="Times New Roman" w:cs="Times New Roman"/>
          <w:b/>
          <w:noProof/>
          <w:sz w:val="24"/>
          <w:szCs w:val="24"/>
        </w:rPr>
        <w:t>prosperity</w:t>
      </w:r>
      <w:r>
        <w:rPr>
          <w:rFonts w:ascii="Times New Roman" w:eastAsia="Calibri" w:hAnsi="Times New Roman" w:cs="Times New Roman"/>
          <w:noProof/>
          <w:sz w:val="24"/>
          <w:szCs w:val="24"/>
        </w:rPr>
        <w:t xml:space="preserve"> on its borders. Prosperity in the partner countries is negatively affected by structural weaknesses such as inequalities, poverty, the informal economy and deficiencies in democracy, pluralism and respect for the rule of law</w:t>
      </w:r>
      <w:r>
        <w:rPr>
          <w:rFonts w:ascii="Times New Roman" w:eastAsia="Calibri" w:hAnsi="Times New Roman" w:cs="Times New Roman"/>
          <w:noProof/>
          <w:sz w:val="24"/>
          <w:szCs w:val="24"/>
        </w:rPr>
        <w:t>. In addition, much of the ENP partners’ economic and social development has been disrupted by turbulence due to conflict or rapid internal change.</w:t>
      </w:r>
      <w:r>
        <w:rPr>
          <w:rFonts w:ascii="Times New Roman" w:eastAsia="Calibri" w:hAnsi="Times New Roman" w:cs="Times New Roman"/>
          <w:b/>
          <w:noProof/>
          <w:sz w:val="24"/>
          <w:szCs w:val="24"/>
        </w:rPr>
        <w:t xml:space="preserve"> </w:t>
      </w:r>
    </w:p>
    <w:p w:rsidR="007A0A57" w:rsidRDefault="0089745A">
      <w:p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How can the EU do more to support sustainable economic and social development in the ENP partner countries?</w:t>
      </w:r>
      <w:r>
        <w:rPr>
          <w:rFonts w:ascii="Times New Roman" w:eastAsia="Calibri" w:hAnsi="Times New Roman" w:cs="Times New Roman"/>
          <w:i/>
          <w:noProof/>
          <w:sz w:val="24"/>
          <w:szCs w:val="24"/>
        </w:rPr>
        <w:t xml:space="preserve"> How can we empower economically, politically and socially the younger generation? How to better promote sustainable employment? And how can these objectives be better linked to indispensable reforms in the fields of anti-corruption, judicial reform, gover</w:t>
      </w:r>
      <w:r>
        <w:rPr>
          <w:rFonts w:ascii="Times New Roman" w:eastAsia="Calibri" w:hAnsi="Times New Roman" w:cs="Times New Roman"/>
          <w:i/>
          <w:noProof/>
          <w:sz w:val="24"/>
          <w:szCs w:val="24"/>
        </w:rPr>
        <w:t xml:space="preserve">nance and security, which are prerequisites for foreign direct investment? </w:t>
      </w:r>
    </w:p>
    <w:p w:rsidR="007A0A57" w:rsidRDefault="0089745A">
      <w:pPr>
        <w:numPr>
          <w:ilvl w:val="0"/>
          <w:numId w:val="4"/>
        </w:numPr>
        <w:spacing w:before="120" w:after="120" w:line="240" w:lineRule="auto"/>
        <w:jc w:val="both"/>
        <w:rPr>
          <w:rFonts w:ascii="Times New Roman" w:hAnsi="Times New Roman"/>
          <w:noProof/>
          <w:sz w:val="24"/>
          <w:szCs w:val="24"/>
        </w:rPr>
      </w:pPr>
      <w:r>
        <w:rPr>
          <w:rFonts w:ascii="Times New Roman" w:eastAsia="Calibri" w:hAnsi="Times New Roman" w:cs="Times New Roman"/>
          <w:noProof/>
          <w:sz w:val="24"/>
          <w:szCs w:val="24"/>
        </w:rPr>
        <w:t xml:space="preserve">The EU seeks to promote </w:t>
      </w:r>
      <w:r>
        <w:rPr>
          <w:rFonts w:ascii="Times New Roman" w:eastAsia="Calibri" w:hAnsi="Times New Roman" w:cs="Times New Roman"/>
          <w:b/>
          <w:noProof/>
          <w:sz w:val="24"/>
          <w:szCs w:val="24"/>
        </w:rPr>
        <w:t>stability</w:t>
      </w:r>
      <w:r>
        <w:rPr>
          <w:rFonts w:ascii="Times New Roman" w:eastAsia="Calibri" w:hAnsi="Times New Roman" w:cs="Times New Roman"/>
          <w:noProof/>
          <w:sz w:val="24"/>
          <w:szCs w:val="24"/>
        </w:rPr>
        <w:t xml:space="preserve"> on its borders. To address existing challenges effectively, the EU has to draw on all its cooperation instruments. Activities under the Common For</w:t>
      </w:r>
      <w:r>
        <w:rPr>
          <w:rFonts w:ascii="Times New Roman" w:eastAsia="Calibri" w:hAnsi="Times New Roman" w:cs="Times New Roman"/>
          <w:noProof/>
          <w:sz w:val="24"/>
          <w:szCs w:val="24"/>
        </w:rPr>
        <w:t>eign and Security Policy (CFSP) and the Common Security and Defence Policy (CSDP) have until now been conducted outside of the ENP framework. The level of instability in some partner countries not only disrupts progress towards democracy but also threatens</w:t>
      </w:r>
      <w:r>
        <w:rPr>
          <w:rFonts w:ascii="Times New Roman" w:eastAsia="Calibri" w:hAnsi="Times New Roman" w:cs="Times New Roman"/>
          <w:noProof/>
          <w:sz w:val="24"/>
          <w:szCs w:val="24"/>
        </w:rPr>
        <w:t xml:space="preserve"> the rule of law, violates human rights and has serious impacts on the EU, such as irregular migratory flows and security threats.</w:t>
      </w:r>
    </w:p>
    <w:p w:rsidR="007A0A57" w:rsidRDefault="0089745A">
      <w:pPr>
        <w:spacing w:before="120" w:after="120" w:line="240" w:lineRule="auto"/>
        <w:ind w:left="720"/>
        <w:jc w:val="both"/>
        <w:rPr>
          <w:rFonts w:ascii="Times New Roman" w:hAnsi="Times New Roman"/>
          <w:i/>
          <w:noProof/>
          <w:sz w:val="24"/>
          <w:szCs w:val="24"/>
        </w:rPr>
      </w:pPr>
      <w:r>
        <w:rPr>
          <w:rFonts w:ascii="Times New Roman" w:eastAsia="Calibri" w:hAnsi="Times New Roman" w:cs="Times New Roman"/>
          <w:i/>
          <w:noProof/>
          <w:sz w:val="24"/>
          <w:szCs w:val="24"/>
        </w:rPr>
        <w:t xml:space="preserve">How should the ENP address </w:t>
      </w:r>
      <w:r>
        <w:rPr>
          <w:rFonts w:ascii="Times New Roman" w:eastAsia="Calibri" w:hAnsi="Times New Roman" w:cs="Times New Roman"/>
          <w:b/>
          <w:i/>
          <w:noProof/>
          <w:sz w:val="24"/>
          <w:szCs w:val="24"/>
        </w:rPr>
        <w:t>conflicts and crises in the neighbourhood?</w:t>
      </w:r>
      <w:r>
        <w:rPr>
          <w:rFonts w:ascii="Times New Roman" w:eastAsia="Calibri" w:hAnsi="Times New Roman" w:cs="Times New Roman"/>
          <w:i/>
          <w:noProof/>
          <w:sz w:val="24"/>
        </w:rPr>
        <w:t xml:space="preserve"> </w:t>
      </w:r>
      <w:r>
        <w:rPr>
          <w:rFonts w:ascii="Times New Roman" w:eastAsia="Calibri" w:hAnsi="Times New Roman" w:cs="Times New Roman"/>
          <w:i/>
          <w:noProof/>
          <w:sz w:val="24"/>
          <w:szCs w:val="24"/>
        </w:rPr>
        <w:t>Should CFSP and CSDP activities be better integrated in</w:t>
      </w:r>
      <w:r>
        <w:rPr>
          <w:rFonts w:ascii="Times New Roman" w:eastAsia="Calibri" w:hAnsi="Times New Roman" w:cs="Times New Roman"/>
          <w:i/>
          <w:noProof/>
          <w:sz w:val="24"/>
          <w:szCs w:val="24"/>
        </w:rPr>
        <w:t xml:space="preserve"> the ENP framework? Should it have a greater role in developing confidence-building measures and post-conflict actions as well as related state- and institution-building activities? </w:t>
      </w:r>
    </w:p>
    <w:p w:rsidR="007A0A57" w:rsidRDefault="0089745A">
      <w:pPr>
        <w:spacing w:before="120" w:after="120" w:line="240" w:lineRule="auto"/>
        <w:ind w:left="720"/>
        <w:jc w:val="both"/>
        <w:rPr>
          <w:rFonts w:ascii="Times New Roman" w:hAnsi="Times New Roman"/>
          <w:i/>
          <w:noProof/>
          <w:sz w:val="24"/>
          <w:szCs w:val="24"/>
        </w:rPr>
      </w:pPr>
      <w:r>
        <w:rPr>
          <w:rFonts w:ascii="Times New Roman" w:eastAsia="Calibri" w:hAnsi="Times New Roman" w:cs="Times New Roman"/>
          <w:i/>
          <w:noProof/>
          <w:sz w:val="24"/>
          <w:szCs w:val="24"/>
        </w:rPr>
        <w:t xml:space="preserve">Should the ENP be given a strengthened focus on working with partners on </w:t>
      </w:r>
      <w:r>
        <w:rPr>
          <w:rFonts w:ascii="Times New Roman" w:eastAsia="Calibri" w:hAnsi="Times New Roman" w:cs="Times New Roman"/>
          <w:i/>
          <w:noProof/>
          <w:sz w:val="24"/>
          <w:szCs w:val="24"/>
        </w:rPr>
        <w:t xml:space="preserve">the prevention of radicalisation, the fight against terrorism and organised crime? </w:t>
      </w:r>
    </w:p>
    <w:p w:rsidR="007A0A57" w:rsidRDefault="0089745A">
      <w:pPr>
        <w:spacing w:before="120" w:after="120" w:line="240" w:lineRule="auto"/>
        <w:ind w:left="720"/>
        <w:jc w:val="both"/>
        <w:rPr>
          <w:rFonts w:ascii="Times New Roman" w:hAnsi="Times New Roman"/>
          <w:i/>
          <w:noProof/>
          <w:sz w:val="24"/>
          <w:szCs w:val="24"/>
        </w:rPr>
      </w:pPr>
      <w:r>
        <w:rPr>
          <w:rFonts w:ascii="Times New Roman" w:eastAsia="Calibri" w:hAnsi="Times New Roman" w:cs="Times New Roman"/>
          <w:i/>
          <w:noProof/>
          <w:sz w:val="24"/>
          <w:szCs w:val="24"/>
        </w:rPr>
        <w:t>Should security sector reform be given greater importance in the ENP?</w:t>
      </w:r>
    </w:p>
    <w:p w:rsidR="007A0A57" w:rsidRDefault="0089745A">
      <w:pPr>
        <w:numPr>
          <w:ilvl w:val="0"/>
          <w:numId w:val="4"/>
        </w:numPr>
        <w:spacing w:before="120" w:after="120" w:line="240" w:lineRule="auto"/>
        <w:jc w:val="both"/>
        <w:rPr>
          <w:rFonts w:ascii="Times New Roman" w:hAnsi="Times New Roman"/>
          <w:i/>
          <w:noProof/>
          <w:sz w:val="24"/>
          <w:szCs w:val="24"/>
        </w:rPr>
      </w:pPr>
      <w:r>
        <w:rPr>
          <w:rFonts w:ascii="Times New Roman" w:eastAsia="Calibri" w:hAnsi="Times New Roman" w:cs="Times New Roman"/>
          <w:noProof/>
          <w:sz w:val="24"/>
          <w:szCs w:val="24"/>
        </w:rPr>
        <w:t xml:space="preserve">The ENP includes a clear objective to promote </w:t>
      </w:r>
      <w:r>
        <w:rPr>
          <w:rFonts w:ascii="Times New Roman" w:eastAsia="Calibri" w:hAnsi="Times New Roman" w:cs="Times New Roman"/>
          <w:b/>
          <w:noProof/>
          <w:sz w:val="24"/>
          <w:szCs w:val="24"/>
        </w:rPr>
        <w:t>regional cooperation</w:t>
      </w:r>
      <w:r>
        <w:rPr>
          <w:rFonts w:ascii="Times New Roman" w:eastAsia="Calibri" w:hAnsi="Times New Roman" w:cs="Times New Roman"/>
          <w:noProof/>
          <w:sz w:val="24"/>
          <w:szCs w:val="24"/>
        </w:rPr>
        <w:t>. Together with partners, the EU has</w:t>
      </w:r>
      <w:r>
        <w:rPr>
          <w:rFonts w:ascii="Times New Roman" w:eastAsia="Calibri" w:hAnsi="Times New Roman" w:cs="Times New Roman"/>
          <w:noProof/>
          <w:sz w:val="24"/>
          <w:szCs w:val="24"/>
        </w:rPr>
        <w:t xml:space="preserve"> pursued such cooperation through the Union for the Mediterranean (UfM) in the South and the Eastern Partnership (EaP) in the East.</w:t>
      </w:r>
    </w:p>
    <w:p w:rsidR="007A0A57" w:rsidRDefault="0089745A">
      <w:pPr>
        <w:spacing w:before="120" w:after="120" w:line="240" w:lineRule="auto"/>
        <w:ind w:left="720"/>
        <w:jc w:val="both"/>
        <w:rPr>
          <w:rFonts w:ascii="Times New Roman" w:hAnsi="Times New Roman"/>
          <w:i/>
          <w:noProof/>
          <w:sz w:val="24"/>
          <w:szCs w:val="24"/>
        </w:rPr>
      </w:pPr>
      <w:r>
        <w:rPr>
          <w:rFonts w:ascii="Times New Roman" w:eastAsia="Calibri" w:hAnsi="Times New Roman" w:cs="Times New Roman"/>
          <w:i/>
          <w:noProof/>
          <w:sz w:val="24"/>
          <w:szCs w:val="24"/>
        </w:rPr>
        <w:t xml:space="preserve">Is the multilateral dimension able to deliver further added value? Are these formats fit for purpose? How can their </w:t>
      </w:r>
      <w:r>
        <w:rPr>
          <w:rFonts w:ascii="Times New Roman" w:eastAsia="Calibri" w:hAnsi="Times New Roman" w:cs="Times New Roman"/>
          <w:i/>
          <w:noProof/>
          <w:sz w:val="24"/>
          <w:szCs w:val="24"/>
        </w:rPr>
        <w:t>effectiveness be strengthened? Can we more effectively use other, more flexible frameworks? Can we better cooperate with other regional actors (Council of Europe, OSCE, League of Arab States, Organisation of the Islamic Conference, African Union)?</w:t>
      </w:r>
    </w:p>
    <w:p w:rsidR="007A0A57" w:rsidRDefault="0089745A">
      <w:pPr>
        <w:numPr>
          <w:ilvl w:val="0"/>
          <w:numId w:val="5"/>
        </w:numPr>
        <w:spacing w:before="120" w:after="120" w:line="240" w:lineRule="auto"/>
        <w:ind w:left="720"/>
        <w:jc w:val="both"/>
        <w:rPr>
          <w:rFonts w:ascii="Times New Roman" w:hAnsi="Times New Roman"/>
          <w:noProof/>
          <w:sz w:val="24"/>
          <w:szCs w:val="24"/>
        </w:rPr>
      </w:pPr>
      <w:r>
        <w:rPr>
          <w:rFonts w:ascii="Times New Roman" w:eastAsia="Calibri" w:hAnsi="Times New Roman" w:cs="Times New Roman"/>
          <w:noProof/>
          <w:sz w:val="24"/>
          <w:szCs w:val="24"/>
        </w:rPr>
        <w:t xml:space="preserve">The ENP </w:t>
      </w:r>
      <w:r>
        <w:rPr>
          <w:rFonts w:ascii="Times New Roman" w:eastAsia="Calibri" w:hAnsi="Times New Roman" w:cs="Times New Roman"/>
          <w:noProof/>
          <w:sz w:val="24"/>
          <w:szCs w:val="24"/>
        </w:rPr>
        <w:t xml:space="preserve">works extensively with governments, but also seeks to engage with </w:t>
      </w:r>
      <w:r>
        <w:rPr>
          <w:rFonts w:ascii="Times New Roman" w:eastAsia="Calibri" w:hAnsi="Times New Roman" w:cs="Times New Roman"/>
          <w:b/>
          <w:noProof/>
          <w:sz w:val="24"/>
          <w:szCs w:val="24"/>
        </w:rPr>
        <w:t>civil society</w:t>
      </w:r>
      <w:r>
        <w:rPr>
          <w:rFonts w:ascii="Times New Roman" w:eastAsia="Calibri" w:hAnsi="Times New Roman" w:cs="Times New Roman"/>
          <w:noProof/>
          <w:sz w:val="24"/>
          <w:szCs w:val="24"/>
        </w:rPr>
        <w:t>, including enhancing its monitoring function, particularly in countries where civil society is free, or largely free, to operate.</w:t>
      </w:r>
    </w:p>
    <w:p w:rsidR="007A0A57" w:rsidRDefault="0089745A">
      <w:p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xml:space="preserve">How should the ENP further develop engagement with civil society in its widest sense? Can more be done to network different parts of the partner populations? </w:t>
      </w:r>
    </w:p>
    <w:p w:rsidR="007A0A57" w:rsidRDefault="0089745A">
      <w:pPr>
        <w:spacing w:before="120" w:after="120" w:line="240" w:lineRule="auto"/>
        <w:ind w:left="720"/>
        <w:jc w:val="both"/>
        <w:rPr>
          <w:rFonts w:ascii="Times New Roman" w:hAnsi="Times New Roman"/>
          <w:i/>
          <w:noProof/>
          <w:sz w:val="24"/>
          <w:szCs w:val="24"/>
        </w:rPr>
      </w:pPr>
      <w:r>
        <w:rPr>
          <w:rFonts w:ascii="Times New Roman" w:eastAsia="Calibri" w:hAnsi="Times New Roman" w:cs="Times New Roman"/>
          <w:i/>
          <w:noProof/>
          <w:sz w:val="24"/>
          <w:szCs w:val="24"/>
        </w:rPr>
        <w:t>What more can be done to promote links between business communities? With and between Social Part</w:t>
      </w:r>
      <w:r>
        <w:rPr>
          <w:rFonts w:ascii="Times New Roman" w:eastAsia="Calibri" w:hAnsi="Times New Roman" w:cs="Times New Roman"/>
          <w:i/>
          <w:noProof/>
          <w:sz w:val="24"/>
          <w:szCs w:val="24"/>
        </w:rPr>
        <w:t>ners (trade unions and employers’ organisations) and to promote social dialogue?What can be done to promote links between scientific communities, universities, local authorities, women, youth, the media?</w:t>
      </w:r>
    </w:p>
    <w:p w:rsidR="007A0A57" w:rsidRDefault="0089745A">
      <w:pPr>
        <w:numPr>
          <w:ilvl w:val="0"/>
          <w:numId w:val="5"/>
        </w:numPr>
        <w:spacing w:before="120" w:after="120" w:line="240" w:lineRule="auto"/>
        <w:ind w:left="720"/>
        <w:jc w:val="both"/>
        <w:rPr>
          <w:rFonts w:ascii="Times New Roman" w:hAnsi="Times New Roman"/>
          <w:noProof/>
          <w:sz w:val="24"/>
        </w:rPr>
      </w:pPr>
      <w:r>
        <w:rPr>
          <w:rFonts w:ascii="Times New Roman" w:eastAsia="Calibri" w:hAnsi="Times New Roman" w:cs="Times New Roman"/>
          <w:noProof/>
          <w:sz w:val="24"/>
          <w:szCs w:val="24"/>
        </w:rPr>
        <w:t>The ENP seeks real partnership with the EU’s neighbo</w:t>
      </w:r>
      <w:r>
        <w:rPr>
          <w:rFonts w:ascii="Times New Roman" w:eastAsia="Calibri" w:hAnsi="Times New Roman" w:cs="Times New Roman"/>
          <w:noProof/>
          <w:sz w:val="24"/>
          <w:szCs w:val="24"/>
        </w:rPr>
        <w:t xml:space="preserve">urs, and this must reflect and embrace diversity. </w:t>
      </w:r>
    </w:p>
    <w:p w:rsidR="007A0A57" w:rsidRDefault="0089745A">
      <w:p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How can the ENP do more to foster religious dialogue and</w:t>
      </w:r>
      <w:r>
        <w:rPr>
          <w:rFonts w:ascii="Calibri" w:hAnsi="Calibri"/>
          <w:noProof/>
        </w:rPr>
        <w:t xml:space="preserve"> </w:t>
      </w:r>
      <w:r>
        <w:rPr>
          <w:rFonts w:ascii="Times New Roman" w:eastAsia="Calibri" w:hAnsi="Times New Roman" w:cs="Times New Roman"/>
          <w:i/>
          <w:noProof/>
          <w:sz w:val="24"/>
          <w:szCs w:val="24"/>
        </w:rPr>
        <w:t>respect for cultural diversity, and counter prejudice? Should increasing understanding of each other’s cultures be a more specific goal of the ENP a</w:t>
      </w:r>
      <w:r>
        <w:rPr>
          <w:rFonts w:ascii="Times New Roman" w:eastAsia="Calibri" w:hAnsi="Times New Roman" w:cs="Times New Roman"/>
          <w:i/>
          <w:noProof/>
          <w:sz w:val="24"/>
          <w:szCs w:val="24"/>
        </w:rPr>
        <w:t>nd how should this be pursued? How can the ENP help tackle discrimination against vulnerable groups?</w:t>
      </w:r>
    </w:p>
    <w:p w:rsidR="007A0A57" w:rsidRDefault="0089745A">
      <w:pPr>
        <w:keepNext/>
        <w:spacing w:before="240" w:after="120"/>
        <w:ind w:left="480" w:hanging="480"/>
        <w:outlineLvl w:val="0"/>
        <w:rPr>
          <w:rFonts w:ascii="Times New Roman" w:hAnsi="Times New Roman"/>
          <w:noProof/>
          <w:sz w:val="24"/>
        </w:rPr>
      </w:pPr>
      <w:r>
        <w:rPr>
          <w:rFonts w:ascii="Times New Roman" w:hAnsi="Times New Roman"/>
          <w:b/>
          <w:noProof/>
          <w:kern w:val="32"/>
          <w:sz w:val="24"/>
        </w:rPr>
        <w:t>III.</w:t>
      </w:r>
      <w:r>
        <w:rPr>
          <w:rFonts w:ascii="Times New Roman" w:hAnsi="Times New Roman"/>
          <w:b/>
          <w:noProof/>
          <w:kern w:val="32"/>
          <w:sz w:val="24"/>
        </w:rPr>
        <w:tab/>
        <w:t xml:space="preserve">Towards a Partnership with a </w:t>
      </w:r>
      <w:r>
        <w:rPr>
          <w:rFonts w:ascii="Times New Roman" w:eastAsia="Times New Roman" w:hAnsi="Times New Roman" w:cs="Times New Roman"/>
          <w:b/>
          <w:bCs/>
          <w:noProof/>
          <w:kern w:val="32"/>
          <w:sz w:val="24"/>
          <w:szCs w:val="24"/>
        </w:rPr>
        <w:t>Clearer</w:t>
      </w:r>
      <w:r>
        <w:rPr>
          <w:rFonts w:ascii="Times New Roman" w:hAnsi="Times New Roman"/>
          <w:b/>
          <w:noProof/>
          <w:kern w:val="32"/>
          <w:sz w:val="24"/>
        </w:rPr>
        <w:t xml:space="preserve"> Focus and </w:t>
      </w:r>
      <w:r>
        <w:rPr>
          <w:rFonts w:ascii="Times New Roman" w:eastAsia="Times New Roman" w:hAnsi="Times New Roman" w:cs="Times New Roman"/>
          <w:b/>
          <w:bCs/>
          <w:noProof/>
          <w:kern w:val="32"/>
          <w:sz w:val="24"/>
          <w:szCs w:val="24"/>
        </w:rPr>
        <w:t>More Tailored</w:t>
      </w:r>
      <w:r>
        <w:rPr>
          <w:rFonts w:ascii="Times New Roman" w:hAnsi="Times New Roman"/>
          <w:b/>
          <w:noProof/>
          <w:kern w:val="32"/>
          <w:sz w:val="24"/>
        </w:rPr>
        <w:t xml:space="preserve"> Cooperation</w:t>
      </w:r>
    </w:p>
    <w:p w:rsidR="007A0A57" w:rsidRDefault="0089745A">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Experience and initial comments </w:t>
      </w:r>
      <w:r>
        <w:rPr>
          <w:rFonts w:ascii="Times New Roman" w:eastAsia="Calibri" w:hAnsi="Times New Roman" w:cs="Times New Roman"/>
          <w:noProof/>
          <w:sz w:val="24"/>
          <w:szCs w:val="24"/>
        </w:rPr>
        <w:t>by a number of EU Member States and ENP partn</w:t>
      </w:r>
      <w:r>
        <w:rPr>
          <w:rFonts w:ascii="Times New Roman" w:eastAsia="Calibri" w:hAnsi="Times New Roman" w:cs="Times New Roman"/>
          <w:noProof/>
          <w:sz w:val="24"/>
          <w:szCs w:val="24"/>
        </w:rPr>
        <w:t xml:space="preserve">er countries to this review point to four priority areas which require further consultation and reflection: </w:t>
      </w:r>
    </w:p>
    <w:p w:rsidR="007A0A57" w:rsidRDefault="0089745A">
      <w:pPr>
        <w:numPr>
          <w:ilvl w:val="1"/>
          <w:numId w:val="2"/>
        </w:num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Differentiation </w:t>
      </w:r>
    </w:p>
    <w:p w:rsidR="007A0A57" w:rsidRDefault="0089745A">
      <w:pPr>
        <w:numPr>
          <w:ilvl w:val="1"/>
          <w:numId w:val="2"/>
        </w:num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Focus</w:t>
      </w:r>
    </w:p>
    <w:p w:rsidR="007A0A57" w:rsidRDefault="0089745A">
      <w:pPr>
        <w:numPr>
          <w:ilvl w:val="1"/>
          <w:numId w:val="2"/>
        </w:num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Flexibility</w:t>
      </w:r>
    </w:p>
    <w:p w:rsidR="007A0A57" w:rsidRDefault="0089745A">
      <w:pPr>
        <w:numPr>
          <w:ilvl w:val="1"/>
          <w:numId w:val="2"/>
        </w:num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Ownership &amp; visibility</w:t>
      </w:r>
    </w:p>
    <w:p w:rsidR="007A0A57" w:rsidRDefault="0089745A">
      <w:pPr>
        <w:keepNext/>
        <w:spacing w:before="240" w:after="0"/>
        <w:outlineLvl w:val="1"/>
        <w:rPr>
          <w:rFonts w:ascii="Times New Roman" w:hAnsi="Times New Roman"/>
          <w:noProof/>
          <w:sz w:val="24"/>
        </w:rPr>
      </w:pPr>
      <w:r>
        <w:rPr>
          <w:rFonts w:ascii="Times New Roman" w:hAnsi="Times New Roman"/>
          <w:b/>
          <w:i/>
          <w:noProof/>
          <w:sz w:val="24"/>
        </w:rPr>
        <w:t>1. The Challenges of Differentiation</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Some partners in the East are embarking on DCFTAs, and aspire to the closest possible relationship with the EU. Although the large scope of the relationship is far from exhausted in any of these cases, there is an aspiration on their side to set a further </w:t>
      </w:r>
      <w:r>
        <w:rPr>
          <w:rFonts w:ascii="Times New Roman" w:eastAsia="Calibri" w:hAnsi="Times New Roman" w:cs="Times New Roman"/>
          <w:noProof/>
          <w:sz w:val="24"/>
          <w:szCs w:val="24"/>
        </w:rPr>
        <w:t xml:space="preserve">horizon beyond their Association Agreements/DCFTAs. </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South, there are increasing divergences in the aspirations of partner countries and instability arising from armed conflict</w:t>
      </w:r>
      <w:r>
        <w:rPr>
          <w:rFonts w:ascii="Times New Roman" w:hAnsi="Times New Roman"/>
          <w:noProof/>
          <w:sz w:val="24"/>
        </w:rPr>
        <w:t>.</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xml:space="preserve">The events in the Arab world in 2011 and thereafter have fundamentally </w:t>
      </w:r>
      <w:r>
        <w:rPr>
          <w:rFonts w:ascii="Times New Roman" w:eastAsia="Calibri" w:hAnsi="Times New Roman" w:cs="Times New Roman"/>
          <w:noProof/>
          <w:sz w:val="24"/>
          <w:szCs w:val="24"/>
        </w:rPr>
        <w:t>changed the region. For some Southern partners, this has led to positive political change; others are undergoing complex transitions, remain heavily exposed to the fallout of the Syrian crisis, or remain caught in protracted conflicts.</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i/>
          <w:noProof/>
          <w:sz w:val="24"/>
          <w:szCs w:val="24"/>
        </w:rPr>
        <w:t>Should the EU gradua</w:t>
      </w:r>
      <w:r>
        <w:rPr>
          <w:rFonts w:ascii="Times New Roman" w:eastAsia="Calibri" w:hAnsi="Times New Roman" w:cs="Times New Roman"/>
          <w:i/>
          <w:noProof/>
          <w:sz w:val="24"/>
          <w:szCs w:val="24"/>
        </w:rPr>
        <w:t>lly explore new relationship formats to satisfy the aspirations and choices of those who do not consider the Association Agreements as the final stage of political association and economic integration?</w:t>
      </w:r>
    </w:p>
    <w:p w:rsidR="007A0A57" w:rsidRDefault="0089745A">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How should the EU take forward the tasking of the 2013</w:t>
      </w:r>
      <w:r>
        <w:rPr>
          <w:rFonts w:ascii="Times New Roman" w:eastAsia="Calibri" w:hAnsi="Times New Roman" w:cs="Times New Roman"/>
          <w:i/>
          <w:noProof/>
          <w:sz w:val="24"/>
          <w:szCs w:val="24"/>
        </w:rPr>
        <w:t xml:space="preserve"> Eastern Partnership Summit in Vilnius of the long-term goal of a wider common area of economic prosperity based on WTO rules and sovereign choices throughout Europe and beyond? </w:t>
      </w:r>
    </w:p>
    <w:p w:rsidR="007A0A57" w:rsidRDefault="0089745A">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Is there scope within the ENP for some kind of variable geometry, with differ</w:t>
      </w:r>
      <w:r>
        <w:rPr>
          <w:rFonts w:ascii="Times New Roman" w:eastAsia="Calibri" w:hAnsi="Times New Roman" w:cs="Times New Roman"/>
          <w:i/>
          <w:noProof/>
          <w:sz w:val="24"/>
          <w:szCs w:val="24"/>
        </w:rPr>
        <w:t xml:space="preserve">ent kinds of relationships for those partners that choose different levels of engagement? </w:t>
      </w:r>
    </w:p>
    <w:p w:rsidR="007A0A57" w:rsidRDefault="0089745A">
      <w:pPr>
        <w:keepNext/>
        <w:spacing w:before="240" w:after="0"/>
        <w:outlineLvl w:val="1"/>
        <w:rPr>
          <w:rFonts w:ascii="Times New Roman" w:hAnsi="Times New Roman"/>
          <w:noProof/>
          <w:sz w:val="24"/>
        </w:rPr>
      </w:pPr>
      <w:r>
        <w:rPr>
          <w:rFonts w:ascii="Times New Roman" w:hAnsi="Times New Roman"/>
          <w:b/>
          <w:i/>
          <w:noProof/>
          <w:sz w:val="24"/>
        </w:rPr>
        <w:t>2. Focus</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Our cooperation with ENP partners, as set out in the Action Plans, is currently very broad. Experience suggests that the ENP will be most effective when the</w:t>
      </w:r>
      <w:r>
        <w:rPr>
          <w:rFonts w:ascii="Times New Roman" w:eastAsia="Calibri" w:hAnsi="Times New Roman" w:cs="Times New Roman"/>
          <w:noProof/>
          <w:sz w:val="24"/>
          <w:szCs w:val="24"/>
        </w:rPr>
        <w:t xml:space="preserve"> agenda of the EU and its partner is truly shared. The review needs to clarify what are the interests of the EU and each partner, and those areas of strongest common interest. This will help strengthen the partnership between the EU and our neighbouring co</w:t>
      </w:r>
      <w:r>
        <w:rPr>
          <w:rFonts w:ascii="Times New Roman" w:eastAsia="Calibri" w:hAnsi="Times New Roman" w:cs="Times New Roman"/>
          <w:noProof/>
          <w:sz w:val="24"/>
          <w:szCs w:val="24"/>
        </w:rPr>
        <w:t>untries going forwards.</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the basis of our informal consultations to date, the initial assessment is that the EU and our partners have strongest common interest in the following areas:</w:t>
      </w:r>
    </w:p>
    <w:p w:rsidR="007A0A57" w:rsidRDefault="0089745A">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Promoting </w:t>
      </w:r>
      <w:r>
        <w:rPr>
          <w:rFonts w:ascii="Times New Roman" w:eastAsia="Calibri" w:hAnsi="Times New Roman" w:cs="Times New Roman"/>
          <w:b/>
          <w:noProof/>
          <w:sz w:val="24"/>
          <w:szCs w:val="24"/>
        </w:rPr>
        <w:t xml:space="preserve">trade </w:t>
      </w:r>
      <w:r>
        <w:rPr>
          <w:rFonts w:ascii="Times New Roman" w:eastAsia="Calibri" w:hAnsi="Times New Roman" w:cs="Times New Roman"/>
          <w:noProof/>
          <w:sz w:val="24"/>
        </w:rPr>
        <w:t>and</w:t>
      </w:r>
      <w:r>
        <w:rPr>
          <w:rFonts w:ascii="Times New Roman" w:eastAsia="Calibri" w:hAnsi="Times New Roman" w:cs="Times New Roman"/>
          <w:noProof/>
          <w:sz w:val="24"/>
          <w:szCs w:val="24"/>
        </w:rPr>
        <w:t xml:space="preserve"> inclusive and sustainable </w:t>
      </w:r>
      <w:r>
        <w:rPr>
          <w:rFonts w:ascii="Times New Roman" w:eastAsia="Calibri" w:hAnsi="Times New Roman" w:cs="Times New Roman"/>
          <w:b/>
          <w:noProof/>
          <w:sz w:val="24"/>
          <w:szCs w:val="24"/>
        </w:rPr>
        <w:t>economic development</w:t>
      </w:r>
      <w:r>
        <w:rPr>
          <w:rFonts w:ascii="Times New Roman" w:eastAsia="Calibri" w:hAnsi="Times New Roman" w:cs="Times New Roman"/>
          <w:noProof/>
          <w:sz w:val="24"/>
          <w:szCs w:val="24"/>
        </w:rPr>
        <w:t xml:space="preserve"> and</w:t>
      </w:r>
      <w:r>
        <w:rPr>
          <w:rFonts w:ascii="Times New Roman" w:eastAsia="Calibri" w:hAnsi="Times New Roman" w:cs="Times New Roman"/>
          <w:noProof/>
          <w:sz w:val="24"/>
          <w:szCs w:val="24"/>
        </w:rPr>
        <w:t xml:space="preserve"> enhancing job opportunities are priorities for our Neighbours and are also in the interests of the EU itself, in areas ranging from traditional rural livelihoods to research and digital markets.  </w:t>
      </w:r>
    </w:p>
    <w:p w:rsidR="007A0A57" w:rsidRDefault="0089745A">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Both also have strong shared interests in improving </w:t>
      </w:r>
      <w:r>
        <w:rPr>
          <w:rFonts w:ascii="Times New Roman" w:eastAsia="Calibri" w:hAnsi="Times New Roman" w:cs="Times New Roman"/>
          <w:b/>
          <w:noProof/>
          <w:sz w:val="24"/>
          <w:szCs w:val="24"/>
        </w:rPr>
        <w:t>connec</w:t>
      </w:r>
      <w:r>
        <w:rPr>
          <w:rFonts w:ascii="Times New Roman" w:eastAsia="Calibri" w:hAnsi="Times New Roman" w:cs="Times New Roman"/>
          <w:b/>
          <w:noProof/>
          <w:sz w:val="24"/>
          <w:szCs w:val="24"/>
        </w:rPr>
        <w:t>tivity</w:t>
      </w:r>
      <w:r>
        <w:rPr>
          <w:rFonts w:ascii="Times New Roman" w:eastAsia="Calibri" w:hAnsi="Times New Roman" w:cs="Times New Roman"/>
          <w:noProof/>
          <w:sz w:val="24"/>
          <w:szCs w:val="24"/>
        </w:rPr>
        <w:t>, notably in the fields of sustainable transport and energy. There is also a shared interest in increasing energy security and efficiency, as well as energy safety.</w:t>
      </w:r>
    </w:p>
    <w:p w:rsidR="007A0A57" w:rsidRDefault="0089745A">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are currently a number of conflicts affecting the neighbourhood region. Stabili</w:t>
      </w:r>
      <w:r>
        <w:rPr>
          <w:rFonts w:ascii="Times New Roman" w:eastAsia="Calibri" w:hAnsi="Times New Roman" w:cs="Times New Roman"/>
          <w:noProof/>
          <w:sz w:val="24"/>
          <w:szCs w:val="24"/>
        </w:rPr>
        <w:t xml:space="preserve">ty is a prerequisite for working together on enhanced prosperity. The EU and its Member States need to do more together with our partners to address the </w:t>
      </w:r>
      <w:r>
        <w:rPr>
          <w:rFonts w:ascii="Times New Roman" w:eastAsia="Calibri" w:hAnsi="Times New Roman" w:cs="Times New Roman"/>
          <w:b/>
          <w:noProof/>
          <w:sz w:val="24"/>
          <w:szCs w:val="24"/>
        </w:rPr>
        <w:t xml:space="preserve">security </w:t>
      </w:r>
      <w:r>
        <w:rPr>
          <w:rFonts w:ascii="Times New Roman" w:eastAsia="Calibri" w:hAnsi="Times New Roman" w:cs="Times New Roman"/>
          <w:noProof/>
          <w:sz w:val="24"/>
          <w:szCs w:val="24"/>
        </w:rPr>
        <w:t>threats that arise from conflict situations, from organised crime and from terrorism, and to d</w:t>
      </w:r>
      <w:r>
        <w:rPr>
          <w:rFonts w:ascii="Times New Roman" w:eastAsia="Calibri" w:hAnsi="Times New Roman" w:cs="Times New Roman"/>
          <w:noProof/>
          <w:sz w:val="24"/>
          <w:szCs w:val="24"/>
        </w:rPr>
        <w:t xml:space="preserve">evelop our ability to jointly manage crises and disasters. </w:t>
      </w:r>
    </w:p>
    <w:p w:rsidR="007A0A57" w:rsidRDefault="0089745A">
      <w:pPr>
        <w:numPr>
          <w:ilvl w:val="0"/>
          <w:numId w:val="7"/>
        </w:num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 xml:space="preserve">Our partners face </w:t>
      </w:r>
      <w:r>
        <w:rPr>
          <w:rFonts w:ascii="Times New Roman" w:eastAsia="Calibri" w:hAnsi="Times New Roman" w:cs="Times New Roman"/>
          <w:b/>
          <w:noProof/>
          <w:sz w:val="24"/>
          <w:szCs w:val="24"/>
        </w:rPr>
        <w:t>governance</w:t>
      </w:r>
      <w:r>
        <w:rPr>
          <w:rFonts w:ascii="Times New Roman" w:eastAsia="Calibri" w:hAnsi="Times New Roman" w:cs="Times New Roman"/>
          <w:noProof/>
          <w:sz w:val="24"/>
          <w:szCs w:val="24"/>
        </w:rPr>
        <w:t xml:space="preserve"> challenges. Ensuring rule of law, human rights and democracy is first and foremost key for their own citizens. By enhancing legal certainty, they also address issues t</w:t>
      </w:r>
      <w:r>
        <w:rPr>
          <w:rFonts w:ascii="Times New Roman" w:eastAsia="Calibri" w:hAnsi="Times New Roman" w:cs="Times New Roman"/>
          <w:noProof/>
          <w:sz w:val="24"/>
          <w:szCs w:val="24"/>
        </w:rPr>
        <w:t xml:space="preserve">hat are important for domestic and foreign investors, such as fighting corruption and fraud and strengthening public finance management, </w:t>
      </w:r>
      <w:r>
        <w:rPr>
          <w:rFonts w:ascii="Times New Roman" w:eastAsia="Calibri" w:hAnsi="Times New Roman" w:cs="Times New Roman"/>
          <w:noProof/>
          <w:color w:val="000000"/>
          <w:sz w:val="24"/>
          <w:szCs w:val="24"/>
        </w:rPr>
        <w:t>including public internal control based on international standards</w:t>
      </w:r>
      <w:r>
        <w:rPr>
          <w:rFonts w:ascii="Times New Roman" w:eastAsia="Calibri" w:hAnsi="Times New Roman" w:cs="Times New Roman"/>
          <w:noProof/>
          <w:sz w:val="24"/>
          <w:szCs w:val="24"/>
        </w:rPr>
        <w:t>.</w:t>
      </w:r>
    </w:p>
    <w:p w:rsidR="007A0A57" w:rsidRDefault="0089745A">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Migration and mobility</w:t>
      </w:r>
      <w:r>
        <w:rPr>
          <w:rFonts w:ascii="Times New Roman" w:eastAsia="Calibri" w:hAnsi="Times New Roman" w:cs="Times New Roman"/>
          <w:noProof/>
          <w:sz w:val="24"/>
          <w:szCs w:val="24"/>
        </w:rPr>
        <w:t xml:space="preserve"> is a key area of co-operation for the EU and our partners. Enhancing mobility, especially for education, scientific, cultural, training and professional purposes, has positive effects on economies and societies alike. Tackling people smuggling and illegal</w:t>
      </w:r>
      <w:r>
        <w:rPr>
          <w:rFonts w:ascii="Times New Roman" w:eastAsia="Calibri" w:hAnsi="Times New Roman" w:cs="Times New Roman"/>
          <w:noProof/>
          <w:sz w:val="24"/>
          <w:szCs w:val="24"/>
        </w:rPr>
        <w:t xml:space="preserve"> migration is a common challenge. </w:t>
      </w:r>
    </w:p>
    <w:p w:rsidR="007A0A57" w:rsidRDefault="0089745A">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Other common challenges</w:t>
      </w:r>
      <w:r>
        <w:rPr>
          <w:rFonts w:ascii="Times New Roman" w:eastAsia="Calibri" w:hAnsi="Times New Roman" w:cs="Times New Roman"/>
          <w:noProof/>
          <w:sz w:val="24"/>
          <w:szCs w:val="24"/>
        </w:rPr>
        <w:t xml:space="preserve"> with impacts across borders are health security, threats to the environment and climate change. </w:t>
      </w:r>
    </w:p>
    <w:p w:rsidR="007A0A57" w:rsidRDefault="0089745A">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Increasing engagement with </w:t>
      </w:r>
      <w:r>
        <w:rPr>
          <w:rFonts w:ascii="Times New Roman" w:eastAsia="Calibri" w:hAnsi="Times New Roman" w:cs="Times New Roman"/>
          <w:b/>
          <w:noProof/>
          <w:sz w:val="24"/>
          <w:szCs w:val="24"/>
        </w:rPr>
        <w:t>young people</w:t>
      </w:r>
      <w:r>
        <w:rPr>
          <w:rFonts w:ascii="Times New Roman" w:eastAsia="Calibri" w:hAnsi="Times New Roman" w:cs="Times New Roman"/>
          <w:noProof/>
          <w:sz w:val="24"/>
          <w:szCs w:val="24"/>
        </w:rPr>
        <w:t>, including through</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educational exchanges and other networks,</w:t>
      </w:r>
      <w:r>
        <w:rPr>
          <w:rFonts w:ascii="Times New Roman" w:eastAsia="Calibri" w:hAnsi="Times New Roman" w:cs="Times New Roman"/>
          <w:noProof/>
          <w:sz w:val="24"/>
          <w:szCs w:val="24"/>
        </w:rPr>
        <w:t xml:space="preserve"> can play a major role in developing a common vision for the future. The EU will continue to support increased opportunities for </w:t>
      </w:r>
      <w:r>
        <w:rPr>
          <w:rFonts w:ascii="Times New Roman" w:eastAsia="Calibri" w:hAnsi="Times New Roman" w:cs="Times New Roman"/>
          <w:b/>
          <w:noProof/>
          <w:sz w:val="24"/>
          <w:szCs w:val="24"/>
        </w:rPr>
        <w:t>women</w:t>
      </w:r>
      <w:r>
        <w:rPr>
          <w:rFonts w:ascii="Times New Roman" w:eastAsia="Calibri" w:hAnsi="Times New Roman" w:cs="Times New Roman"/>
          <w:noProof/>
          <w:sz w:val="24"/>
          <w:szCs w:val="24"/>
        </w:rPr>
        <w:t>.</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review is an opportunity to establish a firm understanding between the EU and our partners of those areas of stronge</w:t>
      </w:r>
      <w:r>
        <w:rPr>
          <w:rFonts w:ascii="Times New Roman" w:eastAsia="Calibri" w:hAnsi="Times New Roman" w:cs="Times New Roman"/>
          <w:noProof/>
          <w:sz w:val="24"/>
          <w:szCs w:val="24"/>
        </w:rPr>
        <w:t>st common interest. This will be the basis for a stronger partnership going forwards.</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that regard, we would propose to focus the consultations on the following questions:</w:t>
      </w:r>
    </w:p>
    <w:p w:rsidR="007A0A57" w:rsidRDefault="0089745A">
      <w:pPr>
        <w:numPr>
          <w:ilvl w:val="0"/>
          <w:numId w:val="6"/>
        </w:numPr>
        <w:spacing w:before="120" w:after="120" w:line="240" w:lineRule="auto"/>
        <w:jc w:val="both"/>
        <w:rPr>
          <w:rFonts w:ascii="Times New Roman" w:hAnsi="Times New Roman"/>
          <w:i/>
          <w:noProof/>
          <w:sz w:val="24"/>
          <w:szCs w:val="24"/>
        </w:rPr>
      </w:pPr>
      <w:r>
        <w:rPr>
          <w:rFonts w:ascii="Times New Roman" w:eastAsia="Calibri" w:hAnsi="Times New Roman" w:cs="Times New Roman"/>
          <w:i/>
          <w:noProof/>
          <w:sz w:val="24"/>
          <w:szCs w:val="24"/>
        </w:rPr>
        <w:t>Do you agree with the proposed areas of focus? If not, what alternative or additio</w:t>
      </w:r>
      <w:r>
        <w:rPr>
          <w:rFonts w:ascii="Times New Roman" w:eastAsia="Calibri" w:hAnsi="Times New Roman" w:cs="Times New Roman"/>
          <w:i/>
          <w:noProof/>
          <w:sz w:val="24"/>
          <w:szCs w:val="24"/>
        </w:rPr>
        <w:t>nal priorities would you propose?</w:t>
      </w:r>
    </w:p>
    <w:p w:rsidR="007A0A57" w:rsidRDefault="0089745A">
      <w:pPr>
        <w:numPr>
          <w:ilvl w:val="0"/>
          <w:numId w:val="6"/>
        </w:numPr>
        <w:spacing w:before="120" w:after="120" w:line="240" w:lineRule="auto"/>
        <w:jc w:val="both"/>
        <w:rPr>
          <w:rFonts w:ascii="Times New Roman" w:hAnsi="Times New Roman"/>
          <w:i/>
          <w:noProof/>
          <w:sz w:val="24"/>
          <w:szCs w:val="24"/>
        </w:rPr>
      </w:pPr>
      <w:r>
        <w:rPr>
          <w:rFonts w:ascii="Times New Roman" w:eastAsia="Calibri" w:hAnsi="Times New Roman" w:cs="Times New Roman"/>
          <w:i/>
          <w:noProof/>
          <w:sz w:val="24"/>
          <w:szCs w:val="24"/>
        </w:rPr>
        <w:t>Which priorities do partners see in terms of their relations with the EU? Which sector or policy areas would they like to develop further? Which areas are less interesting for partners?</w:t>
      </w:r>
    </w:p>
    <w:p w:rsidR="007A0A57" w:rsidRDefault="0089745A">
      <w:pPr>
        <w:numPr>
          <w:ilvl w:val="0"/>
          <w:numId w:val="6"/>
        </w:numPr>
        <w:spacing w:before="120" w:after="120" w:line="240" w:lineRule="auto"/>
        <w:jc w:val="both"/>
        <w:rPr>
          <w:rFonts w:ascii="Times New Roman" w:hAnsi="Times New Roman"/>
          <w:i/>
          <w:noProof/>
          <w:sz w:val="24"/>
          <w:szCs w:val="24"/>
        </w:rPr>
      </w:pPr>
      <w:r>
        <w:rPr>
          <w:rFonts w:ascii="Times New Roman" w:eastAsia="Calibri" w:hAnsi="Times New Roman" w:cs="Times New Roman"/>
          <w:i/>
          <w:noProof/>
          <w:sz w:val="24"/>
          <w:szCs w:val="24"/>
        </w:rPr>
        <w:t>Does the ENP currently have the righ</w:t>
      </w:r>
      <w:r>
        <w:rPr>
          <w:rFonts w:ascii="Times New Roman" w:eastAsia="Calibri" w:hAnsi="Times New Roman" w:cs="Times New Roman"/>
          <w:i/>
          <w:noProof/>
          <w:sz w:val="24"/>
          <w:szCs w:val="24"/>
        </w:rPr>
        <w:t xml:space="preserve">t tools to address the priorities on which you consider it should focus? How could sectoral dialogues contribute? </w:t>
      </w:r>
    </w:p>
    <w:p w:rsidR="007A0A57" w:rsidRDefault="0089745A">
      <w:pPr>
        <w:numPr>
          <w:ilvl w:val="0"/>
          <w:numId w:val="6"/>
        </w:numPr>
        <w:spacing w:before="120" w:after="120" w:line="240" w:lineRule="auto"/>
        <w:jc w:val="both"/>
        <w:rPr>
          <w:rFonts w:ascii="Times New Roman" w:hAnsi="Times New Roman"/>
          <w:i/>
          <w:noProof/>
          <w:sz w:val="24"/>
          <w:szCs w:val="24"/>
        </w:rPr>
      </w:pPr>
      <w:r>
        <w:rPr>
          <w:rFonts w:ascii="Times New Roman" w:eastAsia="Calibri" w:hAnsi="Times New Roman" w:cs="Times New Roman"/>
          <w:i/>
          <w:noProof/>
          <w:sz w:val="24"/>
          <w:szCs w:val="24"/>
        </w:rPr>
        <w:t xml:space="preserve">If not, what new tools could be helpful to deepen cooperation in these sectors? </w:t>
      </w:r>
    </w:p>
    <w:p w:rsidR="007A0A57" w:rsidRDefault="0089745A">
      <w:pPr>
        <w:numPr>
          <w:ilvl w:val="0"/>
          <w:numId w:val="6"/>
        </w:numPr>
        <w:spacing w:before="120" w:after="120" w:line="240" w:lineRule="auto"/>
        <w:jc w:val="both"/>
        <w:rPr>
          <w:rFonts w:ascii="Times New Roman" w:hAnsi="Times New Roman"/>
          <w:i/>
          <w:noProof/>
          <w:sz w:val="24"/>
          <w:szCs w:val="24"/>
        </w:rPr>
      </w:pPr>
      <w:r>
        <w:rPr>
          <w:rFonts w:ascii="Times New Roman" w:eastAsia="Calibri" w:hAnsi="Times New Roman" w:cs="Times New Roman"/>
          <w:i/>
          <w:noProof/>
          <w:sz w:val="24"/>
          <w:szCs w:val="24"/>
        </w:rPr>
        <w:t>How can the EU better support a focus on a limited number of</w:t>
      </w:r>
      <w:r>
        <w:rPr>
          <w:rFonts w:ascii="Times New Roman" w:eastAsia="Calibri" w:hAnsi="Times New Roman" w:cs="Times New Roman"/>
          <w:i/>
          <w:noProof/>
          <w:sz w:val="24"/>
          <w:szCs w:val="24"/>
        </w:rPr>
        <w:t xml:space="preserve"> key sectors, for partners that prefer this?</w:t>
      </w:r>
    </w:p>
    <w:p w:rsidR="007A0A57" w:rsidRDefault="0089745A">
      <w:pPr>
        <w:keepNext/>
        <w:spacing w:before="240" w:after="0"/>
        <w:outlineLvl w:val="1"/>
        <w:rPr>
          <w:rFonts w:ascii="Times New Roman" w:hAnsi="Times New Roman"/>
          <w:noProof/>
          <w:sz w:val="24"/>
        </w:rPr>
      </w:pPr>
      <w:r>
        <w:rPr>
          <w:rFonts w:ascii="Times New Roman" w:hAnsi="Times New Roman"/>
          <w:b/>
          <w:i/>
          <w:noProof/>
          <w:sz w:val="24"/>
        </w:rPr>
        <w:t xml:space="preserve">3. Flexibility – </w:t>
      </w:r>
      <w:r>
        <w:rPr>
          <w:rFonts w:ascii="Times New Roman" w:eastAsia="Times New Roman" w:hAnsi="Times New Roman" w:cs="Times New Roman"/>
          <w:b/>
          <w:bCs/>
          <w:i/>
          <w:iCs/>
          <w:noProof/>
          <w:sz w:val="24"/>
          <w:szCs w:val="24"/>
        </w:rPr>
        <w:t>Towards</w:t>
      </w:r>
      <w:r>
        <w:rPr>
          <w:rFonts w:ascii="Times New Roman" w:hAnsi="Times New Roman"/>
          <w:b/>
          <w:i/>
          <w:noProof/>
          <w:sz w:val="24"/>
        </w:rPr>
        <w:t xml:space="preserve"> a </w:t>
      </w:r>
      <w:r>
        <w:rPr>
          <w:rFonts w:ascii="Times New Roman" w:eastAsia="Times New Roman" w:hAnsi="Times New Roman" w:cs="Times New Roman"/>
          <w:b/>
          <w:bCs/>
          <w:i/>
          <w:iCs/>
          <w:noProof/>
          <w:sz w:val="24"/>
          <w:szCs w:val="24"/>
        </w:rPr>
        <w:t>More Flexible Toolbox</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 the past ten years, the EU has developed and expanded the instruments of the ENP. It is currently based on the following central elements:</w:t>
      </w:r>
    </w:p>
    <w:p w:rsidR="007A0A57" w:rsidRDefault="0089745A">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Relations between </w:t>
      </w:r>
      <w:r>
        <w:rPr>
          <w:rFonts w:ascii="Times New Roman" w:eastAsia="Calibri" w:hAnsi="Times New Roman" w:cs="Times New Roman"/>
          <w:noProof/>
          <w:sz w:val="24"/>
          <w:szCs w:val="24"/>
        </w:rPr>
        <w:t>the EU and the majority of ENP partner countries are structured in the legal framework provided by Association Agreements (AAs) or Partnership and Cooperation Agreements (PCAs).</w:t>
      </w:r>
    </w:p>
    <w:p w:rsidR="007A0A57" w:rsidRDefault="0089745A">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Action Plans or Association Agendas have been agreed to date with 12 ENP </w:t>
      </w:r>
      <w:r>
        <w:rPr>
          <w:rFonts w:ascii="Times New Roman" w:eastAsia="Calibri" w:hAnsi="Times New Roman" w:cs="Times New Roman"/>
          <w:noProof/>
          <w:sz w:val="24"/>
          <w:szCs w:val="24"/>
        </w:rPr>
        <w:t>partner countries; for each of these countries, there is an annual report on implementation of Action Plan priorities.</w:t>
      </w:r>
    </w:p>
    <w:p w:rsidR="007A0A57" w:rsidRDefault="0089745A">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addition to annual progress reports, the Annual Neighbourhood Package also comprises one strategic communication and two reports on im</w:t>
      </w:r>
      <w:r>
        <w:rPr>
          <w:rFonts w:ascii="Times New Roman" w:eastAsia="Calibri" w:hAnsi="Times New Roman" w:cs="Times New Roman"/>
          <w:noProof/>
          <w:sz w:val="24"/>
          <w:szCs w:val="24"/>
        </w:rPr>
        <w:t>plementation of regional cooperation priorities, one on the Partnership for Democracy and Shared Prosperity with Southern partners and the other on the Eastern Partnership.</w:t>
      </w:r>
    </w:p>
    <w:p w:rsidR="007A0A57" w:rsidRDefault="0089745A">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EU holds regular bilateral dialogues with most ENP partner countries in </w:t>
      </w:r>
      <w:r>
        <w:rPr>
          <w:rFonts w:ascii="Times New Roman" w:eastAsia="Calibri" w:hAnsi="Times New Roman" w:cs="Times New Roman"/>
          <w:noProof/>
          <w:sz w:val="24"/>
          <w:szCs w:val="24"/>
        </w:rPr>
        <w:t>different formats. This includes formal exchanges foreseen in the AAs or PCAs (Association/Cooperation Councils, Association/Cooperation Committees, sectoral subcommittees). There are also numerous other interfaces, such as Human Rights Dialogues and other</w:t>
      </w:r>
      <w:r>
        <w:rPr>
          <w:rFonts w:ascii="Times New Roman" w:eastAsia="Calibri" w:hAnsi="Times New Roman" w:cs="Times New Roman"/>
          <w:noProof/>
          <w:sz w:val="24"/>
          <w:szCs w:val="24"/>
        </w:rPr>
        <w:t xml:space="preserve"> sector-specific dialogues.</w:t>
      </w:r>
    </w:p>
    <w:p w:rsidR="007A0A57" w:rsidRDefault="0089745A">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Substantial targeted financial support has already been provided to ENP partner countries. A further EUR 15 billion is foreseen for the period 2014-2020. A mid-term review is scheduled for 2017, which will be a major opportunity</w:t>
      </w:r>
      <w:r>
        <w:rPr>
          <w:rFonts w:ascii="Times New Roman" w:eastAsia="Calibri" w:hAnsi="Times New Roman" w:cs="Times New Roman"/>
          <w:noProof/>
          <w:sz w:val="24"/>
          <w:szCs w:val="24"/>
        </w:rPr>
        <w:t xml:space="preserve"> to adjust the allocation and implementation of funding from the European Neighbourhood Instrument in the light of the results of this review and to ensure that the EU is better able to respond more flexibly through its financial cooperation to rapidly cha</w:t>
      </w:r>
      <w:r>
        <w:rPr>
          <w:rFonts w:ascii="Times New Roman" w:eastAsia="Calibri" w:hAnsi="Times New Roman" w:cs="Times New Roman"/>
          <w:noProof/>
          <w:sz w:val="24"/>
          <w:szCs w:val="24"/>
        </w:rPr>
        <w:t>nging developments in the region.</w:t>
      </w:r>
    </w:p>
    <w:p w:rsidR="007A0A57" w:rsidRDefault="0089745A">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How to streamline Action Plans to adapt them better to individual country needs and priorities?</w:t>
      </w:r>
    </w:p>
    <w:p w:rsidR="007A0A57" w:rsidRDefault="0089745A">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Is annual reporting needed for countries which do not choose to pursue closer political and economic integration?</w:t>
      </w:r>
    </w:p>
    <w:p w:rsidR="007A0A57" w:rsidRDefault="0089745A">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How should t</w:t>
      </w:r>
      <w:r>
        <w:rPr>
          <w:rFonts w:ascii="Times New Roman" w:eastAsia="Calibri" w:hAnsi="Times New Roman" w:cs="Times New Roman"/>
          <w:i/>
          <w:noProof/>
          <w:sz w:val="24"/>
          <w:szCs w:val="24"/>
        </w:rPr>
        <w:t>he EU structure relations with countries that do not currently have Action Plans?</w:t>
      </w:r>
    </w:p>
    <w:p w:rsidR="007A0A57" w:rsidRDefault="0089745A">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How can the EU adapt the ‘more for more’ principle to a context in which certain partners do not choose closer integration, in order to create incentives for the respect of f</w:t>
      </w:r>
      <w:r>
        <w:rPr>
          <w:rFonts w:ascii="Times New Roman" w:eastAsia="Calibri" w:hAnsi="Times New Roman" w:cs="Times New Roman"/>
          <w:i/>
          <w:noProof/>
          <w:sz w:val="24"/>
          <w:szCs w:val="24"/>
        </w:rPr>
        <w:t>undamental values and further key reforms?</w:t>
      </w:r>
    </w:p>
    <w:p w:rsidR="007A0A57" w:rsidRDefault="0089745A">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How to assess progress against jointly agreed reform targets when a partner country experiences significant external pressure, for instance armed conflict or refugee flows?</w:t>
      </w:r>
    </w:p>
    <w:p w:rsidR="007A0A57" w:rsidRDefault="0089745A">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How can the EU engage more effectively a</w:t>
      </w:r>
      <w:r>
        <w:rPr>
          <w:rFonts w:ascii="Times New Roman" w:eastAsia="Calibri" w:hAnsi="Times New Roman" w:cs="Times New Roman"/>
          <w:i/>
          <w:noProof/>
          <w:sz w:val="24"/>
          <w:szCs w:val="24"/>
        </w:rPr>
        <w:t>nd respond more flexibly to developments in partner countries affected by conflict situations?</w:t>
      </w:r>
    </w:p>
    <w:p w:rsidR="007A0A57" w:rsidRDefault="0089745A">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What tools would the EU need to respond more effectively to fast-changing developments in its neighbourhood?</w:t>
      </w:r>
    </w:p>
    <w:p w:rsidR="007A0A57" w:rsidRDefault="0089745A">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Are the choice of sectors and mechanisms for deliver</w:t>
      </w:r>
      <w:r>
        <w:rPr>
          <w:rFonts w:ascii="Times New Roman" w:eastAsia="Calibri" w:hAnsi="Times New Roman" w:cs="Times New Roman"/>
          <w:i/>
          <w:noProof/>
          <w:sz w:val="24"/>
          <w:szCs w:val="24"/>
        </w:rPr>
        <w:t>y of EU financial support appropriate? How could its impact and visibility be enhanced?</w:t>
      </w:r>
    </w:p>
    <w:p w:rsidR="007A0A57" w:rsidRDefault="0089745A">
      <w:pPr>
        <w:keepNext/>
        <w:spacing w:before="240" w:after="0"/>
        <w:outlineLvl w:val="1"/>
        <w:rPr>
          <w:rFonts w:ascii="Times New Roman" w:hAnsi="Times New Roman"/>
          <w:noProof/>
          <w:sz w:val="24"/>
        </w:rPr>
      </w:pPr>
      <w:r>
        <w:rPr>
          <w:rFonts w:ascii="Times New Roman" w:hAnsi="Times New Roman"/>
          <w:b/>
          <w:i/>
          <w:noProof/>
          <w:sz w:val="24"/>
        </w:rPr>
        <w:t>4. Ownership &amp; Visibility</w:t>
      </w:r>
    </w:p>
    <w:p w:rsidR="007A0A57" w:rsidRDefault="0089745A">
      <w:pPr>
        <w:spacing w:before="120" w:after="120" w:line="240" w:lineRule="auto"/>
        <w:jc w:val="both"/>
        <w:rPr>
          <w:noProof/>
        </w:rPr>
      </w:pPr>
      <w:r>
        <w:rPr>
          <w:rFonts w:ascii="Times New Roman" w:hAnsi="Times New Roman"/>
          <w:noProof/>
          <w:sz w:val="24"/>
        </w:rPr>
        <w:t xml:space="preserve">One of the most often repeated criticisms of </w:t>
      </w:r>
      <w:r>
        <w:rPr>
          <w:rFonts w:ascii="Times New Roman" w:eastAsia="Times New Roman" w:hAnsi="Times New Roman" w:cs="Times New Roman"/>
          <w:noProof/>
          <w:sz w:val="24"/>
          <w:szCs w:val="24"/>
          <w:lang w:eastAsia="en-GB"/>
        </w:rPr>
        <w:t>the ENP</w:t>
      </w:r>
      <w:r>
        <w:rPr>
          <w:rFonts w:ascii="Times New Roman" w:hAnsi="Times New Roman"/>
          <w:noProof/>
          <w:sz w:val="24"/>
        </w:rPr>
        <w:t xml:space="preserve"> is a lacking sense of ownership with partners, across their societies, and the general pu</w:t>
      </w:r>
      <w:r>
        <w:rPr>
          <w:rFonts w:ascii="Times New Roman" w:hAnsi="Times New Roman"/>
          <w:noProof/>
          <w:sz w:val="24"/>
        </w:rPr>
        <w:t>blic’s weak awareness of the policy’s aims and impact. It is clear that substantial efforts are needed in the context of the ENP review to improve both the ownership of this policy by partner countries and to improve communication of its objectives and res</w:t>
      </w:r>
      <w:r>
        <w:rPr>
          <w:rFonts w:ascii="Times New Roman" w:hAnsi="Times New Roman"/>
          <w:noProof/>
          <w:sz w:val="24"/>
        </w:rPr>
        <w:t>ults both within the EU and in the partner countries.</w:t>
      </w:r>
    </w:p>
    <w:p w:rsidR="007A0A57" w:rsidRDefault="0089745A">
      <w:pPr>
        <w:spacing w:before="120" w:after="120" w:line="240" w:lineRule="auto"/>
        <w:jc w:val="both"/>
        <w:rPr>
          <w:i/>
          <w:noProof/>
        </w:rPr>
      </w:pPr>
      <w:r>
        <w:rPr>
          <w:rFonts w:ascii="Times New Roman" w:hAnsi="Times New Roman"/>
          <w:i/>
          <w:noProof/>
          <w:sz w:val="24"/>
        </w:rPr>
        <w:t>What do partners seek in the ENP? How can it best accommodate their interests and aspirations?</w:t>
      </w:r>
    </w:p>
    <w:p w:rsidR="007A0A57" w:rsidRDefault="0089745A">
      <w:pPr>
        <w:spacing w:before="120" w:after="120" w:line="240" w:lineRule="auto"/>
        <w:jc w:val="both"/>
        <w:rPr>
          <w:i/>
          <w:noProof/>
        </w:rPr>
      </w:pPr>
      <w:r>
        <w:rPr>
          <w:rFonts w:ascii="Times New Roman" w:hAnsi="Times New Roman"/>
          <w:i/>
          <w:noProof/>
          <w:sz w:val="24"/>
        </w:rPr>
        <w:t>Can ways of working be developed that are seen as more respectful by partners and demonstrate a partnership</w:t>
      </w:r>
      <w:r>
        <w:rPr>
          <w:rFonts w:ascii="Times New Roman" w:hAnsi="Times New Roman"/>
          <w:i/>
          <w:noProof/>
          <w:sz w:val="24"/>
        </w:rPr>
        <w:t xml:space="preserve"> of equals? </w:t>
      </w:r>
      <w:r>
        <w:rPr>
          <w:rFonts w:ascii="Times New Roman" w:eastAsia="Times New Roman" w:hAnsi="Times New Roman" w:cs="Times New Roman"/>
          <w:i/>
          <w:noProof/>
          <w:sz w:val="24"/>
          <w:szCs w:val="24"/>
          <w:lang w:eastAsia="en-GB"/>
        </w:rPr>
        <w:t>How should this impact on annual reporting ?</w:t>
      </w:r>
    </w:p>
    <w:p w:rsidR="007A0A57" w:rsidRDefault="0089745A">
      <w:pPr>
        <w:spacing w:before="120" w:after="120" w:line="240" w:lineRule="auto"/>
        <w:jc w:val="both"/>
        <w:rPr>
          <w:i/>
          <w:noProof/>
        </w:rPr>
      </w:pPr>
      <w:r>
        <w:rPr>
          <w:rFonts w:ascii="Times New Roman" w:hAnsi="Times New Roman"/>
          <w:i/>
          <w:noProof/>
          <w:sz w:val="24"/>
        </w:rPr>
        <w:t xml:space="preserve">Can the structures of the ENP be made more </w:t>
      </w:r>
      <w:r>
        <w:rPr>
          <w:rFonts w:ascii="Times New Roman" w:eastAsia="Times New Roman" w:hAnsi="Times New Roman" w:cs="Times New Roman"/>
          <w:i/>
          <w:noProof/>
          <w:sz w:val="24"/>
          <w:szCs w:val="24"/>
          <w:lang w:eastAsia="en-GB"/>
        </w:rPr>
        <w:t>cooperative</w:t>
      </w:r>
      <w:r>
        <w:rPr>
          <w:rFonts w:ascii="Times New Roman" w:hAnsi="Times New Roman"/>
          <w:i/>
          <w:noProof/>
          <w:sz w:val="24"/>
        </w:rPr>
        <w:t>, to underline the partners’ own choices and to enable all civil society actors across partner countries to take part?</w:t>
      </w:r>
    </w:p>
    <w:p w:rsidR="007A0A57" w:rsidRDefault="0089745A">
      <w:pPr>
        <w:spacing w:before="120" w:after="120" w:line="240" w:lineRule="auto"/>
        <w:jc w:val="both"/>
        <w:rPr>
          <w:i/>
          <w:noProof/>
        </w:rPr>
      </w:pPr>
      <w:r>
        <w:rPr>
          <w:rFonts w:ascii="Times New Roman" w:hAnsi="Times New Roman"/>
          <w:i/>
          <w:noProof/>
          <w:sz w:val="24"/>
        </w:rPr>
        <w:t xml:space="preserve">Can the ENP deliver </w:t>
      </w:r>
      <w:r>
        <w:rPr>
          <w:rFonts w:ascii="Times New Roman" w:hAnsi="Times New Roman"/>
          <w:i/>
          <w:noProof/>
          <w:sz w:val="24"/>
        </w:rPr>
        <w:t>benefits within a shorter timeframe, in order that the value of the policy can be more easily grasped by the public? What would this require from the EU? And from the partner country?</w:t>
      </w:r>
    </w:p>
    <w:p w:rsidR="007A0A57" w:rsidRDefault="0089745A">
      <w:pPr>
        <w:spacing w:before="120" w:after="120" w:line="240" w:lineRule="auto"/>
        <w:jc w:val="both"/>
        <w:rPr>
          <w:i/>
          <w:noProof/>
        </w:rPr>
      </w:pPr>
      <w:r>
        <w:rPr>
          <w:rFonts w:ascii="Times New Roman" w:hAnsi="Times New Roman"/>
          <w:i/>
          <w:noProof/>
          <w:sz w:val="24"/>
        </w:rPr>
        <w:t xml:space="preserve">How can the EU financial support be recast in an investment rather than </w:t>
      </w:r>
      <w:r>
        <w:rPr>
          <w:rFonts w:ascii="Times New Roman" w:hAnsi="Times New Roman"/>
          <w:i/>
          <w:noProof/>
          <w:sz w:val="24"/>
        </w:rPr>
        <w:t xml:space="preserve">donor dynamic, in which the partner country’s active role is clearer? </w:t>
      </w:r>
    </w:p>
    <w:p w:rsidR="007A0A57" w:rsidRDefault="0089745A">
      <w:pPr>
        <w:spacing w:before="120" w:after="120" w:line="240" w:lineRule="auto"/>
        <w:jc w:val="both"/>
        <w:rPr>
          <w:i/>
          <w:noProof/>
        </w:rPr>
      </w:pPr>
      <w:r>
        <w:rPr>
          <w:rFonts w:ascii="Times New Roman" w:hAnsi="Times New Roman"/>
          <w:i/>
          <w:noProof/>
          <w:sz w:val="24"/>
        </w:rPr>
        <w:t>How can EU Member States be involved more effectively in the design and implementation of the policy, including as concerns foreign policy and security related activities? How can the a</w:t>
      </w:r>
      <w:r>
        <w:rPr>
          <w:rFonts w:ascii="Times New Roman" w:hAnsi="Times New Roman"/>
          <w:i/>
          <w:noProof/>
          <w:sz w:val="24"/>
        </w:rPr>
        <w:t>ctivities in EU Member States be better coordinated with the ENP?</w:t>
      </w:r>
    </w:p>
    <w:p w:rsidR="007A0A57" w:rsidRDefault="0089745A">
      <w:pPr>
        <w:spacing w:before="120" w:after="120" w:line="240" w:lineRule="auto"/>
        <w:jc w:val="both"/>
        <w:rPr>
          <w:noProof/>
        </w:rPr>
      </w:pPr>
      <w:r>
        <w:rPr>
          <w:rFonts w:ascii="Times New Roman" w:hAnsi="Times New Roman"/>
          <w:noProof/>
          <w:sz w:val="24"/>
        </w:rPr>
        <w:t xml:space="preserve">This phase of public consultation will be crucial in helping to build greater ownership and to pave the way for more effective communication in the future of </w:t>
      </w:r>
      <w:r>
        <w:rPr>
          <w:rFonts w:ascii="Times New Roman" w:eastAsia="Times New Roman" w:hAnsi="Times New Roman" w:cs="Times New Roman"/>
          <w:noProof/>
          <w:sz w:val="24"/>
          <w:szCs w:val="24"/>
          <w:lang w:eastAsia="en-GB"/>
        </w:rPr>
        <w:t>the ENP</w:t>
      </w:r>
      <w:r>
        <w:rPr>
          <w:rFonts w:ascii="Times New Roman" w:hAnsi="Times New Roman"/>
          <w:noProof/>
          <w:sz w:val="24"/>
        </w:rPr>
        <w:t>.</w:t>
      </w:r>
    </w:p>
    <w:p w:rsidR="007A0A57" w:rsidRDefault="0089745A">
      <w:pPr>
        <w:keepNext/>
        <w:spacing w:before="240" w:after="120"/>
        <w:ind w:left="480" w:hanging="480"/>
        <w:outlineLvl w:val="0"/>
        <w:rPr>
          <w:rFonts w:ascii="Times New Roman" w:hAnsi="Times New Roman"/>
          <w:noProof/>
          <w:sz w:val="24"/>
        </w:rPr>
      </w:pPr>
      <w:r>
        <w:rPr>
          <w:rFonts w:ascii="Times New Roman" w:hAnsi="Times New Roman"/>
          <w:b/>
          <w:noProof/>
          <w:kern w:val="32"/>
          <w:sz w:val="24"/>
        </w:rPr>
        <w:t>IV.</w:t>
      </w:r>
      <w:r>
        <w:rPr>
          <w:rFonts w:ascii="Times New Roman" w:hAnsi="Times New Roman"/>
          <w:b/>
          <w:noProof/>
          <w:kern w:val="32"/>
          <w:sz w:val="24"/>
        </w:rPr>
        <w:tab/>
        <w:t>Next Steps</w:t>
      </w:r>
    </w:p>
    <w:p w:rsidR="007A0A57" w:rsidRDefault="0089745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purp</w:t>
      </w:r>
      <w:r>
        <w:rPr>
          <w:rFonts w:ascii="Times New Roman" w:eastAsia="Calibri" w:hAnsi="Times New Roman" w:cs="Times New Roman"/>
          <w:noProof/>
          <w:sz w:val="24"/>
          <w:szCs w:val="24"/>
        </w:rPr>
        <w:t>ose of this document is to frame a policy debate on the future direction of the ENP. The aim is to consult as widely as possible both with partners in the neighbouring countries and with stakeholders across the EU. We will consult with Member States and pa</w:t>
      </w:r>
      <w:r>
        <w:rPr>
          <w:rFonts w:ascii="Times New Roman" w:eastAsia="Calibri" w:hAnsi="Times New Roman" w:cs="Times New Roman"/>
          <w:noProof/>
          <w:sz w:val="24"/>
          <w:szCs w:val="24"/>
        </w:rPr>
        <w:t xml:space="preserve">rtners, but also with a wide range of actors from parliaments, including the European Parliament, civil society and think tanks, and from the social partners, business and academic communities. We will engage with key international organisations active in </w:t>
      </w:r>
      <w:r>
        <w:rPr>
          <w:rFonts w:ascii="Times New Roman" w:eastAsia="Calibri" w:hAnsi="Times New Roman" w:cs="Times New Roman"/>
          <w:noProof/>
          <w:sz w:val="24"/>
          <w:szCs w:val="24"/>
        </w:rPr>
        <w:t>the neighbourhood, including notably the Council of Europe, the OSCE as well as the major international financing institutions. Interested members of the public will also have an opportunity to submit written contributions. The consultation on this documen</w:t>
      </w:r>
      <w:r>
        <w:rPr>
          <w:rFonts w:ascii="Times New Roman" w:eastAsia="Calibri" w:hAnsi="Times New Roman" w:cs="Times New Roman"/>
          <w:noProof/>
          <w:sz w:val="24"/>
          <w:szCs w:val="24"/>
        </w:rPr>
        <w:t xml:space="preserve">t is foreseen until the end of June. </w:t>
      </w:r>
    </w:p>
    <w:p w:rsidR="007A0A57" w:rsidRDefault="007A0A57">
      <w:pPr>
        <w:spacing w:before="62" w:after="0" w:line="240" w:lineRule="auto"/>
        <w:ind w:left="119" w:right="4904"/>
        <w:jc w:val="both"/>
        <w:rPr>
          <w:rFonts w:ascii="Times New Roman" w:eastAsia="Times New Roman" w:hAnsi="Times New Roman" w:cs="Times New Roman"/>
          <w:noProof/>
          <w:sz w:val="24"/>
          <w:szCs w:val="24"/>
        </w:rPr>
      </w:pPr>
    </w:p>
    <w:sectPr w:rsidR="007A0A57">
      <w:headerReference w:type="even" r:id="rId16"/>
      <w:headerReference w:type="default" r:id="rId17"/>
      <w:footerReference w:type="even" r:id="rId18"/>
      <w:footerReference w:type="default" r:id="rId19"/>
      <w:headerReference w:type="first" r:id="rId20"/>
      <w:footerReference w:type="first" r:id="rId21"/>
      <w:pgSz w:w="11920" w:h="16840"/>
      <w:pgMar w:top="1260" w:right="1300" w:bottom="960" w:left="1300" w:header="0" w:footer="76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A57" w:rsidRDefault="0089745A">
      <w:pPr>
        <w:spacing w:after="0" w:line="240" w:lineRule="auto"/>
      </w:pPr>
      <w:r>
        <w:separator/>
      </w:r>
    </w:p>
  </w:endnote>
  <w:endnote w:type="continuationSeparator" w:id="0">
    <w:p w:rsidR="007A0A57" w:rsidRDefault="0089745A">
      <w:pPr>
        <w:spacing w:after="0" w:line="240" w:lineRule="auto"/>
      </w:pPr>
      <w:r>
        <w:continuationSeparator/>
      </w:r>
    </w:p>
  </w:endnote>
  <w:endnote w:type="continuationNotice" w:id="1">
    <w:p w:rsidR="007A0A57" w:rsidRDefault="007A0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5A" w:rsidRPr="0089745A" w:rsidRDefault="0089745A" w:rsidP="00897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5A" w:rsidRPr="0089745A" w:rsidRDefault="0089745A" w:rsidP="0089745A">
    <w:pPr>
      <w:pStyle w:val="FooterCoverPage"/>
      <w:rPr>
        <w:rFonts w:ascii="Arial" w:hAnsi="Arial" w:cs="Arial"/>
        <w:b/>
        <w:sz w:val="48"/>
      </w:rPr>
    </w:pPr>
    <w:r w:rsidRPr="0089745A">
      <w:rPr>
        <w:rFonts w:ascii="Arial" w:hAnsi="Arial" w:cs="Arial"/>
        <w:b/>
        <w:sz w:val="48"/>
      </w:rPr>
      <w:t>EN</w:t>
    </w:r>
    <w:r w:rsidRPr="0089745A">
      <w:rPr>
        <w:rFonts w:ascii="Arial" w:hAnsi="Arial" w:cs="Arial"/>
        <w:b/>
        <w:sz w:val="48"/>
      </w:rPr>
      <w:tab/>
    </w:r>
    <w:r w:rsidRPr="0089745A">
      <w:rPr>
        <w:rFonts w:ascii="Arial" w:hAnsi="Arial" w:cs="Arial"/>
        <w:b/>
        <w:sz w:val="48"/>
      </w:rPr>
      <w:tab/>
    </w:r>
    <w:fldSimple w:instr=" DOCVARIABLE &quot;LW_Confidence&quot; \* MERGEFORMAT ">
      <w:r>
        <w:t xml:space="preserve"> </w:t>
      </w:r>
    </w:fldSimple>
    <w:r w:rsidRPr="0089745A">
      <w:tab/>
    </w:r>
    <w:proofErr w:type="spellStart"/>
    <w:r w:rsidRPr="0089745A">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5A" w:rsidRPr="0089745A" w:rsidRDefault="0089745A" w:rsidP="0089745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7" w:rsidRDefault="007A0A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7" w:rsidRDefault="0089745A">
    <w:pPr>
      <w:spacing w:after="0" w:line="200" w:lineRule="exact"/>
      <w:rPr>
        <w:sz w:val="20"/>
      </w:rPr>
    </w:pPr>
    <w:r>
      <w:rPr>
        <w:noProof/>
        <w:lang w:eastAsia="en-GB"/>
      </w:rPr>
      <mc:AlternateContent>
        <mc:Choice Requires="wps">
          <w:drawing>
            <wp:anchor distT="0" distB="0" distL="114300" distR="114300" simplePos="0" relativeHeight="251659264" behindDoc="1" locked="0" layoutInCell="1" allowOverlap="1">
              <wp:simplePos x="0" y="0"/>
              <wp:positionH relativeFrom="page">
                <wp:posOffset>3678555</wp:posOffset>
              </wp:positionH>
              <wp:positionV relativeFrom="page">
                <wp:posOffset>10069195</wp:posOffset>
              </wp:positionV>
              <wp:extent cx="203200" cy="177800"/>
              <wp:effectExtent l="1905" t="127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A57" w:rsidRDefault="0089745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792.8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" filled="f" stroked="f">
              <v:textbox inset="0,0,0,0">
                <w:txbxContent>
                  <w:p w:rsidR="007A0A57" w:rsidRDefault="0089745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7" w:rsidRDefault="007A0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A57" w:rsidRDefault="0089745A">
      <w:pPr>
        <w:spacing w:after="0" w:line="240" w:lineRule="auto"/>
      </w:pPr>
      <w:r>
        <w:separator/>
      </w:r>
    </w:p>
  </w:footnote>
  <w:footnote w:type="continuationSeparator" w:id="0">
    <w:p w:rsidR="007A0A57" w:rsidRDefault="0089745A">
      <w:pPr>
        <w:spacing w:after="0" w:line="240" w:lineRule="auto"/>
      </w:pPr>
      <w:r>
        <w:continuationSeparator/>
      </w:r>
    </w:p>
  </w:footnote>
  <w:footnote w:type="continuationNotice" w:id="1">
    <w:p w:rsidR="007A0A57" w:rsidRDefault="007A0A57">
      <w:pPr>
        <w:spacing w:after="0" w:line="240" w:lineRule="auto"/>
      </w:pPr>
    </w:p>
  </w:footnote>
  <w:footnote w:id="2">
    <w:p w:rsidR="007A0A57" w:rsidRDefault="0089745A">
      <w:pPr>
        <w:pStyle w:val="FootnoteText"/>
        <w:ind w:hanging="720"/>
        <w:jc w:val="both"/>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ab/>
      </w:r>
      <w:r>
        <w:rPr>
          <w:rFonts w:ascii="Times New Roman" w:hAnsi="Times New Roman"/>
        </w:rPr>
        <w:t>COM(2003) 104 final of 11.03.2003</w:t>
      </w:r>
    </w:p>
  </w:footnote>
  <w:footnote w:id="3">
    <w:p w:rsidR="007A0A57" w:rsidRDefault="0089745A">
      <w:pPr>
        <w:pStyle w:val="FootnoteText"/>
        <w:ind w:hanging="720"/>
        <w:jc w:val="both"/>
        <w:rPr>
          <w:rFonts w:ascii="Times New Roman" w:hAnsi="Times New Roman"/>
          <w:lang w:val="en-GB"/>
        </w:rPr>
      </w:pPr>
      <w:r>
        <w:rPr>
          <w:rStyle w:val="FootnoteReference"/>
          <w:rFonts w:ascii="Times New Roman" w:hAnsi="Times New Roman"/>
          <w:lang w:val="en-GB"/>
        </w:rPr>
        <w:footnoteRef/>
      </w:r>
      <w:r>
        <w:rPr>
          <w:rFonts w:ascii="Times New Roman" w:hAnsi="Times New Roman"/>
          <w:lang w:val="en-GB"/>
        </w:rPr>
        <w:tab/>
      </w:r>
      <w:r>
        <w:rPr>
          <w:rFonts w:ascii="Times New Roman" w:hAnsi="Times New Roman"/>
        </w:rPr>
        <w:t>COM(2011) 303 of 25.05.2011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5A" w:rsidRPr="0089745A" w:rsidRDefault="0089745A" w:rsidP="00897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5A" w:rsidRPr="0089745A" w:rsidRDefault="0089745A" w:rsidP="0089745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5A" w:rsidRPr="0089745A" w:rsidRDefault="0089745A" w:rsidP="0089745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7" w:rsidRDefault="007A0A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7" w:rsidRDefault="007A0A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7" w:rsidRDefault="007A0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31CF"/>
    <w:multiLevelType w:val="hybridMultilevel"/>
    <w:tmpl w:val="6D968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530702"/>
    <w:multiLevelType w:val="hybridMultilevel"/>
    <w:tmpl w:val="FFA0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356C88"/>
    <w:multiLevelType w:val="hybridMultilevel"/>
    <w:tmpl w:val="9FF63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86E6D90"/>
    <w:multiLevelType w:val="hybridMultilevel"/>
    <w:tmpl w:val="CA70E014"/>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nsid w:val="56F06E73"/>
    <w:multiLevelType w:val="hybridMultilevel"/>
    <w:tmpl w:val="1362EB84"/>
    <w:lvl w:ilvl="0" w:tplc="9CA4A8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E75AF3"/>
    <w:multiLevelType w:val="hybridMultilevel"/>
    <w:tmpl w:val="C928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34090A"/>
    <w:multiLevelType w:val="hybridMultilevel"/>
    <w:tmpl w:val="3176C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8A5FA8"/>
    <w:multiLevelType w:val="hybridMultilevel"/>
    <w:tmpl w:val="67489AE0"/>
    <w:lvl w:ilvl="0" w:tplc="08090001">
      <w:start w:val="1"/>
      <w:numFmt w:val="bullet"/>
      <w:lvlText w:val=""/>
      <w:lvlJc w:val="left"/>
      <w:pPr>
        <w:ind w:left="720" w:hanging="360"/>
      </w:pPr>
      <w:rPr>
        <w:rFonts w:ascii="Symbol" w:hAnsi="Symbol" w:hint="default"/>
      </w:rPr>
    </w:lvl>
    <w:lvl w:ilvl="1" w:tplc="9CA4A80A">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33963E7ED8142C48E9B31643062BC7B"/>
    <w:docVar w:name="LW_CROSSREFERENCE" w:val="&lt;UNUSED&gt;"/>
    <w:docVar w:name="LW_DocType" w:val="NORMAL"/>
    <w:docVar w:name="LW_EMISSION" w:val="4.3.2015"/>
    <w:docVar w:name="LW_EMISSION_ISODATE" w:val="2015-03-04"/>
    <w:docVar w:name="LW_EMISSION_LOCATION" w:val="BRX"/>
    <w:docVar w:name="LW_EMISSION_PREFIX" w:val="Brussels, "/>
    <w:docVar w:name="LW_EMISSION_SUFFIX" w:val=" "/>
    <w:docVar w:name="LW_ID_DOCTYPE_NONLW" w:val="CP-042"/>
    <w:docVar w:name="LW_LANGUE" w:val="EN"/>
    <w:docVar w:name="LW_MARKING" w:val="&lt;UNUSED&gt;"/>
    <w:docVar w:name="LW_NOM.INST" w:val="EUROPEAN COMMISSION"/>
    <w:docVar w:name="LW_NOM.INST_JOINTDOC" w:val="HIGH REPRESENTATIVE OF THE_x000b_EUROPEAN UNION FOR_x000b_FOREIGN AFFAIRS AND_x000b_SECURITY POLICY"/>
    <w:docVar w:name="LW_PART_NBR" w:val="1"/>
    <w:docVar w:name="LW_PART_NBR_TOTAL" w:val="1"/>
    <w:docVar w:name="LW_REF.II.NEW.CP" w:val="&lt;UNUSED&gt;"/>
    <w:docVar w:name="LW_REF.II.NEW.CP_NUMBER" w:val="&lt;UNUSED&gt;"/>
    <w:docVar w:name="LW_REF.II.NEW.CP_YEAR" w:val="2015"/>
    <w:docVar w:name="LW_REF.INST.NEW" w:val="JOIN"/>
    <w:docVar w:name="LW_REF.INST.NEW_ADOPTED" w:val="final"/>
    <w:docVar w:name="LW_REF.INST.NEW_TEXT" w:val="(2015) 6 "/>
    <w:docVar w:name="LW_REF.INTERNE" w:val="&lt;UNUSED&gt;"/>
    <w:docVar w:name="LW_SOUS.TITRE.OBJ.CP" w:val="&lt;UNUSED&gt;"/>
    <w:docVar w:name="LW_SUPERTITRE" w:val="&lt;UNUSED&gt;"/>
    <w:docVar w:name="LW_TITRE.OBJ.CP" w:val="Towards a new European Neighbourhood Policy"/>
    <w:docVar w:name="LW_TYPE.DOC.CP" w:val="JOINT CONSULTATION PAPER"/>
  </w:docVars>
  <w:rsids>
    <w:rsidRoot w:val="007A0A57"/>
    <w:rsid w:val="007A0A57"/>
    <w:rsid w:val="0089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NormalWeb">
    <w:name w:val="Normal (Web)"/>
    <w:basedOn w:val="Normal"/>
    <w:uiPriority w:val="99"/>
    <w:unhideWhenUsed/>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ListParagraph">
    <w:name w:val="List Paragraph"/>
    <w:basedOn w:val="Normal"/>
    <w:uiPriority w:val="72"/>
    <w:qFormat/>
    <w:pPr>
      <w:ind w:left="720"/>
      <w:contextualSpacing/>
      <w:jc w:val="both"/>
    </w:pPr>
    <w:rPr>
      <w:rFonts w:ascii="Calibri" w:eastAsia="Calibri" w:hAnsi="Calibri" w:cs="Times New Roman"/>
    </w:rPr>
  </w:style>
  <w:style w:type="paragraph" w:styleId="FootnoteText">
    <w:name w:val="footnote text"/>
    <w:basedOn w:val="Normal"/>
    <w:link w:val="FootnoteTextChar"/>
    <w:pPr>
      <w:spacing w:after="0" w:line="240" w:lineRule="auto"/>
      <w:ind w:left="720"/>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Pr>
      <w:rFonts w:ascii="Calibri" w:eastAsia="Calibri" w:hAnsi="Calibri" w:cs="Times New Roman"/>
      <w:sz w:val="20"/>
      <w:szCs w:val="20"/>
      <w:lang w:val="en-US"/>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
    <w:link w:val="BVIfnrChar1CharCharChar"/>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PlainText">
    <w:name w:val="Plain Text"/>
    <w:basedOn w:val="Normal"/>
    <w:link w:val="PlainTextChar"/>
    <w:uiPriority w:val="99"/>
    <w:unhideWhenUsed/>
    <w:pPr>
      <w:spacing w:after="0" w:line="240" w:lineRule="auto"/>
    </w:pPr>
    <w:rPr>
      <w:rFonts w:ascii="Calibri" w:eastAsia="Cambria" w:hAnsi="Calibri" w:cs="Times New Roman"/>
      <w:szCs w:val="21"/>
      <w:lang w:val="en-US"/>
    </w:rPr>
  </w:style>
  <w:style w:type="character" w:customStyle="1" w:styleId="PlainTextChar">
    <w:name w:val="Plain Text Char"/>
    <w:basedOn w:val="DefaultParagraphFont"/>
    <w:link w:val="PlainText"/>
    <w:uiPriority w:val="99"/>
    <w:rPr>
      <w:rFonts w:ascii="Calibri" w:eastAsia="Cambria" w:hAnsi="Calibri" w:cs="Times New Roman"/>
      <w:szCs w:val="21"/>
      <w:lang w:val="en-US"/>
    </w:rPr>
  </w:style>
  <w:style w:type="paragraph" w:styleId="Revision">
    <w:name w:val="Revision"/>
    <w:hidden/>
    <w:uiPriority w:val="99"/>
    <w:semiHidden/>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NormalWeb">
    <w:name w:val="Normal (Web)"/>
    <w:basedOn w:val="Normal"/>
    <w:uiPriority w:val="99"/>
    <w:unhideWhenUsed/>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ListParagraph">
    <w:name w:val="List Paragraph"/>
    <w:basedOn w:val="Normal"/>
    <w:uiPriority w:val="72"/>
    <w:qFormat/>
    <w:pPr>
      <w:ind w:left="720"/>
      <w:contextualSpacing/>
      <w:jc w:val="both"/>
    </w:pPr>
    <w:rPr>
      <w:rFonts w:ascii="Calibri" w:eastAsia="Calibri" w:hAnsi="Calibri" w:cs="Times New Roman"/>
    </w:rPr>
  </w:style>
  <w:style w:type="paragraph" w:styleId="FootnoteText">
    <w:name w:val="footnote text"/>
    <w:basedOn w:val="Normal"/>
    <w:link w:val="FootnoteTextChar"/>
    <w:pPr>
      <w:spacing w:after="0" w:line="240" w:lineRule="auto"/>
      <w:ind w:left="720"/>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Pr>
      <w:rFonts w:ascii="Calibri" w:eastAsia="Calibri" w:hAnsi="Calibri" w:cs="Times New Roman"/>
      <w:sz w:val="20"/>
      <w:szCs w:val="20"/>
      <w:lang w:val="en-US"/>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
    <w:link w:val="BVIfnrChar1CharCharChar"/>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PlainText">
    <w:name w:val="Plain Text"/>
    <w:basedOn w:val="Normal"/>
    <w:link w:val="PlainTextChar"/>
    <w:uiPriority w:val="99"/>
    <w:unhideWhenUsed/>
    <w:pPr>
      <w:spacing w:after="0" w:line="240" w:lineRule="auto"/>
    </w:pPr>
    <w:rPr>
      <w:rFonts w:ascii="Calibri" w:eastAsia="Cambria" w:hAnsi="Calibri" w:cs="Times New Roman"/>
      <w:szCs w:val="21"/>
      <w:lang w:val="en-US"/>
    </w:rPr>
  </w:style>
  <w:style w:type="character" w:customStyle="1" w:styleId="PlainTextChar">
    <w:name w:val="Plain Text Char"/>
    <w:basedOn w:val="DefaultParagraphFont"/>
    <w:link w:val="PlainText"/>
    <w:uiPriority w:val="99"/>
    <w:rPr>
      <w:rFonts w:ascii="Calibri" w:eastAsia="Cambria" w:hAnsi="Calibri" w:cs="Times New Roman"/>
      <w:szCs w:val="21"/>
      <w:lang w:val="en-US"/>
    </w:rPr>
  </w:style>
  <w:style w:type="paragraph" w:styleId="Revision">
    <w:name w:val="Revision"/>
    <w:hidden/>
    <w:uiPriority w:val="99"/>
    <w:semiHidden/>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18A6-53E1-49AB-A736-6AAD267C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4407</Words>
  <Characters>23447</Characters>
  <Application>Microsoft Office Word</Application>
  <DocSecurity>0</DocSecurity>
  <Lines>372</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14</cp:revision>
  <dcterms:created xsi:type="dcterms:W3CDTF">2015-03-02T13:40:00Z</dcterms:created>
  <dcterms:modified xsi:type="dcterms:W3CDTF">2015-03-03T11:33:00Z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