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93" w:rsidRDefault="00745F6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35E58D10A44B8BBC49F389AB844A09" style="width:450.6pt;height:384pt">
            <v:imagedata r:id="rId8" o:title=""/>
          </v:shape>
        </w:pict>
      </w:r>
    </w:p>
    <w:p w:rsidR="008F6693" w:rsidRDefault="008F6693">
      <w:pPr>
        <w:rPr>
          <w:noProof/>
        </w:rPr>
        <w:sectPr w:rsidR="008F669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8F6693" w:rsidRDefault="00745F69">
      <w:pPr>
        <w:pStyle w:val="Typedudocument"/>
        <w:rPr>
          <w:noProof/>
        </w:rPr>
      </w:pPr>
      <w:r>
        <w:rPr>
          <w:noProof/>
        </w:rPr>
        <w:lastRenderedPageBreak/>
        <w:t>ANNEX</w:t>
      </w:r>
    </w:p>
    <w:p w:rsidR="008F6693" w:rsidRDefault="00745F69">
      <w:pPr>
        <w:pStyle w:val="Objetacteprincipal"/>
        <w:spacing w:after="0"/>
        <w:rPr>
          <w:noProof/>
          <w:u w:val="single"/>
        </w:rPr>
      </w:pPr>
      <w:r>
        <w:rPr>
          <w:noProof/>
          <w:u w:val="single"/>
        </w:rPr>
        <w:t>Broad Guidelines for the economic policies of the Member States and of the Union</w:t>
      </w:r>
      <w:r>
        <w:rPr>
          <w:noProof/>
          <w:u w:val="single"/>
        </w:rPr>
        <w:br/>
        <w:t xml:space="preserve">Part I of </w:t>
      </w:r>
      <w:r>
        <w:rPr>
          <w:noProof/>
          <w:u w:val="single"/>
        </w:rPr>
        <w:t>the Integrated Guidelines</w:t>
      </w:r>
    </w:p>
    <w:p w:rsidR="008F6693" w:rsidRDefault="00745F69">
      <w:pPr>
        <w:spacing w:before="100" w:beforeAutospacing="1" w:after="100" w:afterAutospacing="1"/>
        <w:rPr>
          <w:rFonts w:eastAsia="Calibri"/>
          <w:b/>
          <w:i/>
          <w:noProof/>
          <w:lang w:eastAsia="en-GB"/>
        </w:rPr>
      </w:pPr>
      <w:r>
        <w:rPr>
          <w:rFonts w:eastAsia="Calibri"/>
          <w:b/>
          <w:i/>
          <w:noProof/>
          <w:lang w:eastAsia="en-GB"/>
        </w:rPr>
        <w:t>Guideline 1: Boosting investment</w:t>
      </w:r>
    </w:p>
    <w:p w:rsidR="008F6693" w:rsidRDefault="00745F69">
      <w:pPr>
        <w:spacing w:before="100" w:beforeAutospacing="1" w:after="100" w:afterAutospacing="1"/>
        <w:rPr>
          <w:rFonts w:eastAsia="Calibri"/>
          <w:bCs/>
          <w:noProof/>
          <w:lang w:eastAsia="en-GB"/>
        </w:rPr>
      </w:pPr>
      <w:r>
        <w:rPr>
          <w:rFonts w:eastAsia="Calibri"/>
          <w:bCs/>
          <w:noProof/>
          <w:lang w:eastAsia="en-GB"/>
        </w:rPr>
        <w:t>Increasing the level of productive investment in Europe is key to boost demand and improve competitiveness and long term growth potential in Europe. Efforts should focus on mobilising finance for i</w:t>
      </w:r>
      <w:r>
        <w:rPr>
          <w:rFonts w:eastAsia="Calibri"/>
          <w:bCs/>
          <w:noProof/>
          <w:lang w:eastAsia="en-GB"/>
        </w:rPr>
        <w:t xml:space="preserve">nvestment, making finance reach the real economy and improving the investment environment.  </w:t>
      </w:r>
    </w:p>
    <w:p w:rsidR="008F6693" w:rsidRDefault="00745F69">
      <w:pPr>
        <w:spacing w:before="100" w:beforeAutospacing="1" w:after="100" w:afterAutospacing="1"/>
        <w:rPr>
          <w:rFonts w:eastAsia="Calibri"/>
          <w:noProof/>
          <w:lang w:eastAsia="en-GB"/>
        </w:rPr>
      </w:pPr>
      <w:r>
        <w:rPr>
          <w:rFonts w:eastAsia="Calibri"/>
          <w:noProof/>
          <w:lang w:eastAsia="en-GB"/>
        </w:rPr>
        <w:t>The potential of EU funds, including the European Fund for Strategic Investment and structural funds, and national funds to finance growth enhancing investments in</w:t>
      </w:r>
      <w:r>
        <w:rPr>
          <w:rFonts w:eastAsia="Calibri"/>
          <w:noProof/>
          <w:lang w:eastAsia="en-GB"/>
        </w:rPr>
        <w:t xml:space="preserve"> key areas should be fully exploited. The result-oriented management of funds as well as increasing the use of innovative financial instruments are crucial elements in this regard. </w:t>
      </w:r>
    </w:p>
    <w:p w:rsidR="008F6693" w:rsidRDefault="00745F69">
      <w:pPr>
        <w:spacing w:before="100" w:beforeAutospacing="1" w:after="100" w:afterAutospacing="1"/>
        <w:rPr>
          <w:rFonts w:eastAsia="Calibri"/>
          <w:noProof/>
          <w:lang w:eastAsia="en-GB"/>
        </w:rPr>
      </w:pPr>
      <w:r>
        <w:rPr>
          <w:rFonts w:eastAsia="Calibri"/>
          <w:noProof/>
          <w:lang w:eastAsia="en-GB"/>
        </w:rPr>
        <w:t>Making finance reach the real economy calls for increasing transparency an</w:t>
      </w:r>
      <w:r>
        <w:rPr>
          <w:rFonts w:eastAsia="Calibri"/>
          <w:noProof/>
          <w:lang w:eastAsia="en-GB"/>
        </w:rPr>
        <w:t>d information provision, in particular through the implementation of an European investment advisory hub under the auspices of the European Investment Bank and the establishment of a transparent pipeline of projects, both at European and national level. Cl</w:t>
      </w:r>
      <w:r>
        <w:rPr>
          <w:rFonts w:eastAsia="Calibri"/>
          <w:noProof/>
          <w:lang w:eastAsia="en-GB"/>
        </w:rPr>
        <w:t xml:space="preserve">ose co-operation with all relevant stakeholders is key, in order to ensure smooth carrying out of operations, adequate risk taking and maximum value added. </w:t>
      </w:r>
    </w:p>
    <w:p w:rsidR="008F6693" w:rsidRDefault="00745F69">
      <w:pPr>
        <w:spacing w:before="100" w:beforeAutospacing="1" w:after="100" w:afterAutospacing="1"/>
        <w:rPr>
          <w:rFonts w:eastAsia="Calibri"/>
          <w:noProof/>
          <w:lang w:eastAsia="en-GB"/>
        </w:rPr>
      </w:pPr>
      <w:r>
        <w:rPr>
          <w:rFonts w:eastAsia="Calibri"/>
          <w:noProof/>
          <w:lang w:eastAsia="en-GB"/>
        </w:rPr>
        <w:t>Macroeconomic and financial stability, as well as regulatory predictability and openness and transp</w:t>
      </w:r>
      <w:r>
        <w:rPr>
          <w:rFonts w:eastAsia="Calibri"/>
          <w:noProof/>
          <w:lang w:eastAsia="en-GB"/>
        </w:rPr>
        <w:t xml:space="preserve">arency of its financial sector, are critical elements for keeping the Union an attractive host for foreign financial investment. </w:t>
      </w:r>
    </w:p>
    <w:p w:rsidR="008F6693" w:rsidRDefault="00745F69">
      <w:pPr>
        <w:spacing w:before="100" w:beforeAutospacing="1" w:after="100" w:afterAutospacing="1"/>
        <w:rPr>
          <w:rFonts w:eastAsia="Calibri"/>
          <w:b/>
          <w:i/>
          <w:noProof/>
          <w:lang w:eastAsia="en-GB"/>
        </w:rPr>
      </w:pPr>
      <w:r>
        <w:rPr>
          <w:rFonts w:eastAsia="Calibri"/>
          <w:b/>
          <w:i/>
          <w:noProof/>
          <w:lang w:eastAsia="en-GB"/>
        </w:rPr>
        <w:t xml:space="preserve">Guideline 2:   Enhancing growth by the Member States implementation of structural reforms </w:t>
      </w:r>
    </w:p>
    <w:p w:rsidR="008F6693" w:rsidRDefault="00745F69">
      <w:pPr>
        <w:spacing w:before="100" w:beforeAutospacing="1" w:after="100" w:afterAutospacing="1"/>
        <w:rPr>
          <w:noProof/>
        </w:rPr>
      </w:pPr>
      <w:r>
        <w:rPr>
          <w:rFonts w:eastAsia="Calibri"/>
          <w:noProof/>
        </w:rPr>
        <w:t>Ambitious implementation of structu</w:t>
      </w:r>
      <w:r>
        <w:rPr>
          <w:rFonts w:eastAsia="Calibri"/>
          <w:noProof/>
        </w:rPr>
        <w:t>ral reforms by the Member States in both product and labour markets and social welfare systems is crucial to strengthen and sustain the economic recovery, correct harmful macro-economic imbalances and unleash the potential of the Union economies. This woul</w:t>
      </w:r>
      <w:r>
        <w:rPr>
          <w:rFonts w:eastAsia="Calibri"/>
          <w:noProof/>
        </w:rPr>
        <w:t>d also help in achieving economic and social cohesion. Competition-enhancing reforms, notably in the non-tradable sector, a better functioning of the labour markets, and an i</w:t>
      </w:r>
      <w:r>
        <w:rPr>
          <w:noProof/>
        </w:rPr>
        <w:t>mproved business environment contribute to removing obstacles to growth and invest</w:t>
      </w:r>
      <w:r>
        <w:rPr>
          <w:noProof/>
        </w:rPr>
        <w:t>ment and increasing the adjustment capacity of the economy. Member States should coordinate closely such reforms and regard their economic policies as a matter of common concern in order to maximise positive spillovers and minimise negative ones.</w:t>
      </w:r>
    </w:p>
    <w:p w:rsidR="008F6693" w:rsidRDefault="00745F69">
      <w:pPr>
        <w:spacing w:before="100" w:beforeAutospacing="1" w:after="100" w:afterAutospacing="1"/>
        <w:rPr>
          <w:rFonts w:eastAsia="Calibri"/>
          <w:noProof/>
        </w:rPr>
      </w:pPr>
      <w:r>
        <w:rPr>
          <w:rFonts w:eastAsia="Calibri"/>
          <w:bCs/>
          <w:noProof/>
        </w:rPr>
        <w:t>Labour ma</w:t>
      </w:r>
      <w:r>
        <w:rPr>
          <w:rFonts w:eastAsia="Calibri"/>
          <w:bCs/>
          <w:noProof/>
        </w:rPr>
        <w:t>rket and social system reforms need to be pursued to promote growth and employment, while ensuring access for all to high quality, affordable and sustainable social services and benefits.</w:t>
      </w:r>
      <w:r>
        <w:rPr>
          <w:rFonts w:eastAsia="Calibri"/>
          <w:noProof/>
        </w:rPr>
        <w:t xml:space="preserve"> Action in the area of labour market reforms, including wage setting </w:t>
      </w:r>
      <w:r>
        <w:rPr>
          <w:rFonts w:eastAsia="Calibri"/>
          <w:noProof/>
        </w:rPr>
        <w:t>mechanisms, should be pursued in line with the more detailed guidance in the employment guidelines</w:t>
      </w:r>
      <w:r>
        <w:rPr>
          <w:rStyle w:val="FootnoteReference"/>
          <w:noProof/>
        </w:rPr>
        <w:footnoteReference w:id="1"/>
      </w:r>
      <w:r>
        <w:rPr>
          <w:rFonts w:eastAsia="Calibri"/>
          <w:noProof/>
        </w:rPr>
        <w:t>.</w:t>
      </w:r>
      <w:r>
        <w:rPr>
          <w:noProof/>
        </w:rPr>
        <w:t xml:space="preserve"> Actions </w:t>
      </w:r>
      <w:r>
        <w:rPr>
          <w:rFonts w:eastAsia="Calibri"/>
          <w:noProof/>
        </w:rPr>
        <w:t xml:space="preserve">on legal migration should make the Union an attractive destination for talent and skills. </w:t>
      </w:r>
    </w:p>
    <w:p w:rsidR="008F6693" w:rsidRDefault="00745F69">
      <w:pPr>
        <w:spacing w:before="100" w:beforeAutospacing="1" w:after="100" w:afterAutospacing="1"/>
        <w:rPr>
          <w:noProof/>
        </w:rPr>
      </w:pPr>
      <w:r>
        <w:rPr>
          <w:noProof/>
        </w:rPr>
        <w:lastRenderedPageBreak/>
        <w:t>Reforming and further integrating product markets should</w:t>
      </w:r>
      <w:r>
        <w:rPr>
          <w:noProof/>
        </w:rPr>
        <w:t xml:space="preserve"> be continued to ensure that Union consumers and business benefit from lower prices and a wider choice of goods and services. Better-integrated markets give companies access to a substantially larger market than their own domestic market, thus providing th</w:t>
      </w:r>
      <w:r>
        <w:rPr>
          <w:noProof/>
        </w:rPr>
        <w:t>em with more opportunities for expansion. More competitive and better-integrated product markets can also help increase the speed of adjustment and resilience to economic shocks.</w:t>
      </w:r>
    </w:p>
    <w:p w:rsidR="008F6693" w:rsidRDefault="00745F69">
      <w:pPr>
        <w:spacing w:before="100" w:beforeAutospacing="1" w:after="100" w:afterAutospacing="1"/>
        <w:rPr>
          <w:rFonts w:eastAsia="Calibri"/>
          <w:noProof/>
        </w:rPr>
      </w:pPr>
      <w:r>
        <w:rPr>
          <w:rFonts w:eastAsia="Calibri"/>
          <w:noProof/>
        </w:rPr>
        <w:t>Efforts should continue to streamline the regulatory environment in which ent</w:t>
      </w:r>
      <w:r>
        <w:rPr>
          <w:rFonts w:eastAsia="Calibri"/>
          <w:noProof/>
        </w:rPr>
        <w:t>erprises operate, and should include modernisation of public administration, greater transparency, the fight against corruption, tax evasion and undeclared work, the improvement of the independence, quality and efficiency of judicial systems, alongside wit</w:t>
      </w:r>
      <w:r>
        <w:rPr>
          <w:rFonts w:eastAsia="Calibri"/>
          <w:noProof/>
        </w:rPr>
        <w:t>h contract enforcement and well-functioning insolvency frameworks.</w:t>
      </w:r>
    </w:p>
    <w:p w:rsidR="008F6693" w:rsidRDefault="00745F69">
      <w:pPr>
        <w:spacing w:before="100" w:beforeAutospacing="1" w:after="100" w:afterAutospacing="1"/>
        <w:rPr>
          <w:rFonts w:eastAsia="Calibri"/>
          <w:noProof/>
        </w:rPr>
      </w:pPr>
      <w:r>
        <w:rPr>
          <w:rFonts w:eastAsia="Calibri"/>
          <w:noProof/>
        </w:rPr>
        <w:t>Information and communication technologies and the digital economy are important drivers of productivity, innovation and growth in all sectors of the economy. Promoting private investment i</w:t>
      </w:r>
      <w:r>
        <w:rPr>
          <w:rFonts w:eastAsia="Calibri"/>
          <w:noProof/>
        </w:rPr>
        <w:t>n research and innovation should be accompanied by in-depth reforms to modernise the research and innovation systems, to enhance cooperation between public institutions and the private sector and to improve the broader framework conditions for companies to</w:t>
      </w:r>
      <w:r>
        <w:rPr>
          <w:rFonts w:eastAsia="Calibri"/>
          <w:noProof/>
        </w:rPr>
        <w:t xml:space="preserve"> become more knowledge-intensive. Raising the quality of public investments in research and innovation will continue improving the quality of public finances. </w:t>
      </w:r>
    </w:p>
    <w:p w:rsidR="008F6693" w:rsidRDefault="00745F69">
      <w:pPr>
        <w:spacing w:before="100" w:beforeAutospacing="1" w:after="100" w:afterAutospacing="1"/>
        <w:rPr>
          <w:rFonts w:eastAsia="Calibri"/>
          <w:b/>
          <w:i/>
          <w:noProof/>
        </w:rPr>
      </w:pPr>
      <w:r>
        <w:rPr>
          <w:rFonts w:eastAsia="Calibri"/>
          <w:b/>
          <w:i/>
          <w:noProof/>
        </w:rPr>
        <w:t>Guideline 3: Removing key barriers to growth and jobs at Union level</w:t>
      </w:r>
    </w:p>
    <w:p w:rsidR="008F6693" w:rsidRDefault="00745F69">
      <w:pPr>
        <w:spacing w:before="100" w:beforeAutospacing="1" w:after="100" w:afterAutospacing="1"/>
        <w:rPr>
          <w:rFonts w:eastAsia="Calibri"/>
          <w:noProof/>
        </w:rPr>
      </w:pPr>
      <w:r>
        <w:rPr>
          <w:rFonts w:eastAsia="Calibri"/>
          <w:bCs/>
          <w:noProof/>
        </w:rPr>
        <w:t>Further integrating the Sin</w:t>
      </w:r>
      <w:r>
        <w:rPr>
          <w:rFonts w:eastAsia="Calibri"/>
          <w:bCs/>
          <w:noProof/>
        </w:rPr>
        <w:t xml:space="preserve">gle Market, </w:t>
      </w:r>
      <w:r>
        <w:rPr>
          <w:rFonts w:eastAsia="Calibri"/>
          <w:noProof/>
        </w:rPr>
        <w:t xml:space="preserve">increasing competition </w:t>
      </w:r>
      <w:r>
        <w:rPr>
          <w:rFonts w:eastAsia="Calibri"/>
          <w:bCs/>
          <w:noProof/>
        </w:rPr>
        <w:t>and improving the business environment is key to keep Europe an attractive location for businesses both domestic and foreign.</w:t>
      </w:r>
      <w:r>
        <w:rPr>
          <w:rFonts w:eastAsia="Calibri"/>
          <w:b/>
          <w:bCs/>
          <w:noProof/>
        </w:rPr>
        <w:t xml:space="preserve"> </w:t>
      </w:r>
      <w:r>
        <w:rPr>
          <w:rFonts w:eastAsia="Calibri"/>
          <w:bCs/>
          <w:noProof/>
        </w:rPr>
        <w:t>To move Europe's productivity frontier, it is necessary to increase innovation and human capita</w:t>
      </w:r>
      <w:r>
        <w:rPr>
          <w:rFonts w:eastAsia="Calibri"/>
          <w:bCs/>
          <w:noProof/>
        </w:rPr>
        <w:t xml:space="preserve">l and to ensure an integrated well-functioning Digital Single Market. </w:t>
      </w:r>
      <w:r>
        <w:rPr>
          <w:rFonts w:eastAsia="Calibri"/>
          <w:noProof/>
        </w:rPr>
        <w:t xml:space="preserve">Increasing the uptake of information and communication technologies by both consumers and business can contribute to creating a borderless digital Europe and increasing productivity. </w:t>
      </w:r>
    </w:p>
    <w:p w:rsidR="008F6693" w:rsidRDefault="00745F69">
      <w:pPr>
        <w:spacing w:before="100" w:beforeAutospacing="1" w:after="100" w:afterAutospacing="1"/>
        <w:rPr>
          <w:rFonts w:eastAsia="Calibri"/>
          <w:noProof/>
          <w:lang w:eastAsia="en-GB"/>
        </w:rPr>
      </w:pPr>
      <w:r>
        <w:rPr>
          <w:rFonts w:eastAsia="Calibri"/>
          <w:bCs/>
          <w:noProof/>
          <w:lang w:eastAsia="en-GB"/>
        </w:rPr>
        <w:t xml:space="preserve">A </w:t>
      </w:r>
      <w:r>
        <w:rPr>
          <w:rFonts w:eastAsia="Calibri"/>
          <w:bCs/>
          <w:noProof/>
          <w:lang w:eastAsia="en-GB"/>
        </w:rPr>
        <w:t xml:space="preserve">well-functioning financial sector is key to a smooth functioning of the economy. The strengthened </w:t>
      </w:r>
      <w:r>
        <w:rPr>
          <w:rFonts w:eastAsia="Calibri"/>
          <w:noProof/>
          <w:lang w:eastAsia="en-GB"/>
        </w:rPr>
        <w:t xml:space="preserve">regulatory and supervisory provisions and consumer protection in the area of financial markets and financial institutions should be fully implemented. </w:t>
      </w:r>
      <w:r>
        <w:rPr>
          <w:rFonts w:eastAsia="Calibri"/>
          <w:bCs/>
          <w:noProof/>
          <w:lang w:eastAsia="en-GB"/>
        </w:rPr>
        <w:t>Measure</w:t>
      </w:r>
      <w:r>
        <w:rPr>
          <w:rFonts w:eastAsia="Calibri"/>
          <w:bCs/>
          <w:noProof/>
          <w:lang w:eastAsia="en-GB"/>
        </w:rPr>
        <w:t xml:space="preserve">s need to be taken to build a sustainable  market for securitisation in Europe, which will improve the effective funding capacity of Union banks. </w:t>
      </w:r>
      <w:r>
        <w:rPr>
          <w:rFonts w:eastAsia="Calibri"/>
          <w:noProof/>
          <w:lang w:eastAsia="en-GB"/>
        </w:rPr>
        <w:t>Building on the achievements of the single market for financial services and capital, a genuine Capital Market</w:t>
      </w:r>
      <w:r>
        <w:rPr>
          <w:rFonts w:eastAsia="Calibri"/>
          <w:noProof/>
          <w:lang w:eastAsia="en-GB"/>
        </w:rPr>
        <w:t xml:space="preserve">s Union needs to be established. </w:t>
      </w:r>
    </w:p>
    <w:p w:rsidR="008F6693" w:rsidRDefault="00745F69">
      <w:pPr>
        <w:spacing w:before="100" w:beforeAutospacing="1" w:after="100" w:afterAutospacing="1"/>
        <w:rPr>
          <w:rFonts w:eastAsia="Calibri"/>
          <w:noProof/>
        </w:rPr>
      </w:pPr>
      <w:r>
        <w:rPr>
          <w:rFonts w:eastAsia="Calibri"/>
          <w:noProof/>
        </w:rPr>
        <w:t>Delivering a strong Energy Union should ensure affordable, secure and sustainable energy for businesses and households. Implementation of the 2030 climate and energy framework and transition to a resource efficient low car</w:t>
      </w:r>
      <w:r>
        <w:rPr>
          <w:rFonts w:eastAsia="Calibri"/>
          <w:noProof/>
        </w:rPr>
        <w:t xml:space="preserve">bon economy should be pursued including demand and supply side reforms. In this regard, the energy and transport sector require particular attention. </w:t>
      </w:r>
    </w:p>
    <w:p w:rsidR="008F6693" w:rsidRDefault="00745F69">
      <w:pPr>
        <w:spacing w:before="100" w:beforeAutospacing="1" w:after="100" w:afterAutospacing="1"/>
        <w:rPr>
          <w:rFonts w:eastAsia="Calibri"/>
          <w:noProof/>
        </w:rPr>
      </w:pPr>
      <w:r>
        <w:rPr>
          <w:rFonts w:eastAsia="Calibri"/>
          <w:noProof/>
        </w:rPr>
        <w:t>Union legislation should focus on those issues that are best dealt with at European level, and designed t</w:t>
      </w:r>
      <w:r>
        <w:rPr>
          <w:rFonts w:eastAsia="Calibri"/>
          <w:noProof/>
        </w:rPr>
        <w:t xml:space="preserve">aking into account their economic, environmental and social impact. </w:t>
      </w:r>
      <w:r>
        <w:rPr>
          <w:rFonts w:eastAsia="Calibri"/>
          <w:bCs/>
          <w:noProof/>
          <w:lang w:eastAsia="en-GB"/>
        </w:rPr>
        <w:t xml:space="preserve">Creating a level playing field across the borders with greater regulatory predictability and in full compliance with competition rules will further attract investment. </w:t>
      </w:r>
      <w:r>
        <w:rPr>
          <w:rFonts w:eastAsia="Calibri"/>
          <w:noProof/>
        </w:rPr>
        <w:t>A better and more pr</w:t>
      </w:r>
      <w:r>
        <w:rPr>
          <w:rFonts w:eastAsia="Calibri"/>
          <w:noProof/>
        </w:rPr>
        <w:t>edictable business environment is particularly important in network industries characterised by long investment horizons and large-scale initial investments.</w:t>
      </w:r>
      <w:r>
        <w:rPr>
          <w:rFonts w:eastAsia="Calibri"/>
          <w:bCs/>
          <w:noProof/>
          <w:lang w:eastAsia="en-GB"/>
        </w:rPr>
        <w:t xml:space="preserve"> </w:t>
      </w:r>
      <w:r>
        <w:rPr>
          <w:rFonts w:eastAsia="Calibri"/>
          <w:noProof/>
        </w:rPr>
        <w:t>The external dimension of the internal market should be further developed.</w:t>
      </w:r>
    </w:p>
    <w:p w:rsidR="008F6693" w:rsidRDefault="00745F69">
      <w:pPr>
        <w:spacing w:before="100" w:beforeAutospacing="1" w:after="100" w:afterAutospacing="1"/>
        <w:rPr>
          <w:rFonts w:eastAsia="Calibri"/>
          <w:b/>
          <w:i/>
          <w:noProof/>
          <w:lang w:eastAsia="en-GB"/>
        </w:rPr>
      </w:pPr>
      <w:r>
        <w:rPr>
          <w:rFonts w:eastAsia="Calibri"/>
          <w:b/>
          <w:i/>
          <w:noProof/>
          <w:lang w:eastAsia="en-GB"/>
        </w:rPr>
        <w:t xml:space="preserve">Guideline 4: Improving </w:t>
      </w:r>
      <w:r>
        <w:rPr>
          <w:rFonts w:eastAsia="Calibri"/>
          <w:b/>
          <w:i/>
          <w:noProof/>
          <w:lang w:eastAsia="en-GB"/>
        </w:rPr>
        <w:t xml:space="preserve">the sustainability and growth-friendliness of public finances </w:t>
      </w:r>
    </w:p>
    <w:p w:rsidR="008F6693" w:rsidRDefault="00745F69">
      <w:pPr>
        <w:spacing w:before="100" w:beforeAutospacing="1" w:after="100" w:afterAutospacing="1"/>
        <w:rPr>
          <w:rFonts w:eastAsia="Calibri"/>
          <w:noProof/>
        </w:rPr>
      </w:pPr>
      <w:r>
        <w:rPr>
          <w:rFonts w:eastAsia="Calibri"/>
          <w:noProof/>
        </w:rPr>
        <w:t>Stable public finances are key for growth and job creation. Fiscal sustainability is vital to secure investor confidence and the fiscal space necessary to counter unexpected developments and ma</w:t>
      </w:r>
      <w:r>
        <w:rPr>
          <w:rFonts w:eastAsia="Calibri"/>
          <w:noProof/>
        </w:rPr>
        <w:t>ximise  the positive contribution of public finances to the economy. Member States should secure long term control over the deficit and debt levels. Fiscal policies must be conducted within the Union rules-based framework complemented by sound national bud</w:t>
      </w:r>
      <w:r>
        <w:rPr>
          <w:rFonts w:eastAsia="Calibri"/>
          <w:noProof/>
        </w:rPr>
        <w:t>getary arrangements. Fiscal policies should reflect the economic conditions and sustainability risks at Member State level, while ensuring a good co-ordination of economic policies and a coherent fiscal stance across the Union and the euro area, making use</w:t>
      </w:r>
      <w:r>
        <w:rPr>
          <w:rFonts w:eastAsia="Calibri"/>
          <w:noProof/>
        </w:rPr>
        <w:t xml:space="preserve"> of fiscal space where available to support growth and investment. </w:t>
      </w:r>
    </w:p>
    <w:p w:rsidR="008F6693" w:rsidRDefault="00745F69">
      <w:pPr>
        <w:spacing w:before="100" w:beforeAutospacing="1" w:after="100" w:afterAutospacing="1"/>
        <w:rPr>
          <w:rFonts w:eastAsia="Calibri"/>
          <w:noProof/>
        </w:rPr>
      </w:pPr>
      <w:r>
        <w:rPr>
          <w:noProof/>
          <w:lang w:eastAsia="en-GB"/>
        </w:rPr>
        <w:t>In designing and implementing budgetary consolidation, strategies should prioritise growth-enhancing expenditure items within areas such as education, skills and employability, research an</w:t>
      </w:r>
      <w:r>
        <w:rPr>
          <w:noProof/>
          <w:lang w:eastAsia="en-GB"/>
        </w:rPr>
        <w:t xml:space="preserve">d development and innovation and investment in networks with positive impacts on productivity, for example high-speed Internet, energy and transport interconnections and infrastructure. </w:t>
      </w:r>
      <w:r>
        <w:rPr>
          <w:rFonts w:eastAsia="Calibri"/>
          <w:noProof/>
        </w:rPr>
        <w:t>Expenditure reforms should target efficiency gains in public administr</w:t>
      </w:r>
      <w:r>
        <w:rPr>
          <w:rFonts w:eastAsia="Calibri"/>
          <w:noProof/>
        </w:rPr>
        <w:t xml:space="preserve">ation;such reforms can be prepared notably by spending reviews,with a view to secure long term sustainability. </w:t>
      </w:r>
    </w:p>
    <w:p w:rsidR="008F6693" w:rsidRDefault="00745F69">
      <w:pPr>
        <w:rPr>
          <w:noProof/>
        </w:rPr>
      </w:pPr>
      <w:r>
        <w:rPr>
          <w:rFonts w:eastAsia="Calibri"/>
          <w:noProof/>
        </w:rPr>
        <w:t>Expenditure reforms that promote efficient resource allocation to support growth and employment while preserving equity should be complemented b</w:t>
      </w:r>
      <w:r>
        <w:rPr>
          <w:rFonts w:eastAsia="Calibri"/>
          <w:noProof/>
        </w:rPr>
        <w:t xml:space="preserve">y modersnising revenue systems. Common consolidated corporate tax base should be pursued. Reducing taxation on labour, while ensuring budget neutrality by shifting it towards consumption taxes, recurrent taxes on immovable property and environmental taxes </w:t>
      </w:r>
      <w:r>
        <w:rPr>
          <w:rFonts w:eastAsia="Calibri"/>
          <w:noProof/>
        </w:rPr>
        <w:t xml:space="preserve">can help correcting market inefficiencies and lay foundations for a sustained rates of growth and job creation.The efficiency of the tax system can be enhanced by broadening tax bases, such as  removing or reducing the use and generosity of exemptions and </w:t>
      </w:r>
      <w:r>
        <w:rPr>
          <w:rFonts w:eastAsia="Calibri"/>
          <w:noProof/>
        </w:rPr>
        <w:t xml:space="preserve">preferential regimes, and by strengthening the tax administration, simplifying the tax system, and combatting tax fraud and aggressive tax planning. </w:t>
      </w:r>
    </w:p>
    <w:sectPr w:rsidR="008F6693">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93" w:rsidRDefault="00745F69">
      <w:pPr>
        <w:spacing w:before="0" w:after="0"/>
      </w:pPr>
      <w:r>
        <w:separator/>
      </w:r>
    </w:p>
  </w:endnote>
  <w:endnote w:type="continuationSeparator" w:id="0">
    <w:p w:rsidR="008F6693" w:rsidRDefault="00745F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69" w:rsidRDefault="00745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93" w:rsidRPr="00745F69" w:rsidRDefault="00745F69" w:rsidP="00745F69">
    <w:pPr>
      <w:pStyle w:val="Footer"/>
      <w:rPr>
        <w:rFonts w:ascii="Arial" w:hAnsi="Arial" w:cs="Arial"/>
        <w:b/>
        <w:sz w:val="48"/>
      </w:rPr>
    </w:pPr>
    <w:r w:rsidRPr="00745F69">
      <w:rPr>
        <w:rFonts w:ascii="Arial" w:hAnsi="Arial" w:cs="Arial"/>
        <w:b/>
        <w:sz w:val="48"/>
      </w:rPr>
      <w:t>EN</w:t>
    </w:r>
    <w:r w:rsidRPr="00745F69">
      <w:rPr>
        <w:rFonts w:ascii="Arial" w:hAnsi="Arial" w:cs="Arial"/>
        <w:b/>
        <w:sz w:val="48"/>
      </w:rPr>
      <w:tab/>
    </w:r>
    <w:r w:rsidRPr="00745F69">
      <w:rPr>
        <w:rFonts w:ascii="Arial" w:hAnsi="Arial" w:cs="Arial"/>
        <w:b/>
        <w:sz w:val="48"/>
      </w:rPr>
      <w:tab/>
    </w:r>
    <w:fldSimple w:instr=" DOCVARIABLE &quot;LW_Confidence&quot; \* MERGEFORMAT ">
      <w:r>
        <w:t xml:space="preserve"> </w:t>
      </w:r>
    </w:fldSimple>
    <w:r w:rsidRPr="00745F69">
      <w:tab/>
    </w:r>
    <w:proofErr w:type="spellStart"/>
    <w:r w:rsidRPr="00745F69">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69" w:rsidRDefault="00745F69" w:rsidP="00745F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93" w:rsidRPr="00745F69" w:rsidRDefault="00745F69" w:rsidP="00745F69">
    <w:pPr>
      <w:pStyle w:val="Footer"/>
      <w:rPr>
        <w:rFonts w:ascii="Arial" w:hAnsi="Arial" w:cs="Arial"/>
        <w:b/>
        <w:sz w:val="48"/>
      </w:rPr>
    </w:pPr>
    <w:r w:rsidRPr="00745F69">
      <w:rPr>
        <w:rFonts w:ascii="Arial" w:hAnsi="Arial" w:cs="Arial"/>
        <w:b/>
        <w:sz w:val="48"/>
      </w:rPr>
      <w:t>EN</w:t>
    </w:r>
    <w:r w:rsidRPr="00745F69">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745F69">
      <w:tab/>
    </w:r>
    <w:r w:rsidRPr="00745F69">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93" w:rsidRDefault="008F6693" w:rsidP="00745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93" w:rsidRDefault="00745F69">
      <w:pPr>
        <w:spacing w:before="0" w:after="0"/>
      </w:pPr>
      <w:r>
        <w:separator/>
      </w:r>
    </w:p>
  </w:footnote>
  <w:footnote w:type="continuationSeparator" w:id="0">
    <w:p w:rsidR="008F6693" w:rsidRDefault="00745F69">
      <w:pPr>
        <w:spacing w:before="0" w:after="0"/>
      </w:pPr>
      <w:r>
        <w:continuationSeparator/>
      </w:r>
    </w:p>
  </w:footnote>
  <w:footnote w:id="1">
    <w:p w:rsidR="008F6693" w:rsidRDefault="00745F69">
      <w:pPr>
        <w:pStyle w:val="FootnoteText"/>
      </w:pPr>
      <w:r>
        <w:rPr>
          <w:rStyle w:val="FootnoteReference"/>
        </w:rPr>
        <w:footnoteRef/>
      </w:r>
      <w:r>
        <w:tab/>
        <w:t xml:space="preserve">Insert cross </w:t>
      </w:r>
      <w:r>
        <w:t>reference to 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69" w:rsidRDefault="00745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69" w:rsidRDefault="00745F69" w:rsidP="00745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69" w:rsidRDefault="00745F69" w:rsidP="00745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DEFC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EE63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4CC2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925C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6AEA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A6DA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644858"/>
    <w:lvl w:ilvl="0">
      <w:start w:val="1"/>
      <w:numFmt w:val="decimal"/>
      <w:pStyle w:val="ListNumber"/>
      <w:lvlText w:val="%1."/>
      <w:lvlJc w:val="left"/>
      <w:pPr>
        <w:tabs>
          <w:tab w:val="num" w:pos="360"/>
        </w:tabs>
        <w:ind w:left="360" w:hanging="360"/>
      </w:pPr>
    </w:lvl>
  </w:abstractNum>
  <w:abstractNum w:abstractNumId="7">
    <w:nsid w:val="FFFFFF89"/>
    <w:multiLevelType w:val="singleLevel"/>
    <w:tmpl w:val="DB829E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2-02 15:33: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C35E58D10A44B8BBC49F389AB844A09"/>
    <w:docVar w:name="LW_CROSSREFERENCE" w:val="&lt;UNUSED&gt;"/>
    <w:docVar w:name="LW_DocType" w:val="ANNEX"/>
    <w:docVar w:name="LW_EMISSION" w:val="2.3.2015"/>
    <w:docVar w:name="LW_EMISSION_ISODATE" w:val="2015-03-0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broad guidelines for the economic policies of the Member States and of the Union"/>
    <w:docVar w:name="LW_PART_NBR" w:val="1"/>
    <w:docVar w:name="LW_PART_NBR_TOTAL" w:val="1"/>
    <w:docVar w:name="LW_REF.INST.NEW" w:val="COM"/>
    <w:docVar w:name="LW_REF.INST.NEW_ADOPTED" w:val="final"/>
    <w:docVar w:name="LW_REF.INST.NEW_TEXT" w:val="(2015) 99"/>
    <w:docVar w:name="LW_REF.INTERNE" w:val="&lt;UNUSED&gt;"/>
    <w:docVar w:name="LW_SUPERTITRE" w:val="&lt;UNUSED&gt;"/>
    <w:docVar w:name="LW_TITRE.OBJ.CP" w:val="&lt;UNUSED&gt;"/>
    <w:docVar w:name="LW_TYPE.DOC.CP" w:val="ANNEX"/>
    <w:docVar w:name="LW_TYPEACTEPRINCIPAL.CP" w:val="Recommendation for a _x000b_COUNCIL RECOMMENDATION"/>
  </w:docVars>
  <w:rsids>
    <w:rsidRoot w:val="008F6693"/>
    <w:rsid w:val="00745F69"/>
    <w:rsid w:val="008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14</TotalTime>
  <Pages>3</Pages>
  <Words>1224</Words>
  <Characters>7452</Characters>
  <Application>Microsoft Office Word</Application>
  <DocSecurity>0</DocSecurity>
  <Lines>110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KITRIMI Efstathia (SG)</cp:lastModifiedBy>
  <cp:revision>10</cp:revision>
  <cp:lastPrinted>2015-02-04T16:57:00Z</cp:lastPrinted>
  <dcterms:created xsi:type="dcterms:W3CDTF">2015-03-02T08:13:00Z</dcterms:created>
  <dcterms:modified xsi:type="dcterms:W3CDTF">2015-03-02T11:49:00Z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