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EEECEEBAACE64509929C4E5219B37561" style="width:450.75pt;height:307.5pt">
            <v:imagedata r:id="rId9" o:title=""/>
          </v:shape>
        </w:pict>
      </w:r>
    </w:p>
    <w:bookmarkEnd w:id="0"/>
    <w:p>
      <w:pPr>
        <w:rPr>
          <w:rFonts w:ascii="Times New Roman" w:hAnsi="Times New Roman"/>
          <w:noProof/>
          <w:sz w:val="24"/>
          <w:szCs w:val="24"/>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ypedudocument"/>
        <w:rPr>
          <w:noProof/>
        </w:rPr>
      </w:pPr>
      <w:bookmarkStart w:id="1" w:name="_GoBack"/>
      <w:bookmarkEnd w:id="1"/>
      <w:r>
        <w:rPr>
          <w:noProof/>
        </w:rPr>
        <w:lastRenderedPageBreak/>
        <w:t>ДОКЛАД НА КОМИСИЯТА ДО ЕВРОПЕЙСКИЯ ПАРЛАМЕНТ И СЪВЕТА</w:t>
      </w:r>
    </w:p>
    <w:p>
      <w:pPr>
        <w:pStyle w:val="Titreobjet"/>
        <w:rPr>
          <w:noProof/>
        </w:rPr>
      </w:pPr>
      <w:r>
        <w:rPr>
          <w:noProof/>
        </w:rPr>
        <w:t xml:space="preserve">Годишен доклад относно изпълнението на част IV от Споразумението за асоцииране ЕС — Централна Америка </w:t>
      </w:r>
    </w:p>
    <w:p>
      <w:pPr>
        <w:pStyle w:val="ManualHeading2"/>
        <w:numPr>
          <w:ilvl w:val="0"/>
          <w:numId w:val="4"/>
        </w:numPr>
        <w:ind w:hanging="720"/>
        <w:rPr>
          <w:szCs w:val="24"/>
        </w:rPr>
      </w:pPr>
      <w:r>
        <w:rPr>
          <w:szCs w:val="24"/>
        </w:rPr>
        <w:t>Въведение</w:t>
      </w:r>
    </w:p>
    <w:p>
      <w:pPr>
        <w:jc w:val="both"/>
        <w:rPr>
          <w:rFonts w:ascii="Times New Roman" w:hAnsi="Times New Roman"/>
          <w:noProof/>
          <w:sz w:val="24"/>
          <w:szCs w:val="24"/>
        </w:rPr>
      </w:pPr>
      <w:r>
        <w:rPr>
          <w:rFonts w:ascii="Times New Roman" w:hAnsi="Times New Roman"/>
          <w:noProof/>
          <w:sz w:val="24"/>
        </w:rPr>
        <w:t>ЕС подписа споразумение за асоцииране (наричано по-долу „споразумението“) с Централна Америка на 29 юни 2012 г. Част IV от споразумението, която обхваща търговията, се прилага временно от 1 август 2013 г. по отношение на Никарагуа, Хондурас и Панама, от 1 октомври 2013 г. — с Ел Салвадор и Коста Рика, и накрая, считано от 1 декември 2013 г. — с Гватемала</w:t>
      </w:r>
      <w:r>
        <w:rPr>
          <w:rStyle w:val="FootnoteReference"/>
          <w:rFonts w:ascii="Times New Roman" w:hAnsi="Times New Roman"/>
          <w:noProof/>
          <w:sz w:val="24"/>
        </w:rPr>
        <w:footnoteReference w:id="1"/>
      </w:r>
      <w:r>
        <w:rPr>
          <w:rFonts w:ascii="Times New Roman" w:hAnsi="Times New Roman"/>
          <w:noProof/>
          <w:sz w:val="24"/>
        </w:rPr>
        <w:t xml:space="preserve">. </w:t>
      </w:r>
    </w:p>
    <w:p>
      <w:pPr>
        <w:jc w:val="both"/>
        <w:rPr>
          <w:rFonts w:ascii="Times New Roman" w:hAnsi="Times New Roman"/>
          <w:noProof/>
          <w:sz w:val="24"/>
          <w:szCs w:val="24"/>
        </w:rPr>
      </w:pPr>
      <w:r>
        <w:rPr>
          <w:rFonts w:ascii="Times New Roman" w:hAnsi="Times New Roman"/>
          <w:noProof/>
          <w:sz w:val="24"/>
        </w:rPr>
        <w:t>Комисията редовно предоставя актуализирана информация на Парламента и на Съвета относно изпълнението на споразумението. Освен това, в съответствие с Регламент (ЕС) № 20/2013 на Европейския парламент и на Съвета от 15 януари 2013 г. за прилагане на двустранната защитна клауза и механизма за стабилизиране по отношение на бананите от Споразумението</w:t>
      </w:r>
      <w:r>
        <w:rPr>
          <w:rStyle w:val="FootnoteReference"/>
          <w:rFonts w:ascii="Times New Roman" w:hAnsi="Times New Roman"/>
          <w:noProof/>
          <w:sz w:val="24"/>
        </w:rPr>
        <w:footnoteReference w:id="2"/>
      </w:r>
      <w:r>
        <w:rPr>
          <w:rFonts w:ascii="Times New Roman" w:hAnsi="Times New Roman"/>
          <w:noProof/>
          <w:sz w:val="24"/>
        </w:rPr>
        <w:t xml:space="preserve"> (наричан по-долу „регламента“) Комисията представя годишен доклад на Европейския парламент и на Съвета. Настоящият доклад е в отговор на това изискване.</w:t>
      </w:r>
    </w:p>
    <w:p>
      <w:pPr>
        <w:jc w:val="both"/>
        <w:rPr>
          <w:rFonts w:ascii="Times New Roman" w:hAnsi="Times New Roman"/>
          <w:noProof/>
          <w:sz w:val="24"/>
          <w:szCs w:val="24"/>
        </w:rPr>
      </w:pPr>
      <w:r>
        <w:rPr>
          <w:rFonts w:ascii="Times New Roman" w:hAnsi="Times New Roman"/>
          <w:noProof/>
          <w:sz w:val="24"/>
        </w:rPr>
        <w:t xml:space="preserve">В съответствие с член 13 от регламента, докладът съдържа три раздела: </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обобщение на статистическите данни и обща оценка на търговските потоци (част 2);</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информация за дейностите на различните органи, отговорни за мониторинга на изпълнението на споразумението (част 3), включително изпълнението на задълженията по дяла относно търговията и устойчивото развитие (част 4);</w:t>
      </w:r>
    </w:p>
    <w:p>
      <w:pPr>
        <w:numPr>
          <w:ilvl w:val="0"/>
          <w:numId w:val="7"/>
        </w:numPr>
        <w:spacing w:after="0" w:line="240" w:lineRule="auto"/>
        <w:jc w:val="both"/>
        <w:rPr>
          <w:rFonts w:ascii="Times New Roman" w:hAnsi="Times New Roman"/>
          <w:noProof/>
          <w:sz w:val="24"/>
          <w:szCs w:val="24"/>
        </w:rPr>
      </w:pPr>
      <w:r>
        <w:rPr>
          <w:rFonts w:ascii="Times New Roman" w:hAnsi="Times New Roman"/>
          <w:noProof/>
          <w:sz w:val="24"/>
        </w:rPr>
        <w:t>информация относно надзорните дейности, посочени в регламента (част 5).</w:t>
      </w:r>
    </w:p>
    <w:p>
      <w:pPr>
        <w:jc w:val="both"/>
        <w:rPr>
          <w:rFonts w:ascii="Times New Roman" w:hAnsi="Times New Roman"/>
          <w:noProof/>
          <w:sz w:val="24"/>
          <w:szCs w:val="24"/>
        </w:rPr>
      </w:pPr>
    </w:p>
    <w:p>
      <w:pPr>
        <w:pStyle w:val="ManualHeading2"/>
        <w:numPr>
          <w:ilvl w:val="0"/>
          <w:numId w:val="4"/>
        </w:numPr>
        <w:tabs>
          <w:tab w:val="clear" w:pos="850"/>
          <w:tab w:val="left" w:pos="851"/>
        </w:tabs>
        <w:ind w:left="851" w:hanging="851"/>
        <w:rPr>
          <w:szCs w:val="24"/>
        </w:rPr>
      </w:pPr>
      <w:r>
        <w:t>ОБЩА ОЦЕНКА: ТЕНДЕНЦИИ В ТЪРГОВИЯТА</w:t>
      </w:r>
    </w:p>
    <w:p>
      <w:pPr>
        <w:pStyle w:val="ManualHeading2"/>
        <w:tabs>
          <w:tab w:val="clear" w:pos="850"/>
          <w:tab w:val="left" w:pos="0"/>
          <w:tab w:val="left" w:pos="851"/>
        </w:tabs>
        <w:ind w:left="851" w:hanging="851"/>
        <w:rPr>
          <w:szCs w:val="24"/>
        </w:rPr>
      </w:pPr>
      <w:r>
        <w:t>2.1.</w:t>
      </w:r>
      <w:r>
        <w:tab/>
        <w:t>Методология</w:t>
      </w:r>
    </w:p>
    <w:p>
      <w:pPr>
        <w:jc w:val="both"/>
        <w:rPr>
          <w:rFonts w:ascii="Times New Roman" w:hAnsi="Times New Roman"/>
          <w:noProof/>
          <w:sz w:val="24"/>
          <w:szCs w:val="24"/>
        </w:rPr>
      </w:pPr>
      <w:r>
        <w:rPr>
          <w:rFonts w:ascii="Times New Roman" w:hAnsi="Times New Roman"/>
          <w:noProof/>
          <w:sz w:val="24"/>
        </w:rPr>
        <w:t xml:space="preserve">Ограничената наличност на данни, които биха могли да се използват за изготвянето на този първи годишен доклад, не позволява да се направят категорични заключения относно въздействието на споразумението. Промяната в търговските потоци не се дължи единствено на прилагането на споразумението и много други фактори също оказват влияние върху тези цифри, като например колебания в търсенето или цените на международните пазари. Следва също така да се припомни, че тъй като съществуващата асиметрия в степента на развитие на икономиките е отразена в съответните графици за премахване на митата, за Централна Америка периодът на </w:t>
      </w:r>
      <w:r>
        <w:rPr>
          <w:rFonts w:ascii="Times New Roman" w:hAnsi="Times New Roman"/>
          <w:noProof/>
          <w:sz w:val="24"/>
        </w:rPr>
        <w:lastRenderedPageBreak/>
        <w:t>премахване на митата е по-дълъг, отколкото за ЕС. В резултат на това през първата година на прилагане намаляването на митата е по-високо за вноса на ЕС от Централна Америка отколкото за вноса на Централна Америка от ЕС.</w:t>
      </w:r>
    </w:p>
    <w:p>
      <w:pPr>
        <w:jc w:val="both"/>
        <w:rPr>
          <w:rFonts w:ascii="Times New Roman" w:hAnsi="Times New Roman"/>
          <w:noProof/>
          <w:sz w:val="24"/>
          <w:szCs w:val="24"/>
        </w:rPr>
      </w:pPr>
      <w:r>
        <w:rPr>
          <w:rFonts w:ascii="Times New Roman" w:hAnsi="Times New Roman"/>
          <w:noProof/>
          <w:sz w:val="24"/>
        </w:rPr>
        <w:t>Следва да се отбележи, че преди прилагането на споразумението, държавите от Централна Америка са се ползвали от преференциален достъп до пазара на ЕС посредством общата система за преференции (наричана по-долу „ОСП“), която е предоставяла тарифни отстъпки на развиващите се държави. В приложение на системата някои ключови продукти от Централна Америка (като кафе и плодове) вече са се ползвали от безмитен режим. Тарифните отстъпки, предоставени по споразумението обаче, включват по-широка гама продукти отколкото ОСП и имат постоянен характер. Очаква се споразумението да помогне за повишаване на диверсификацията на износа на Централна Америка, но за това ще е необходимо време.</w:t>
      </w:r>
    </w:p>
    <w:p>
      <w:pPr>
        <w:jc w:val="both"/>
        <w:rPr>
          <w:rFonts w:ascii="Times New Roman" w:hAnsi="Times New Roman"/>
          <w:noProof/>
          <w:sz w:val="24"/>
          <w:szCs w:val="24"/>
        </w:rPr>
      </w:pPr>
      <w:r>
        <w:rPr>
          <w:rFonts w:ascii="Times New Roman" w:hAnsi="Times New Roman"/>
          <w:noProof/>
          <w:sz w:val="24"/>
        </w:rPr>
        <w:t>Представеният по-долу анализ на двустранните търговски потоци се основава на сравнение на данните за период от 12 месеца (октомври 2013 г. — септември 2014 г.), които след това са сравнени със същия период на предходната година (октомври 2012 г. — септември 2013 г.). По-долу, първата година от прилагането ще се отнася до 12-месечния период между 1 октомври 2013 г. и 30 септември 2014 г. Освен ако изрично е посочено друго, настоящият доклад се основава на данни на Евростат.</w:t>
      </w:r>
    </w:p>
    <w:p>
      <w:pPr>
        <w:jc w:val="both"/>
        <w:rPr>
          <w:rFonts w:ascii="Times New Roman" w:hAnsi="Times New Roman"/>
          <w:noProof/>
          <w:sz w:val="24"/>
          <w:szCs w:val="24"/>
        </w:rPr>
      </w:pPr>
      <w:r>
        <w:rPr>
          <w:rFonts w:ascii="Times New Roman" w:hAnsi="Times New Roman"/>
          <w:noProof/>
          <w:sz w:val="24"/>
        </w:rPr>
        <w:t>Следва да се отбележи, че статистиката на Евростат и Централна Америка показват значителни различия по отношение на Панама (+ 255 %) и Коста Рика (+ 46 %). Тези различия бяха обсъдени в подкомитета по достъпа до пазара и бе постигнато съгласие да се направи съвместен анализ с цел да се потърсят причините за това.</w:t>
      </w:r>
    </w:p>
    <w:p>
      <w:pPr>
        <w:pStyle w:val="ManualHeading2"/>
        <w:rPr>
          <w:szCs w:val="24"/>
        </w:rPr>
      </w:pPr>
      <w:r>
        <w:t>2.2.</w:t>
      </w:r>
      <w:r>
        <w:tab/>
        <w:t>Развитие на общите търговски потоци (стоки) с Централна Америка</w:t>
      </w:r>
    </w:p>
    <w:p>
      <w:pPr>
        <w:jc w:val="both"/>
        <w:rPr>
          <w:rFonts w:ascii="Times New Roman" w:hAnsi="Times New Roman"/>
          <w:noProof/>
          <w:sz w:val="24"/>
          <w:szCs w:val="24"/>
        </w:rPr>
      </w:pPr>
      <w:r>
        <w:rPr>
          <w:rFonts w:ascii="Times New Roman" w:hAnsi="Times New Roman"/>
          <w:noProof/>
          <w:sz w:val="24"/>
        </w:rPr>
        <w:t>Нови данни от Икономическата комисия на ООН за Латинска Америка и Карибския басейн сочат, че преките чуждестранни инвестиции в Централна Америка са се запазили относително стабилни през първата половина на 2014 г. в сравнение с 2013 г. При все това, търговията</w:t>
      </w:r>
      <w:r>
        <w:rPr>
          <w:rStyle w:val="FootnoteReference"/>
          <w:rFonts w:ascii="Times New Roman" w:hAnsi="Times New Roman"/>
          <w:noProof/>
          <w:sz w:val="24"/>
        </w:rPr>
        <w:footnoteReference w:id="3"/>
      </w:r>
      <w:r>
        <w:rPr>
          <w:rFonts w:ascii="Times New Roman" w:hAnsi="Times New Roman"/>
          <w:noProof/>
          <w:sz w:val="24"/>
        </w:rPr>
        <w:t xml:space="preserve"> между държавите от Централна Америка, както и между този регион и останалата част от света, е намаляла с 1 % — 2 %. Аналогично, глобалните търговски потоци на ЕС са се понижили с 3 %.</w:t>
      </w:r>
    </w:p>
    <w:p>
      <w:pPr>
        <w:jc w:val="both"/>
        <w:rPr>
          <w:rFonts w:ascii="Times New Roman" w:hAnsi="Times New Roman"/>
          <w:noProof/>
          <w:sz w:val="24"/>
          <w:szCs w:val="24"/>
        </w:rPr>
      </w:pPr>
      <w:r>
        <w:rPr>
          <w:rFonts w:ascii="Times New Roman" w:hAnsi="Times New Roman"/>
          <w:noProof/>
          <w:sz w:val="24"/>
        </w:rPr>
        <w:t>Въпреки това цялостно намаляване на търговските потоци и без да забравяме, че е твърде рано да се правят окончателни заключения, налице е тенденция за увеличаване на търговските потоци за отделни държави и определени стоки. Търговските потоци на ЕС с региона са останали стабилни или дори са се увеличили, с изключение на Панама, търговията с която е претърпяла значителен спад в сравнение с 2012 г. (- 11,9 %). Това обаче може да бъде свързано с общото намаление на износа от ЕС за Южна Америка, в който зоната за свободна търговия на Панама играе ключова роля като регионален център.</w:t>
      </w:r>
    </w:p>
    <w:p>
      <w:pPr>
        <w:jc w:val="both"/>
        <w:rPr>
          <w:rFonts w:ascii="Times New Roman" w:hAnsi="Times New Roman"/>
          <w:noProof/>
          <w:sz w:val="24"/>
          <w:szCs w:val="24"/>
        </w:rPr>
      </w:pPr>
      <w:r>
        <w:rPr>
          <w:rFonts w:ascii="Times New Roman" w:hAnsi="Times New Roman"/>
          <w:noProof/>
          <w:sz w:val="24"/>
        </w:rPr>
        <w:lastRenderedPageBreak/>
        <w:t>Поради несигурността по отношение на датата на временното прилагане през 2013 г., операторите може да са срещнали някои затруднения да вземат предвид ползите по споразумението в своите решения. Въпреки това са налице показатели, които сочат, че предприятията в определени сектори все повече използват споразумението.</w:t>
      </w:r>
    </w:p>
    <w:p>
      <w:pPr>
        <w:jc w:val="both"/>
        <w:rPr>
          <w:rFonts w:ascii="Times New Roman" w:hAnsi="Times New Roman"/>
          <w:noProof/>
          <w:sz w:val="24"/>
          <w:szCs w:val="24"/>
        </w:rPr>
      </w:pPr>
      <w:r>
        <w:rPr>
          <w:rFonts w:ascii="Times New Roman" w:hAnsi="Times New Roman"/>
          <w:noProof/>
          <w:sz w:val="24"/>
        </w:rPr>
        <w:t xml:space="preserve">Стойността на вноса в ЕС на стоки от Централна Америка се е увеличила с 3,4 % (6,629 милиарда евро), а износът на ЕС към Централна Америка е намалял с 6,3 % (5,106 милиарда евро). През 2014 г. търговският баланс на ЕС следователно е достигнал дефицит от 1,528 милиарда евро (през предходната година дефицитът е бил 962 милиона евро). </w:t>
      </w:r>
    </w:p>
    <w:p>
      <w:pPr>
        <w:widowControl w:val="0"/>
        <w:jc w:val="both"/>
        <w:rPr>
          <w:rFonts w:ascii="Times New Roman" w:hAnsi="Times New Roman"/>
          <w:noProof/>
          <w:sz w:val="24"/>
          <w:szCs w:val="24"/>
        </w:rPr>
      </w:pPr>
    </w:p>
    <w:tbl>
      <w:tblPr>
        <w:tblW w:w="6457" w:type="dxa"/>
        <w:jc w:val="center"/>
        <w:tblInd w:w="93" w:type="dxa"/>
        <w:tblLook w:val="04A0" w:firstRow="1" w:lastRow="0" w:firstColumn="1" w:lastColumn="0" w:noHBand="0" w:noVBand="1"/>
      </w:tblPr>
      <w:tblGrid>
        <w:gridCol w:w="1293"/>
        <w:gridCol w:w="756"/>
        <w:gridCol w:w="953"/>
        <w:gridCol w:w="756"/>
        <w:gridCol w:w="896"/>
        <w:gridCol w:w="940"/>
        <w:gridCol w:w="960"/>
      </w:tblGrid>
      <w:tr>
        <w:trPr>
          <w:trHeight w:val="315"/>
          <w:jc w:val="center"/>
        </w:trPr>
        <w:tc>
          <w:tcPr>
            <w:tcW w:w="1256" w:type="dxa"/>
            <w:tcBorders>
              <w:top w:val="nil"/>
              <w:left w:val="nil"/>
              <w:bottom w:val="single" w:sz="18" w:space="0" w:color="auto"/>
              <w:right w:val="single" w:sz="18" w:space="0" w:color="auto"/>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1709"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Износ</w:t>
            </w:r>
          </w:p>
        </w:tc>
        <w:tc>
          <w:tcPr>
            <w:tcW w:w="1592"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Внос</w:t>
            </w:r>
          </w:p>
        </w:tc>
        <w:tc>
          <w:tcPr>
            <w:tcW w:w="1900" w:type="dxa"/>
            <w:gridSpan w:val="2"/>
            <w:tcBorders>
              <w:top w:val="single" w:sz="18" w:space="0" w:color="auto"/>
              <w:left w:val="single" w:sz="18" w:space="0" w:color="auto"/>
              <w:bottom w:val="single" w:sz="18" w:space="0" w:color="auto"/>
              <w:right w:val="single" w:sz="18" w:space="0" w:color="auto"/>
            </w:tcBorders>
            <w:shd w:val="clear" w:color="auto" w:fill="auto"/>
            <w:noWrap/>
            <w:vAlign w:val="bottom"/>
            <w:hideMark/>
          </w:tcPr>
          <w:p>
            <w:pPr>
              <w:spacing w:after="0" w:line="240" w:lineRule="auto"/>
              <w:jc w:val="center"/>
              <w:rPr>
                <w:rFonts w:ascii="Times New Roman" w:eastAsia="Times New Roman" w:hAnsi="Times New Roman"/>
                <w:noProof/>
                <w:color w:val="000000"/>
                <w:sz w:val="24"/>
                <w:szCs w:val="24"/>
              </w:rPr>
            </w:pPr>
            <w:r>
              <w:rPr>
                <w:rFonts w:ascii="Times New Roman" w:hAnsi="Times New Roman"/>
                <w:noProof/>
                <w:color w:val="000000"/>
                <w:sz w:val="24"/>
              </w:rPr>
              <w:t>Общо търговски потоци</w:t>
            </w:r>
          </w:p>
        </w:tc>
      </w:tr>
      <w:tr>
        <w:trPr>
          <w:trHeight w:val="300"/>
          <w:jc w:val="center"/>
        </w:trPr>
        <w:tc>
          <w:tcPr>
            <w:tcW w:w="1256" w:type="dxa"/>
            <w:tcBorders>
              <w:top w:val="single" w:sz="18" w:space="0" w:color="auto"/>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Коста Рика</w:t>
            </w:r>
          </w:p>
        </w:tc>
        <w:tc>
          <w:tcPr>
            <w:tcW w:w="756"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812</w:t>
            </w:r>
          </w:p>
        </w:tc>
        <w:tc>
          <w:tcPr>
            <w:tcW w:w="953"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1,5 %</w:t>
            </w:r>
          </w:p>
        </w:tc>
        <w:tc>
          <w:tcPr>
            <w:tcW w:w="756"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4 096</w:t>
            </w:r>
          </w:p>
        </w:tc>
        <w:tc>
          <w:tcPr>
            <w:tcW w:w="836"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-0,7 %</w:t>
            </w:r>
          </w:p>
        </w:tc>
        <w:tc>
          <w:tcPr>
            <w:tcW w:w="940" w:type="dxa"/>
            <w:tcBorders>
              <w:top w:val="single" w:sz="18" w:space="0" w:color="auto"/>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4 908</w:t>
            </w:r>
          </w:p>
        </w:tc>
        <w:tc>
          <w:tcPr>
            <w:tcW w:w="960" w:type="dxa"/>
            <w:tcBorders>
              <w:top w:val="single" w:sz="18" w:space="0" w:color="auto"/>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-0,4 %</w:t>
            </w:r>
          </w:p>
        </w:tc>
      </w:tr>
      <w:tr>
        <w:trPr>
          <w:trHeight w:val="300"/>
          <w:jc w:val="center"/>
        </w:trPr>
        <w:tc>
          <w:tcPr>
            <w:tcW w:w="1256"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Ел Салвадор</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574</w:t>
            </w:r>
          </w:p>
        </w:tc>
        <w:tc>
          <w:tcPr>
            <w:tcW w:w="953"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13,9 %</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191</w:t>
            </w:r>
          </w:p>
        </w:tc>
        <w:tc>
          <w:tcPr>
            <w:tcW w:w="8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-6,0 %</w:t>
            </w:r>
          </w:p>
        </w:tc>
        <w:tc>
          <w:tcPr>
            <w:tcW w:w="940"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766</w:t>
            </w:r>
          </w:p>
        </w:tc>
        <w:tc>
          <w:tcPr>
            <w:tcW w:w="960"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8,1 %</w:t>
            </w:r>
          </w:p>
        </w:tc>
      </w:tr>
      <w:tr>
        <w:trPr>
          <w:trHeight w:val="300"/>
          <w:jc w:val="center"/>
        </w:trPr>
        <w:tc>
          <w:tcPr>
            <w:tcW w:w="1256"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 xml:space="preserve">Гватемала </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829</w:t>
            </w:r>
          </w:p>
        </w:tc>
        <w:tc>
          <w:tcPr>
            <w:tcW w:w="953"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7,7 %</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619</w:t>
            </w:r>
          </w:p>
        </w:tc>
        <w:tc>
          <w:tcPr>
            <w:tcW w:w="8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4,0 %</w:t>
            </w:r>
          </w:p>
        </w:tc>
        <w:tc>
          <w:tcPr>
            <w:tcW w:w="940"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1 448</w:t>
            </w:r>
          </w:p>
        </w:tc>
        <w:tc>
          <w:tcPr>
            <w:tcW w:w="960"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6,1 %</w:t>
            </w:r>
          </w:p>
        </w:tc>
      </w:tr>
      <w:tr>
        <w:trPr>
          <w:trHeight w:val="300"/>
          <w:jc w:val="center"/>
        </w:trPr>
        <w:tc>
          <w:tcPr>
            <w:tcW w:w="1256"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Хондурас</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421</w:t>
            </w:r>
          </w:p>
        </w:tc>
        <w:tc>
          <w:tcPr>
            <w:tcW w:w="953"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15,3 %</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791</w:t>
            </w:r>
          </w:p>
        </w:tc>
        <w:tc>
          <w:tcPr>
            <w:tcW w:w="8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3,1 %</w:t>
            </w:r>
          </w:p>
        </w:tc>
        <w:tc>
          <w:tcPr>
            <w:tcW w:w="940"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1 213</w:t>
            </w:r>
          </w:p>
        </w:tc>
        <w:tc>
          <w:tcPr>
            <w:tcW w:w="960"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7,0 %</w:t>
            </w:r>
          </w:p>
        </w:tc>
      </w:tr>
      <w:tr>
        <w:trPr>
          <w:trHeight w:val="300"/>
          <w:jc w:val="center"/>
        </w:trPr>
        <w:tc>
          <w:tcPr>
            <w:tcW w:w="1256" w:type="dxa"/>
            <w:tcBorders>
              <w:top w:val="nil"/>
              <w:left w:val="single" w:sz="18" w:space="0" w:color="auto"/>
              <w:bottom w:val="single" w:sz="4"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Никарагуа</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165</w:t>
            </w:r>
          </w:p>
        </w:tc>
        <w:tc>
          <w:tcPr>
            <w:tcW w:w="953"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0,0 %</w:t>
            </w:r>
          </w:p>
        </w:tc>
        <w:tc>
          <w:tcPr>
            <w:tcW w:w="756"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305</w:t>
            </w:r>
          </w:p>
        </w:tc>
        <w:tc>
          <w:tcPr>
            <w:tcW w:w="836"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28,7 %</w:t>
            </w:r>
          </w:p>
        </w:tc>
        <w:tc>
          <w:tcPr>
            <w:tcW w:w="940" w:type="dxa"/>
            <w:tcBorders>
              <w:top w:val="nil"/>
              <w:left w:val="single" w:sz="18" w:space="0" w:color="auto"/>
              <w:bottom w:val="single" w:sz="4"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470</w:t>
            </w:r>
          </w:p>
        </w:tc>
        <w:tc>
          <w:tcPr>
            <w:tcW w:w="960" w:type="dxa"/>
            <w:tcBorders>
              <w:top w:val="nil"/>
              <w:left w:val="nil"/>
              <w:bottom w:val="single" w:sz="4"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16,9 %</w:t>
            </w:r>
          </w:p>
        </w:tc>
      </w:tr>
      <w:tr>
        <w:trPr>
          <w:trHeight w:val="315"/>
          <w:jc w:val="center"/>
        </w:trPr>
        <w:tc>
          <w:tcPr>
            <w:tcW w:w="1256" w:type="dxa"/>
            <w:tcBorders>
              <w:top w:val="nil"/>
              <w:left w:val="single" w:sz="18" w:space="0" w:color="auto"/>
              <w:bottom w:val="single" w:sz="18" w:space="0" w:color="auto"/>
              <w:right w:val="single" w:sz="18" w:space="0" w:color="auto"/>
            </w:tcBorders>
            <w:shd w:val="clear" w:color="auto" w:fill="auto"/>
            <w:vAlign w:val="bottom"/>
            <w:hideMark/>
          </w:tcPr>
          <w:p>
            <w:pPr>
              <w:spacing w:after="0" w:line="240" w:lineRule="auto"/>
              <w:rPr>
                <w:rFonts w:ascii="Times New Roman" w:eastAsia="Times New Roman" w:hAnsi="Times New Roman"/>
                <w:noProof/>
                <w:color w:val="000000"/>
                <w:sz w:val="24"/>
                <w:szCs w:val="24"/>
              </w:rPr>
            </w:pPr>
            <w:r>
              <w:rPr>
                <w:rFonts w:ascii="Times New Roman" w:hAnsi="Times New Roman"/>
                <w:noProof/>
                <w:color w:val="000000"/>
                <w:sz w:val="24"/>
              </w:rPr>
              <w:t>Панама</w:t>
            </w:r>
          </w:p>
        </w:tc>
        <w:tc>
          <w:tcPr>
            <w:tcW w:w="756"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2 305</w:t>
            </w:r>
          </w:p>
        </w:tc>
        <w:tc>
          <w:tcPr>
            <w:tcW w:w="953"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-19,0 %</w:t>
            </w:r>
          </w:p>
        </w:tc>
        <w:tc>
          <w:tcPr>
            <w:tcW w:w="756"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627</w:t>
            </w:r>
          </w:p>
        </w:tc>
        <w:tc>
          <w:tcPr>
            <w:tcW w:w="836"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29,7 %</w:t>
            </w:r>
          </w:p>
        </w:tc>
        <w:tc>
          <w:tcPr>
            <w:tcW w:w="940" w:type="dxa"/>
            <w:tcBorders>
              <w:top w:val="nil"/>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2 932</w:t>
            </w:r>
          </w:p>
        </w:tc>
        <w:tc>
          <w:tcPr>
            <w:tcW w:w="960" w:type="dxa"/>
            <w:tcBorders>
              <w:top w:val="nil"/>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-11,9 %</w:t>
            </w:r>
          </w:p>
        </w:tc>
      </w:tr>
      <w:tr>
        <w:trPr>
          <w:trHeight w:val="315"/>
          <w:jc w:val="center"/>
        </w:trPr>
        <w:tc>
          <w:tcPr>
            <w:tcW w:w="1256" w:type="dxa"/>
            <w:tcBorders>
              <w:top w:val="single" w:sz="18" w:space="0" w:color="auto"/>
              <w:left w:val="single" w:sz="18" w:space="0" w:color="auto"/>
              <w:bottom w:val="single" w:sz="18" w:space="0" w:color="auto"/>
              <w:right w:val="single" w:sz="18" w:space="0" w:color="auto"/>
            </w:tcBorders>
            <w:shd w:val="clear" w:color="auto" w:fill="auto"/>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Общо</w:t>
            </w:r>
          </w:p>
        </w:tc>
        <w:tc>
          <w:tcPr>
            <w:tcW w:w="756"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5 106</w:t>
            </w:r>
          </w:p>
        </w:tc>
        <w:tc>
          <w:tcPr>
            <w:tcW w:w="953"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-6,3 %</w:t>
            </w:r>
          </w:p>
        </w:tc>
        <w:tc>
          <w:tcPr>
            <w:tcW w:w="756"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6 629</w:t>
            </w:r>
          </w:p>
        </w:tc>
        <w:tc>
          <w:tcPr>
            <w:tcW w:w="836"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3,4 %</w:t>
            </w:r>
          </w:p>
        </w:tc>
        <w:tc>
          <w:tcPr>
            <w:tcW w:w="940" w:type="dxa"/>
            <w:tcBorders>
              <w:top w:val="single" w:sz="18" w:space="0" w:color="auto"/>
              <w:left w:val="single" w:sz="18" w:space="0" w:color="auto"/>
              <w:bottom w:val="single" w:sz="18" w:space="0" w:color="auto"/>
              <w:right w:val="single" w:sz="4"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11 736</w:t>
            </w:r>
          </w:p>
        </w:tc>
        <w:tc>
          <w:tcPr>
            <w:tcW w:w="960" w:type="dxa"/>
            <w:tcBorders>
              <w:top w:val="single" w:sz="18" w:space="0" w:color="auto"/>
              <w:left w:val="nil"/>
              <w:bottom w:val="single" w:sz="18" w:space="0" w:color="auto"/>
              <w:right w:val="single" w:sz="18" w:space="0" w:color="auto"/>
            </w:tcBorders>
            <w:shd w:val="clear" w:color="auto" w:fill="auto"/>
            <w:noWrap/>
            <w:vAlign w:val="bottom"/>
            <w:hideMark/>
          </w:tcPr>
          <w:p>
            <w:pPr>
              <w:spacing w:after="0" w:line="240" w:lineRule="auto"/>
              <w:jc w:val="right"/>
              <w:rPr>
                <w:rFonts w:ascii="Times New Roman" w:eastAsia="Times New Roman" w:hAnsi="Times New Roman"/>
                <w:b/>
                <w:bCs/>
                <w:noProof/>
                <w:color w:val="000000"/>
                <w:sz w:val="24"/>
                <w:szCs w:val="24"/>
              </w:rPr>
            </w:pPr>
            <w:r>
              <w:rPr>
                <w:rFonts w:ascii="Times New Roman" w:hAnsi="Times New Roman"/>
                <w:b/>
                <w:noProof/>
                <w:color w:val="000000"/>
                <w:sz w:val="24"/>
              </w:rPr>
              <w:t>-1,1 %</w:t>
            </w:r>
          </w:p>
        </w:tc>
      </w:tr>
    </w:tbl>
    <w:p>
      <w:pPr>
        <w:spacing w:after="0"/>
        <w:jc w:val="center"/>
        <w:rPr>
          <w:rFonts w:ascii="Times New Roman" w:hAnsi="Times New Roman"/>
          <w:b/>
          <w:noProof/>
          <w:sz w:val="24"/>
          <w:szCs w:val="24"/>
        </w:rPr>
      </w:pPr>
      <w:r>
        <w:rPr>
          <w:rFonts w:ascii="Times New Roman" w:hAnsi="Times New Roman"/>
          <w:b/>
          <w:noProof/>
          <w:sz w:val="24"/>
        </w:rPr>
        <w:t xml:space="preserve">Търговски поток между ЕС и Централна Америка и годишното му развитие </w:t>
      </w:r>
    </w:p>
    <w:p>
      <w:pPr>
        <w:jc w:val="center"/>
        <w:rPr>
          <w:rFonts w:ascii="Times New Roman" w:hAnsi="Times New Roman"/>
          <w:b/>
          <w:noProof/>
          <w:sz w:val="24"/>
          <w:szCs w:val="24"/>
        </w:rPr>
      </w:pPr>
      <w:r>
        <w:rPr>
          <w:rFonts w:ascii="Times New Roman" w:hAnsi="Times New Roman"/>
          <w:b/>
          <w:noProof/>
          <w:sz w:val="24"/>
        </w:rPr>
        <w:t>(в милиони евро — период от 1.10.2013 г. до 30.9.2014 г.)</w:t>
      </w:r>
    </w:p>
    <w:p>
      <w:pPr>
        <w:jc w:val="both"/>
        <w:rPr>
          <w:rFonts w:ascii="Times New Roman" w:hAnsi="Times New Roman"/>
          <w:noProof/>
          <w:sz w:val="24"/>
          <w:szCs w:val="24"/>
        </w:rPr>
      </w:pPr>
      <w:r>
        <w:rPr>
          <w:rFonts w:ascii="Times New Roman" w:hAnsi="Times New Roman"/>
          <w:noProof/>
          <w:sz w:val="24"/>
        </w:rPr>
        <w:t xml:space="preserve">Основното местоназначение на </w:t>
      </w:r>
      <w:r>
        <w:rPr>
          <w:rFonts w:ascii="Times New Roman" w:hAnsi="Times New Roman"/>
          <w:b/>
          <w:noProof/>
          <w:sz w:val="24"/>
        </w:rPr>
        <w:t>износа от ЕС за Централна Америка</w:t>
      </w:r>
      <w:r>
        <w:rPr>
          <w:rFonts w:ascii="Times New Roman" w:hAnsi="Times New Roman"/>
          <w:noProof/>
          <w:sz w:val="24"/>
        </w:rPr>
        <w:t xml:space="preserve"> е била Панама (46 %), следвана от Гватемала и Коста Рика (по 16 %). Основният износ според категориите на Стандартната международна външнотърговска класификация (SITC) са машините и транспортното оборудване (32,7 %), следвани от химикалите (17,5 %). Износът на ЕС е доста разнообразен и 15-те продукти, които се изнасят най-много (в стойностно изражение), представляват 28 % от общия износ. Общо 5 817 различни продукти са били изнесени в Централна Америка през първата година на прилагане (+ 0,5 % в сравнение с предходната година). </w:t>
      </w:r>
    </w:p>
    <w:p>
      <w:pPr>
        <w:jc w:val="both"/>
        <w:rPr>
          <w:rFonts w:ascii="Times New Roman" w:hAnsi="Times New Roman"/>
          <w:noProof/>
          <w:sz w:val="24"/>
          <w:szCs w:val="24"/>
        </w:rPr>
      </w:pPr>
      <w:r>
        <w:rPr>
          <w:rFonts w:ascii="Times New Roman" w:hAnsi="Times New Roman"/>
          <w:noProof/>
          <w:sz w:val="24"/>
        </w:rPr>
        <w:t>Износът на ЕС към Централна Америка е намалял с 6,3 %. Това намаление, което е засегнало основно Панама (- 19 %), би могло да бъде свързано с цялостната тенденция към намаляване за региона на Южна Америка. Износът на ЕС към Централна Америка показва значителна променливост (както положителна, така и отрицателна) за продукти, като например тежки машини, железопътен транспорт, самолети и плавателни съдове, които представляват голям дял от общия износ и за които търговските потоци са свързани с промишлени или капиталови инвестиции.</w:t>
      </w:r>
    </w:p>
    <w:p>
      <w:pPr>
        <w:jc w:val="both"/>
        <w:rPr>
          <w:rFonts w:ascii="Times New Roman" w:hAnsi="Times New Roman"/>
          <w:noProof/>
          <w:sz w:val="24"/>
          <w:szCs w:val="24"/>
        </w:rPr>
      </w:pPr>
      <w:r>
        <w:rPr>
          <w:rFonts w:ascii="Times New Roman" w:hAnsi="Times New Roman"/>
          <w:noProof/>
          <w:sz w:val="24"/>
        </w:rPr>
        <w:t>Проникването на нов пазар може да отнеме време и не зависи единствено от наличието на споразумение за свободна търговия. При все това следва да се отбележи, че сред изнасяните от ЕС за Централна Америка стоки, чийто износ се е увеличил най-значително в относително изражение, 9 от общо 15 се ползват от преференциално тарифно третиране по силата на споразумението, като:</w:t>
      </w:r>
    </w:p>
    <w:p>
      <w:pPr>
        <w:numPr>
          <w:ilvl w:val="0"/>
          <w:numId w:val="11"/>
        </w:numPr>
        <w:jc w:val="both"/>
        <w:rPr>
          <w:rFonts w:ascii="Times New Roman" w:hAnsi="Times New Roman"/>
          <w:noProof/>
          <w:sz w:val="24"/>
          <w:szCs w:val="24"/>
        </w:rPr>
      </w:pPr>
      <w:r>
        <w:rPr>
          <w:b/>
          <w:noProof/>
        </w:rPr>
        <w:t>части за въздухоплавателни средства</w:t>
      </w:r>
      <w:r>
        <w:rPr>
          <w:noProof/>
        </w:rPr>
        <w:t xml:space="preserve"> — увеличение от 2,5 милиона евро на 39,5 милиона евро през първата година на прилагането (+ 1431 %),</w:t>
      </w:r>
    </w:p>
    <w:p>
      <w:pPr>
        <w:numPr>
          <w:ilvl w:val="0"/>
          <w:numId w:val="11"/>
        </w:numPr>
        <w:jc w:val="both"/>
        <w:rPr>
          <w:rFonts w:ascii="Times New Roman" w:hAnsi="Times New Roman"/>
          <w:noProof/>
          <w:sz w:val="24"/>
          <w:szCs w:val="24"/>
        </w:rPr>
      </w:pPr>
      <w:r>
        <w:rPr>
          <w:b/>
          <w:noProof/>
        </w:rPr>
        <w:t>картини и отпечатване</w:t>
      </w:r>
      <w:r>
        <w:rPr>
          <w:noProof/>
        </w:rPr>
        <w:t xml:space="preserve"> — увеличение от 0,4 милиона евро на 3,4 милиона евро (+ 644 %),</w:t>
      </w:r>
    </w:p>
    <w:p>
      <w:pPr>
        <w:numPr>
          <w:ilvl w:val="0"/>
          <w:numId w:val="11"/>
        </w:numPr>
        <w:jc w:val="both"/>
        <w:rPr>
          <w:rFonts w:ascii="Times New Roman" w:hAnsi="Times New Roman"/>
          <w:noProof/>
          <w:sz w:val="24"/>
          <w:szCs w:val="24"/>
        </w:rPr>
      </w:pPr>
      <w:r>
        <w:rPr>
          <w:b/>
          <w:noProof/>
        </w:rPr>
        <w:t>чаши за пиене</w:t>
      </w:r>
      <w:r>
        <w:rPr>
          <w:noProof/>
        </w:rPr>
        <w:t xml:space="preserve"> — увеличение от 0,3 на 1,6 милиона евро (+ 432 %).</w:t>
      </w:r>
    </w:p>
    <w:p>
      <w:pPr>
        <w:jc w:val="both"/>
        <w:rPr>
          <w:rFonts w:ascii="Times New Roman" w:hAnsi="Times New Roman"/>
          <w:noProof/>
          <w:sz w:val="24"/>
          <w:szCs w:val="24"/>
        </w:rPr>
      </w:pPr>
      <w:r>
        <w:rPr>
          <w:rFonts w:ascii="Times New Roman" w:hAnsi="Times New Roman"/>
          <w:noProof/>
          <w:sz w:val="24"/>
        </w:rPr>
        <w:t xml:space="preserve">Основният </w:t>
      </w:r>
      <w:r>
        <w:rPr>
          <w:rFonts w:ascii="Times New Roman" w:hAnsi="Times New Roman"/>
          <w:b/>
          <w:noProof/>
          <w:sz w:val="24"/>
        </w:rPr>
        <w:t>внос на ЕС от Централна Америка</w:t>
      </w:r>
      <w:r>
        <w:rPr>
          <w:rFonts w:ascii="Times New Roman" w:hAnsi="Times New Roman"/>
          <w:noProof/>
          <w:sz w:val="24"/>
        </w:rPr>
        <w:t xml:space="preserve"> са машините и оборудването (42 %), следвани от храните и живите животни (39,4 %). Основните източници на внос в ЕС от Централна Америка са Коста Рика (62 %), следвана от Хондурас и Панама (по 11 %). Оборудване и машини, внос от Централна Америка, предимно с произход от Коста Рика (86 % от общия внос на машини и оборудване от Централна Америка).</w:t>
      </w:r>
    </w:p>
    <w:p>
      <w:pPr>
        <w:jc w:val="both"/>
        <w:rPr>
          <w:rFonts w:ascii="Times New Roman" w:hAnsi="Times New Roman"/>
          <w:noProof/>
          <w:sz w:val="24"/>
          <w:szCs w:val="24"/>
        </w:rPr>
      </w:pPr>
      <w:r>
        <w:rPr>
          <w:rFonts w:ascii="Times New Roman" w:hAnsi="Times New Roman"/>
          <w:noProof/>
          <w:sz w:val="24"/>
        </w:rPr>
        <w:t>Общо 2 281 различни продукти са били внесени от Централна Америка през първата година на прилагане (+3 % в сравнение с предходната година). Независимо от това положително развитие, диверсификацията на продуктите, внасяни от Централна Америка, остава ограничена: 4-те продукти с най-голям износ представляват около 60 % от общия внос на ЕС от Централна Америка (електронни сглобки на машини за обработка на данни (дънна платка) 32 %, кафе 10 %, банани 10 % , ананаси 7 %).</w:t>
      </w:r>
    </w:p>
    <w:p>
      <w:pPr>
        <w:jc w:val="both"/>
        <w:rPr>
          <w:rFonts w:ascii="Times New Roman" w:hAnsi="Times New Roman"/>
          <w:noProof/>
          <w:sz w:val="24"/>
          <w:szCs w:val="24"/>
        </w:rPr>
      </w:pPr>
      <w:r>
        <w:rPr>
          <w:rFonts w:ascii="Times New Roman" w:hAnsi="Times New Roman"/>
          <w:noProof/>
          <w:sz w:val="24"/>
        </w:rPr>
        <w:t>Като цяло, вносът на ЕС от Централна Америка е нараснал с 3,4 % през първата година от прилагането, въпреки факта, че вносът на двата най-търгувани продукта е намалял (вносът на електронни сглобки на машини за обработка на данни и кафе е намалял съответно със 7,2 % и 17 %). Тези намаления вероятно са свързани с въздействието на външни фактори: Намаляването на вноса на машини за обработка на данни би могло да е ранен признак за текущата реорганизация на този сектор, вследствие на неотдавнашното съобщение от страна на основния производител в Централна Америка за преместване на неговото съоръжение от Коста Рика в Югоизточна Азия. Намаляването на вноса на кафе е свързано с тежката суша и епидемията от ръжда по кафето (т. нар. „Roya“ на испански).</w:t>
      </w:r>
    </w:p>
    <w:p>
      <w:pPr>
        <w:jc w:val="both"/>
        <w:rPr>
          <w:rFonts w:ascii="Times New Roman" w:hAnsi="Times New Roman"/>
          <w:noProof/>
          <w:sz w:val="24"/>
          <w:szCs w:val="24"/>
        </w:rPr>
      </w:pPr>
      <w:r>
        <w:rPr>
          <w:rFonts w:ascii="Times New Roman" w:hAnsi="Times New Roman"/>
          <w:noProof/>
          <w:sz w:val="24"/>
        </w:rPr>
        <w:t>Значителни положителни промени в наскоро либерализирания износ в Централна Америка са били регистрирани за продукти като:</w:t>
      </w:r>
    </w:p>
    <w:p>
      <w:pPr>
        <w:numPr>
          <w:ilvl w:val="0"/>
          <w:numId w:val="12"/>
        </w:numPr>
        <w:jc w:val="both"/>
        <w:rPr>
          <w:rFonts w:ascii="Times New Roman" w:hAnsi="Times New Roman"/>
          <w:b/>
          <w:noProof/>
          <w:sz w:val="24"/>
          <w:szCs w:val="24"/>
        </w:rPr>
      </w:pPr>
      <w:r>
        <w:rPr>
          <w:b/>
          <w:noProof/>
        </w:rPr>
        <w:t>меласа от захарна тръстика</w:t>
      </w:r>
      <w:r>
        <w:rPr>
          <w:noProof/>
        </w:rPr>
        <w:t xml:space="preserve"> — ръст на вноса от 394 % (от 8 милиона евро на 41 милиона евро)</w:t>
      </w:r>
    </w:p>
    <w:p>
      <w:pPr>
        <w:numPr>
          <w:ilvl w:val="0"/>
          <w:numId w:val="12"/>
        </w:numPr>
        <w:jc w:val="both"/>
        <w:rPr>
          <w:rFonts w:ascii="Times New Roman" w:hAnsi="Times New Roman"/>
          <w:noProof/>
          <w:sz w:val="24"/>
          <w:szCs w:val="24"/>
        </w:rPr>
      </w:pPr>
      <w:r>
        <w:rPr>
          <w:b/>
          <w:noProof/>
        </w:rPr>
        <w:t>замразени скариди</w:t>
      </w:r>
      <w:r>
        <w:rPr>
          <w:noProof/>
        </w:rPr>
        <w:t xml:space="preserve"> — ръст на вноса от 63 % (от 0,1 милиона евро на 0,16 милиона евро)</w:t>
      </w:r>
    </w:p>
    <w:p>
      <w:pPr>
        <w:numPr>
          <w:ilvl w:val="0"/>
          <w:numId w:val="12"/>
        </w:numPr>
        <w:jc w:val="both"/>
        <w:rPr>
          <w:rFonts w:ascii="Times New Roman" w:hAnsi="Times New Roman"/>
          <w:noProof/>
          <w:sz w:val="24"/>
          <w:szCs w:val="24"/>
        </w:rPr>
      </w:pPr>
      <w:r>
        <w:rPr>
          <w:b/>
          <w:noProof/>
        </w:rPr>
        <w:t>ром в бутилки</w:t>
      </w:r>
      <w:r>
        <w:rPr>
          <w:noProof/>
        </w:rPr>
        <w:t xml:space="preserve"> — ръст на вноса от 205 % (от 5,6 милиона евро на 17 милиона евро)</w:t>
      </w:r>
    </w:p>
    <w:p>
      <w:pPr>
        <w:numPr>
          <w:ilvl w:val="0"/>
          <w:numId w:val="12"/>
        </w:numPr>
        <w:jc w:val="both"/>
        <w:rPr>
          <w:rFonts w:ascii="Times New Roman" w:hAnsi="Times New Roman"/>
          <w:noProof/>
          <w:sz w:val="24"/>
          <w:szCs w:val="24"/>
        </w:rPr>
      </w:pPr>
      <w:r>
        <w:rPr>
          <w:b/>
          <w:noProof/>
        </w:rPr>
        <w:t>маниока</w:t>
      </w:r>
      <w:r>
        <w:rPr>
          <w:noProof/>
        </w:rPr>
        <w:t xml:space="preserve"> — ръст на вноса от 39 % (от 10 милиона евро на 14 милиона евро)</w:t>
      </w:r>
    </w:p>
    <w:p>
      <w:pPr>
        <w:ind w:left="720"/>
        <w:jc w:val="both"/>
        <w:rPr>
          <w:rFonts w:ascii="Times New Roman" w:hAnsi="Times New Roman"/>
          <w:noProof/>
          <w:sz w:val="24"/>
          <w:szCs w:val="24"/>
        </w:rPr>
      </w:pPr>
    </w:p>
    <w:p>
      <w:pPr>
        <w:pStyle w:val="ManualHeading2"/>
        <w:rPr>
          <w:szCs w:val="24"/>
        </w:rPr>
      </w:pPr>
      <w:r>
        <w:t>2.5.</w:t>
      </w:r>
      <w:r>
        <w:tab/>
        <w:t>Използване на тарифни квоти (ТК)</w:t>
      </w:r>
    </w:p>
    <w:p>
      <w:pPr>
        <w:jc w:val="both"/>
        <w:rPr>
          <w:rFonts w:ascii="Times New Roman" w:hAnsi="Times New Roman"/>
          <w:noProof/>
          <w:sz w:val="24"/>
          <w:szCs w:val="24"/>
        </w:rPr>
      </w:pPr>
      <w:r>
        <w:rPr>
          <w:rFonts w:ascii="Times New Roman" w:hAnsi="Times New Roman"/>
          <w:noProof/>
          <w:sz w:val="24"/>
        </w:rPr>
        <w:t>Споразумението предвижда няколко тарифни квоти, които се изразяват в предоставяне на другата страна на преференциално тарифно третиране до количествения праг на квотата. Над този праг се прилага тарифата за най-облагодетелствана нация.</w:t>
      </w:r>
    </w:p>
    <w:p>
      <w:pPr>
        <w:jc w:val="both"/>
        <w:rPr>
          <w:rFonts w:ascii="Times New Roman" w:hAnsi="Times New Roman"/>
          <w:noProof/>
          <w:sz w:val="24"/>
          <w:szCs w:val="24"/>
        </w:rPr>
      </w:pPr>
      <w:r>
        <w:rPr>
          <w:rFonts w:ascii="Times New Roman" w:hAnsi="Times New Roman"/>
          <w:noProof/>
          <w:sz w:val="24"/>
        </w:rPr>
        <w:t>Като цяло предварителният анализ на използването на квотите показва, че операторите са отбелязали значително използване на тарифни квоти за продукти, които вече са били търгувани преди временното прилагане на споразумението, докато за продуктите, които не са търгувани преди прилагането на споразумението, е имало незначителен търговски обмен.</w:t>
      </w:r>
    </w:p>
    <w:p>
      <w:pPr>
        <w:jc w:val="both"/>
        <w:rPr>
          <w:rFonts w:ascii="Times New Roman" w:hAnsi="Times New Roman"/>
          <w:noProof/>
          <w:sz w:val="24"/>
          <w:szCs w:val="24"/>
        </w:rPr>
      </w:pPr>
      <w:r>
        <w:rPr>
          <w:rFonts w:ascii="Times New Roman" w:hAnsi="Times New Roman"/>
          <w:noProof/>
          <w:sz w:val="24"/>
        </w:rPr>
        <w:t xml:space="preserve">ЕС се съгласи да предостави </w:t>
      </w:r>
      <w:r>
        <w:rPr>
          <w:rFonts w:ascii="Times New Roman" w:hAnsi="Times New Roman"/>
          <w:b/>
          <w:noProof/>
          <w:sz w:val="24"/>
        </w:rPr>
        <w:t>8 тарифни квоти в полза на Централна Америка</w:t>
      </w:r>
      <w:r>
        <w:rPr>
          <w:rFonts w:ascii="Times New Roman" w:hAnsi="Times New Roman"/>
          <w:noProof/>
          <w:sz w:val="24"/>
        </w:rPr>
        <w:t xml:space="preserve"> за продукти, които не са имали преференциален достъп до пазара на ЕС преди прилагането на споразумението. Тези тарифни квоти не са използвани от икономическите оператори в Централна Америка през 2013 г., с изключение на тарифните квоти за захар, които са били използвани на 95 %.</w:t>
      </w:r>
    </w:p>
    <w:p>
      <w:pPr>
        <w:jc w:val="both"/>
        <w:rPr>
          <w:rFonts w:ascii="Times New Roman" w:hAnsi="Times New Roman"/>
          <w:noProof/>
          <w:sz w:val="24"/>
          <w:szCs w:val="24"/>
        </w:rPr>
      </w:pPr>
      <w:r>
        <w:rPr>
          <w:rFonts w:ascii="Times New Roman" w:hAnsi="Times New Roman"/>
          <w:noProof/>
          <w:sz w:val="24"/>
        </w:rPr>
        <w:t>През 2014 г. тарифни квоти са използвани само за две категории (тръстикова захар и ром). От предвидените общо 166 860 тона за захар от захарна тръстика, са използвани 143 791 тона (86 %). В стойностно изражение вносът в ЕС на продукти, обхванати от тарифната квота за захар, се увеличи от 47,5 милиона евро на 84,7 милиона евро (+ 78 %).</w:t>
      </w:r>
    </w:p>
    <w:p>
      <w:pPr>
        <w:rPr>
          <w:rFonts w:ascii="Times New Roman" w:hAnsi="Times New Roman"/>
          <w:noProof/>
          <w:sz w:val="24"/>
          <w:szCs w:val="24"/>
        </w:rPr>
      </w:pPr>
    </w:p>
    <w:tbl>
      <w:tblPr>
        <w:tblW w:w="9763"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3"/>
        <w:gridCol w:w="2533"/>
        <w:gridCol w:w="1171"/>
        <w:gridCol w:w="1560"/>
        <w:gridCol w:w="1417"/>
        <w:gridCol w:w="1770"/>
      </w:tblGrid>
      <w:tr>
        <w:trPr>
          <w:trHeight w:val="286"/>
        </w:trPr>
        <w:tc>
          <w:tcPr>
            <w:tcW w:w="1491" w:type="dxa"/>
            <w:shd w:val="clear" w:color="auto" w:fill="auto"/>
            <w:noWrap/>
            <w:hideMark/>
          </w:tcPr>
          <w:p>
            <w:pPr>
              <w:rPr>
                <w:rFonts w:ascii="Times New Roman" w:hAnsi="Times New Roman"/>
                <w:b/>
                <w:noProof/>
                <w:sz w:val="24"/>
                <w:szCs w:val="24"/>
              </w:rPr>
            </w:pPr>
            <w:r>
              <w:rPr>
                <w:rFonts w:ascii="Times New Roman" w:hAnsi="Times New Roman"/>
                <w:b/>
                <w:noProof/>
                <w:sz w:val="24"/>
              </w:rPr>
              <w:t>Произход</w:t>
            </w:r>
          </w:p>
        </w:tc>
        <w:tc>
          <w:tcPr>
            <w:tcW w:w="2533" w:type="dxa"/>
            <w:shd w:val="clear" w:color="auto" w:fill="auto"/>
            <w:noWrap/>
            <w:hideMark/>
          </w:tcPr>
          <w:p>
            <w:pPr>
              <w:rPr>
                <w:rFonts w:ascii="Times New Roman" w:hAnsi="Times New Roman"/>
                <w:b/>
                <w:bCs/>
                <w:noProof/>
                <w:sz w:val="24"/>
                <w:szCs w:val="24"/>
              </w:rPr>
            </w:pPr>
            <w:r>
              <w:rPr>
                <w:rFonts w:ascii="Times New Roman" w:hAnsi="Times New Roman"/>
                <w:b/>
                <w:noProof/>
                <w:sz w:val="24"/>
              </w:rPr>
              <w:t>Продукти</w:t>
            </w:r>
          </w:p>
        </w:tc>
        <w:tc>
          <w:tcPr>
            <w:tcW w:w="992" w:type="dxa"/>
            <w:shd w:val="clear" w:color="auto" w:fill="auto"/>
            <w:noWrap/>
            <w:hideMark/>
          </w:tcPr>
          <w:p>
            <w:pPr>
              <w:rPr>
                <w:rFonts w:ascii="Times New Roman" w:hAnsi="Times New Roman"/>
                <w:b/>
                <w:bCs/>
                <w:noProof/>
                <w:sz w:val="24"/>
                <w:szCs w:val="24"/>
              </w:rPr>
            </w:pPr>
            <w:r>
              <w:rPr>
                <w:rFonts w:ascii="Times New Roman" w:hAnsi="Times New Roman"/>
                <w:b/>
                <w:noProof/>
                <w:sz w:val="24"/>
              </w:rPr>
              <w:t>Единица</w:t>
            </w:r>
          </w:p>
        </w:tc>
        <w:tc>
          <w:tcPr>
            <w:tcW w:w="1560" w:type="dxa"/>
            <w:shd w:val="clear" w:color="auto" w:fill="auto"/>
            <w:noWrap/>
            <w:hideMark/>
          </w:tcPr>
          <w:p>
            <w:pPr>
              <w:rPr>
                <w:rFonts w:ascii="Times New Roman" w:hAnsi="Times New Roman"/>
                <w:b/>
                <w:bCs/>
                <w:noProof/>
                <w:sz w:val="24"/>
                <w:szCs w:val="24"/>
              </w:rPr>
            </w:pPr>
            <w:r>
              <w:rPr>
                <w:rFonts w:ascii="Times New Roman" w:hAnsi="Times New Roman"/>
                <w:b/>
                <w:noProof/>
                <w:sz w:val="24"/>
              </w:rPr>
              <w:t>Обем на тарифните квоти</w:t>
            </w:r>
          </w:p>
        </w:tc>
        <w:tc>
          <w:tcPr>
            <w:tcW w:w="1417" w:type="dxa"/>
            <w:shd w:val="clear" w:color="auto" w:fill="auto"/>
            <w:noWrap/>
            <w:hideMark/>
          </w:tcPr>
          <w:p>
            <w:pPr>
              <w:rPr>
                <w:rFonts w:ascii="Times New Roman" w:hAnsi="Times New Roman"/>
                <w:b/>
                <w:bCs/>
                <w:noProof/>
                <w:sz w:val="24"/>
                <w:szCs w:val="24"/>
              </w:rPr>
            </w:pPr>
            <w:r>
              <w:rPr>
                <w:rFonts w:ascii="Times New Roman" w:hAnsi="Times New Roman"/>
                <w:b/>
                <w:noProof/>
                <w:sz w:val="24"/>
              </w:rPr>
              <w:t>Внос в ЕС</w:t>
            </w:r>
          </w:p>
        </w:tc>
        <w:tc>
          <w:tcPr>
            <w:tcW w:w="1770" w:type="dxa"/>
            <w:shd w:val="clear" w:color="auto" w:fill="auto"/>
            <w:noWrap/>
            <w:hideMark/>
          </w:tcPr>
          <w:p>
            <w:pPr>
              <w:rPr>
                <w:rFonts w:ascii="Times New Roman" w:hAnsi="Times New Roman"/>
                <w:b/>
                <w:bCs/>
                <w:noProof/>
                <w:sz w:val="24"/>
                <w:szCs w:val="24"/>
              </w:rPr>
            </w:pPr>
            <w:r>
              <w:rPr>
                <w:rFonts w:ascii="Times New Roman" w:hAnsi="Times New Roman"/>
                <w:b/>
                <w:noProof/>
                <w:sz w:val="24"/>
              </w:rPr>
              <w:t>Степен на използване</w:t>
            </w:r>
          </w:p>
        </w:tc>
      </w:tr>
      <w:tr>
        <w:trPr>
          <w:trHeight w:val="286"/>
        </w:trPr>
        <w:tc>
          <w:tcPr>
            <w:tcW w:w="1491" w:type="dxa"/>
            <w:vMerge w:val="restart"/>
            <w:shd w:val="clear" w:color="auto" w:fill="auto"/>
            <w:vAlign w:val="center"/>
            <w:hideMark/>
          </w:tcPr>
          <w:p>
            <w:pPr>
              <w:jc w:val="center"/>
              <w:rPr>
                <w:rFonts w:ascii="Times New Roman" w:hAnsi="Times New Roman"/>
                <w:b/>
                <w:bCs/>
                <w:noProof/>
                <w:sz w:val="24"/>
                <w:szCs w:val="24"/>
              </w:rPr>
            </w:pPr>
            <w:r>
              <w:rPr>
                <w:rFonts w:ascii="Times New Roman" w:hAnsi="Times New Roman"/>
                <w:b/>
                <w:noProof/>
                <w:sz w:val="24"/>
              </w:rPr>
              <w:t>Централна Америка</w:t>
            </w: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Чесън</w:t>
            </w:r>
          </w:p>
        </w:tc>
        <w:tc>
          <w:tcPr>
            <w:tcW w:w="992" w:type="dxa"/>
            <w:vMerge w:val="restart"/>
            <w:shd w:val="clear" w:color="auto" w:fill="auto"/>
            <w:vAlign w:val="center"/>
            <w:hideMark/>
          </w:tcPr>
          <w:p>
            <w:pPr>
              <w:jc w:val="center"/>
              <w:rPr>
                <w:rFonts w:ascii="Times New Roman" w:hAnsi="Times New Roman"/>
                <w:noProof/>
                <w:sz w:val="24"/>
                <w:szCs w:val="24"/>
              </w:rPr>
            </w:pPr>
            <w:r>
              <w:rPr>
                <w:rFonts w:ascii="Times New Roman" w:hAnsi="Times New Roman"/>
                <w:noProof/>
                <w:sz w:val="24"/>
              </w:rPr>
              <w:t>Тон</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550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Ориз</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21 000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Маниока</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5 000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Месо от животни от рода на едрия рогат добитък</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10 450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Гъба</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275</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Сладка царевица</w:t>
            </w:r>
          </w:p>
        </w:tc>
        <w:tc>
          <w:tcPr>
            <w:tcW w:w="992" w:type="dxa"/>
            <w:vMerge/>
            <w:shd w:val="clear" w:color="auto" w:fill="auto"/>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1 560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0 %</w:t>
            </w:r>
          </w:p>
        </w:tc>
      </w:tr>
      <w:tr>
        <w:trPr>
          <w:trHeight w:val="230"/>
        </w:trPr>
        <w:tc>
          <w:tcPr>
            <w:tcW w:w="1491" w:type="dxa"/>
            <w:vMerge w:val="restart"/>
            <w:shd w:val="clear" w:color="auto" w:fill="auto"/>
            <w:noWrap/>
            <w:vAlign w:val="center"/>
            <w:hideMark/>
          </w:tcPr>
          <w:p>
            <w:pPr>
              <w:jc w:val="center"/>
              <w:rPr>
                <w:rFonts w:ascii="Times New Roman" w:hAnsi="Times New Roman"/>
                <w:b/>
                <w:bCs/>
                <w:noProof/>
                <w:sz w:val="24"/>
                <w:szCs w:val="24"/>
              </w:rPr>
            </w:pPr>
            <w:r>
              <w:rPr>
                <w:rFonts w:ascii="Times New Roman" w:hAnsi="Times New Roman"/>
                <w:b/>
                <w:noProof/>
                <w:sz w:val="24"/>
              </w:rPr>
              <w:t>Централна Америка, с изключение на Панама</w:t>
            </w: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Захар</w:t>
            </w:r>
          </w:p>
        </w:tc>
        <w:tc>
          <w:tcPr>
            <w:tcW w:w="992" w:type="dxa"/>
            <w:vMerge/>
            <w:shd w:val="clear" w:color="auto" w:fill="auto"/>
            <w:noWrap/>
            <w:vAlign w:val="center"/>
            <w:hideMark/>
          </w:tcPr>
          <w:p>
            <w:pPr>
              <w:jc w:val="center"/>
              <w:rPr>
                <w:rFonts w:ascii="Times New Roman" w:hAnsi="Times New Roman"/>
                <w:noProof/>
                <w:sz w:val="24"/>
                <w:szCs w:val="24"/>
              </w:rPr>
            </w:pP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154 500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135 243</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88 %</w:t>
            </w:r>
          </w:p>
        </w:tc>
      </w:tr>
      <w:tr>
        <w:trPr>
          <w:trHeight w:val="286"/>
        </w:trPr>
        <w:tc>
          <w:tcPr>
            <w:tcW w:w="1491" w:type="dxa"/>
            <w:vMerge/>
            <w:shd w:val="clear" w:color="auto" w:fill="auto"/>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Ром в контейнер &gt; 2 l</w:t>
            </w:r>
          </w:p>
        </w:tc>
        <w:tc>
          <w:tcPr>
            <w:tcW w:w="992" w:type="dxa"/>
            <w:vMerge w:val="restart"/>
            <w:shd w:val="clear" w:color="auto" w:fill="auto"/>
            <w:noWrap/>
            <w:vAlign w:val="center"/>
            <w:hideMark/>
          </w:tcPr>
          <w:p>
            <w:pPr>
              <w:jc w:val="center"/>
              <w:rPr>
                <w:rFonts w:ascii="Times New Roman" w:hAnsi="Times New Roman"/>
                <w:noProof/>
                <w:sz w:val="24"/>
                <w:szCs w:val="24"/>
              </w:rPr>
            </w:pPr>
            <w:r>
              <w:rPr>
                <w:rFonts w:ascii="Times New Roman" w:hAnsi="Times New Roman"/>
                <w:noProof/>
                <w:sz w:val="24"/>
              </w:rPr>
              <w:t>Литър чист алкохол</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1 022</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153</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21 %</w:t>
            </w:r>
          </w:p>
        </w:tc>
      </w:tr>
      <w:tr>
        <w:trPr>
          <w:trHeight w:val="286"/>
        </w:trPr>
        <w:tc>
          <w:tcPr>
            <w:tcW w:w="1491" w:type="dxa"/>
            <w:vMerge w:val="restart"/>
            <w:shd w:val="clear" w:color="auto" w:fill="auto"/>
            <w:noWrap/>
            <w:vAlign w:val="center"/>
          </w:tcPr>
          <w:p>
            <w:pPr>
              <w:jc w:val="center"/>
              <w:rPr>
                <w:rFonts w:ascii="Times New Roman" w:hAnsi="Times New Roman"/>
                <w:b/>
                <w:bCs/>
                <w:noProof/>
                <w:sz w:val="24"/>
                <w:szCs w:val="24"/>
              </w:rPr>
            </w:pPr>
            <w:r>
              <w:rPr>
                <w:rFonts w:ascii="Times New Roman" w:hAnsi="Times New Roman"/>
                <w:b/>
                <w:noProof/>
                <w:sz w:val="24"/>
              </w:rPr>
              <w:t>Панама</w:t>
            </w:r>
          </w:p>
        </w:tc>
        <w:tc>
          <w:tcPr>
            <w:tcW w:w="2533" w:type="dxa"/>
            <w:shd w:val="clear" w:color="auto" w:fill="auto"/>
            <w:noWrap/>
            <w:vAlign w:val="center"/>
          </w:tcPr>
          <w:p>
            <w:pPr>
              <w:rPr>
                <w:rFonts w:ascii="Times New Roman" w:hAnsi="Times New Roman"/>
                <w:noProof/>
                <w:sz w:val="24"/>
                <w:szCs w:val="24"/>
              </w:rPr>
            </w:pPr>
            <w:r>
              <w:rPr>
                <w:rFonts w:ascii="Times New Roman" w:hAnsi="Times New Roman"/>
                <w:noProof/>
                <w:sz w:val="24"/>
              </w:rPr>
              <w:t>Ром в контейнер &gt; 2 l</w:t>
            </w:r>
          </w:p>
        </w:tc>
        <w:tc>
          <w:tcPr>
            <w:tcW w:w="992" w:type="dxa"/>
            <w:vMerge/>
            <w:shd w:val="clear" w:color="auto" w:fill="auto"/>
            <w:noWrap/>
            <w:vAlign w:val="center"/>
          </w:tcPr>
          <w:p>
            <w:pPr>
              <w:jc w:val="center"/>
              <w:rPr>
                <w:rFonts w:ascii="Times New Roman" w:hAnsi="Times New Roman"/>
                <w:noProof/>
                <w:sz w:val="24"/>
                <w:szCs w:val="24"/>
              </w:rPr>
            </w:pPr>
          </w:p>
        </w:tc>
        <w:tc>
          <w:tcPr>
            <w:tcW w:w="1560"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105</w:t>
            </w:r>
          </w:p>
        </w:tc>
        <w:tc>
          <w:tcPr>
            <w:tcW w:w="1417"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vAlign w:val="center"/>
          </w:tcPr>
          <w:p>
            <w:pPr>
              <w:jc w:val="right"/>
              <w:rPr>
                <w:rFonts w:ascii="Times New Roman" w:hAnsi="Times New Roman"/>
                <w:noProof/>
                <w:sz w:val="24"/>
                <w:szCs w:val="24"/>
              </w:rPr>
            </w:pPr>
            <w:r>
              <w:rPr>
                <w:rFonts w:ascii="Times New Roman" w:hAnsi="Times New Roman"/>
                <w:noProof/>
                <w:sz w:val="24"/>
              </w:rPr>
              <w:t>0 %</w:t>
            </w:r>
          </w:p>
        </w:tc>
      </w:tr>
      <w:tr>
        <w:trPr>
          <w:trHeight w:val="286"/>
        </w:trPr>
        <w:tc>
          <w:tcPr>
            <w:tcW w:w="1491" w:type="dxa"/>
            <w:vMerge/>
            <w:shd w:val="clear" w:color="auto" w:fill="auto"/>
            <w:noWrap/>
            <w:vAlign w:val="center"/>
            <w:hideMark/>
          </w:tcPr>
          <w:p>
            <w:pPr>
              <w:jc w:val="center"/>
              <w:rPr>
                <w:rFonts w:ascii="Times New Roman" w:hAnsi="Times New Roman"/>
                <w:b/>
                <w:bCs/>
                <w:noProof/>
                <w:sz w:val="24"/>
                <w:szCs w:val="24"/>
              </w:rPr>
            </w:pPr>
          </w:p>
        </w:tc>
        <w:tc>
          <w:tcPr>
            <w:tcW w:w="2533" w:type="dxa"/>
            <w:shd w:val="clear" w:color="auto" w:fill="auto"/>
            <w:noWrap/>
            <w:vAlign w:val="center"/>
            <w:hideMark/>
          </w:tcPr>
          <w:p>
            <w:pPr>
              <w:rPr>
                <w:rFonts w:ascii="Times New Roman" w:hAnsi="Times New Roman"/>
                <w:noProof/>
                <w:sz w:val="24"/>
                <w:szCs w:val="24"/>
              </w:rPr>
            </w:pPr>
            <w:r>
              <w:rPr>
                <w:rFonts w:ascii="Times New Roman" w:hAnsi="Times New Roman"/>
                <w:noProof/>
                <w:sz w:val="24"/>
              </w:rPr>
              <w:t>Захар</w:t>
            </w:r>
          </w:p>
        </w:tc>
        <w:tc>
          <w:tcPr>
            <w:tcW w:w="992" w:type="dxa"/>
            <w:vMerge w:val="restart"/>
            <w:shd w:val="clear" w:color="auto" w:fill="auto"/>
            <w:noWrap/>
            <w:vAlign w:val="center"/>
            <w:hideMark/>
          </w:tcPr>
          <w:p>
            <w:pPr>
              <w:jc w:val="center"/>
              <w:rPr>
                <w:rFonts w:ascii="Times New Roman" w:hAnsi="Times New Roman"/>
                <w:noProof/>
                <w:sz w:val="24"/>
                <w:szCs w:val="24"/>
              </w:rPr>
            </w:pPr>
            <w:r>
              <w:rPr>
                <w:rFonts w:ascii="Times New Roman" w:hAnsi="Times New Roman"/>
                <w:noProof/>
                <w:sz w:val="24"/>
              </w:rPr>
              <w:t>Тон</w:t>
            </w:r>
          </w:p>
        </w:tc>
        <w:tc>
          <w:tcPr>
            <w:tcW w:w="156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12 360</w:t>
            </w:r>
          </w:p>
        </w:tc>
        <w:tc>
          <w:tcPr>
            <w:tcW w:w="1417"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8 548</w:t>
            </w:r>
          </w:p>
        </w:tc>
        <w:tc>
          <w:tcPr>
            <w:tcW w:w="1770" w:type="dxa"/>
            <w:shd w:val="clear" w:color="auto" w:fill="auto"/>
            <w:noWrap/>
            <w:vAlign w:val="center"/>
            <w:hideMark/>
          </w:tcPr>
          <w:p>
            <w:pPr>
              <w:jc w:val="right"/>
              <w:rPr>
                <w:rFonts w:ascii="Times New Roman" w:hAnsi="Times New Roman"/>
                <w:noProof/>
                <w:sz w:val="24"/>
                <w:szCs w:val="24"/>
              </w:rPr>
            </w:pPr>
            <w:r>
              <w:rPr>
                <w:rFonts w:ascii="Times New Roman" w:hAnsi="Times New Roman"/>
                <w:noProof/>
                <w:sz w:val="24"/>
              </w:rPr>
              <w:t>69 %</w:t>
            </w:r>
          </w:p>
        </w:tc>
      </w:tr>
      <w:tr>
        <w:trPr>
          <w:trHeight w:val="286"/>
        </w:trPr>
        <w:tc>
          <w:tcPr>
            <w:tcW w:w="1491" w:type="dxa"/>
            <w:shd w:val="clear" w:color="auto" w:fill="auto"/>
            <w:noWrap/>
            <w:hideMark/>
          </w:tcPr>
          <w:p>
            <w:pPr>
              <w:jc w:val="center"/>
              <w:rPr>
                <w:rFonts w:ascii="Times New Roman" w:hAnsi="Times New Roman"/>
                <w:b/>
                <w:bCs/>
                <w:noProof/>
                <w:sz w:val="24"/>
                <w:szCs w:val="24"/>
              </w:rPr>
            </w:pPr>
            <w:r>
              <w:rPr>
                <w:rFonts w:ascii="Times New Roman" w:hAnsi="Times New Roman"/>
                <w:b/>
                <w:noProof/>
                <w:sz w:val="24"/>
              </w:rPr>
              <w:t>Никарагуа</w:t>
            </w:r>
          </w:p>
        </w:tc>
        <w:tc>
          <w:tcPr>
            <w:tcW w:w="2533" w:type="dxa"/>
            <w:shd w:val="clear" w:color="auto" w:fill="auto"/>
            <w:noWrap/>
            <w:hideMark/>
          </w:tcPr>
          <w:p>
            <w:pPr>
              <w:rPr>
                <w:rFonts w:ascii="Times New Roman" w:hAnsi="Times New Roman"/>
                <w:noProof/>
                <w:sz w:val="24"/>
                <w:szCs w:val="24"/>
              </w:rPr>
            </w:pPr>
            <w:r>
              <w:rPr>
                <w:rFonts w:ascii="Times New Roman" w:hAnsi="Times New Roman"/>
                <w:noProof/>
                <w:sz w:val="24"/>
              </w:rPr>
              <w:t>Месо от животни от рода на едрия рогат добитък</w:t>
            </w:r>
          </w:p>
        </w:tc>
        <w:tc>
          <w:tcPr>
            <w:tcW w:w="992" w:type="dxa"/>
            <w:vMerge/>
            <w:shd w:val="clear" w:color="auto" w:fill="auto"/>
            <w:noWrap/>
            <w:hideMark/>
          </w:tcPr>
          <w:p>
            <w:pPr>
              <w:jc w:val="center"/>
              <w:rPr>
                <w:rFonts w:ascii="Times New Roman" w:hAnsi="Times New Roman"/>
                <w:noProof/>
                <w:sz w:val="24"/>
                <w:szCs w:val="24"/>
              </w:rPr>
            </w:pPr>
          </w:p>
        </w:tc>
        <w:tc>
          <w:tcPr>
            <w:tcW w:w="1560" w:type="dxa"/>
            <w:shd w:val="clear" w:color="auto" w:fill="auto"/>
            <w:noWrap/>
            <w:hideMark/>
          </w:tcPr>
          <w:p>
            <w:pPr>
              <w:jc w:val="right"/>
              <w:rPr>
                <w:rFonts w:ascii="Times New Roman" w:hAnsi="Times New Roman"/>
                <w:noProof/>
                <w:sz w:val="24"/>
                <w:szCs w:val="24"/>
              </w:rPr>
            </w:pPr>
            <w:r>
              <w:rPr>
                <w:rFonts w:ascii="Times New Roman" w:hAnsi="Times New Roman"/>
                <w:noProof/>
                <w:sz w:val="24"/>
              </w:rPr>
              <w:t>550</w:t>
            </w:r>
          </w:p>
        </w:tc>
        <w:tc>
          <w:tcPr>
            <w:tcW w:w="1417" w:type="dxa"/>
            <w:shd w:val="clear" w:color="auto" w:fill="auto"/>
            <w:noWrap/>
            <w:hideMark/>
          </w:tcPr>
          <w:p>
            <w:pPr>
              <w:jc w:val="right"/>
              <w:rPr>
                <w:rFonts w:ascii="Times New Roman" w:hAnsi="Times New Roman"/>
                <w:noProof/>
                <w:sz w:val="24"/>
                <w:szCs w:val="24"/>
              </w:rPr>
            </w:pPr>
            <w:r>
              <w:rPr>
                <w:rFonts w:ascii="Times New Roman" w:hAnsi="Times New Roman"/>
                <w:noProof/>
                <w:sz w:val="24"/>
              </w:rPr>
              <w:t>0</w:t>
            </w:r>
          </w:p>
        </w:tc>
        <w:tc>
          <w:tcPr>
            <w:tcW w:w="1770" w:type="dxa"/>
            <w:shd w:val="clear" w:color="auto" w:fill="auto"/>
            <w:noWrap/>
            <w:hideMark/>
          </w:tcPr>
          <w:p>
            <w:pPr>
              <w:jc w:val="right"/>
              <w:rPr>
                <w:rFonts w:ascii="Times New Roman" w:hAnsi="Times New Roman"/>
                <w:noProof/>
                <w:sz w:val="24"/>
                <w:szCs w:val="24"/>
              </w:rPr>
            </w:pPr>
            <w:r>
              <w:rPr>
                <w:rFonts w:ascii="Times New Roman" w:hAnsi="Times New Roman"/>
                <w:noProof/>
                <w:sz w:val="24"/>
              </w:rPr>
              <w:t>0 %</w:t>
            </w:r>
          </w:p>
        </w:tc>
      </w:tr>
    </w:tbl>
    <w:p>
      <w:pPr>
        <w:jc w:val="center"/>
        <w:rPr>
          <w:rFonts w:ascii="Times New Roman" w:hAnsi="Times New Roman"/>
          <w:b/>
          <w:noProof/>
          <w:sz w:val="24"/>
          <w:szCs w:val="24"/>
        </w:rPr>
      </w:pPr>
      <w:r>
        <w:rPr>
          <w:rFonts w:ascii="Times New Roman" w:hAnsi="Times New Roman"/>
          <w:b/>
          <w:noProof/>
          <w:sz w:val="24"/>
        </w:rPr>
        <w:t>Тарифни квоти, предоставени от ЕС на Централна Америка — употреба до 26 ноември 2014 г.</w:t>
      </w:r>
    </w:p>
    <w:p>
      <w:pPr>
        <w:jc w:val="both"/>
        <w:rPr>
          <w:rFonts w:ascii="Times New Roman" w:hAnsi="Times New Roman"/>
          <w:noProof/>
          <w:sz w:val="24"/>
          <w:szCs w:val="24"/>
        </w:rPr>
      </w:pPr>
      <w:r>
        <w:rPr>
          <w:rFonts w:ascii="Times New Roman" w:hAnsi="Times New Roman"/>
          <w:noProof/>
          <w:sz w:val="24"/>
        </w:rPr>
        <w:t xml:space="preserve">В допълнение към тарифните квоти, ЕС предостави на Централна Америка и дерогация от правилата за произход в рамките на специфични квоти за 118 тарифни позиции. По същество тези дерогации се състоят от предоставяне на известна гъвкавост на Централна Америка по отношение на произхода на добре идентифицирани продукти до определен количествен праг на квотата.  Над тези прагове се прилагат по-строги правила за произход. Тези договорености се отнасят основно за текстилните продукти. При все това използването на тези дерогации е почти незначително и количествата, внесени в рамките на тези квоти, остават много ограничени и засягат единствено малка част от търговските потоци, които биха могли да бъдат допустими за преференциално третиране. Тази последна констатация потвърждава общата тенденция, забелязана за приложени неотдавна споразумения, че на операторите е необходимо време, за да адаптират своите канали за търговия към новата среда. </w:t>
      </w:r>
    </w:p>
    <w:p>
      <w:pPr>
        <w:jc w:val="both"/>
        <w:rPr>
          <w:rFonts w:ascii="Times New Roman" w:hAnsi="Times New Roman"/>
          <w:noProof/>
          <w:sz w:val="24"/>
          <w:szCs w:val="24"/>
        </w:rPr>
      </w:pPr>
      <w:r>
        <w:rPr>
          <w:rFonts w:ascii="Times New Roman" w:hAnsi="Times New Roman"/>
          <w:noProof/>
          <w:sz w:val="24"/>
        </w:rPr>
        <w:t xml:space="preserve">Централна Америка предостави </w:t>
      </w:r>
      <w:r>
        <w:rPr>
          <w:rFonts w:ascii="Times New Roman" w:hAnsi="Times New Roman"/>
          <w:b/>
          <w:noProof/>
          <w:sz w:val="24"/>
        </w:rPr>
        <w:t>тарифни квоти на ЕС за четири конкретни продукта</w:t>
      </w:r>
      <w:r>
        <w:rPr>
          <w:rFonts w:ascii="Times New Roman" w:hAnsi="Times New Roman"/>
          <w:noProof/>
          <w:sz w:val="24"/>
        </w:rPr>
        <w:t>. Целият износ на ЕС, обхванат от тези тарифни квоти, се е увеличил, както следва:</w:t>
      </w:r>
    </w:p>
    <w:p>
      <w:pPr>
        <w:numPr>
          <w:ilvl w:val="0"/>
          <w:numId w:val="13"/>
        </w:numPr>
        <w:jc w:val="both"/>
        <w:rPr>
          <w:rFonts w:ascii="Times New Roman" w:hAnsi="Times New Roman"/>
          <w:noProof/>
          <w:sz w:val="24"/>
          <w:szCs w:val="24"/>
        </w:rPr>
      </w:pPr>
      <w:r>
        <w:rPr>
          <w:b/>
          <w:noProof/>
        </w:rPr>
        <w:t>пушена шунка</w:t>
      </w:r>
      <w:r>
        <w:rPr>
          <w:noProof/>
        </w:rPr>
        <w:t>:</w:t>
      </w:r>
      <w:r>
        <w:rPr>
          <w:rFonts w:ascii="Times New Roman" w:hAnsi="Times New Roman"/>
          <w:noProof/>
          <w:sz w:val="24"/>
        </w:rPr>
        <w:t xml:space="preserve"> Износът на ЕС се увеличи от 1,2 милиона евро на 1,5 милиона евро (+ 22 %)</w:t>
      </w:r>
    </w:p>
    <w:p>
      <w:pPr>
        <w:numPr>
          <w:ilvl w:val="0"/>
          <w:numId w:val="13"/>
        </w:numPr>
        <w:jc w:val="both"/>
        <w:rPr>
          <w:rFonts w:ascii="Times New Roman" w:hAnsi="Times New Roman"/>
          <w:noProof/>
          <w:sz w:val="24"/>
          <w:szCs w:val="24"/>
        </w:rPr>
      </w:pPr>
      <w:r>
        <w:rPr>
          <w:b/>
          <w:noProof/>
        </w:rPr>
        <w:t>мляко на прах</w:t>
      </w:r>
      <w:r>
        <w:rPr>
          <w:noProof/>
        </w:rPr>
        <w:t>:</w:t>
      </w:r>
      <w:r>
        <w:rPr>
          <w:rFonts w:ascii="Times New Roman" w:hAnsi="Times New Roman"/>
          <w:noProof/>
          <w:sz w:val="24"/>
        </w:rPr>
        <w:t xml:space="preserve"> Износът на ЕС се увеличи от 2,9 милиона евро на 5,7 милиона евро (+96 %)</w:t>
      </w:r>
    </w:p>
    <w:p>
      <w:pPr>
        <w:numPr>
          <w:ilvl w:val="0"/>
          <w:numId w:val="13"/>
        </w:numPr>
        <w:jc w:val="both"/>
        <w:rPr>
          <w:rFonts w:ascii="Times New Roman" w:hAnsi="Times New Roman"/>
          <w:noProof/>
          <w:sz w:val="24"/>
          <w:szCs w:val="24"/>
        </w:rPr>
      </w:pPr>
      <w:r>
        <w:rPr>
          <w:b/>
          <w:noProof/>
        </w:rPr>
        <w:t>сирене</w:t>
      </w:r>
      <w:r>
        <w:rPr>
          <w:noProof/>
        </w:rPr>
        <w:t>:</w:t>
      </w:r>
      <w:r>
        <w:rPr>
          <w:rFonts w:ascii="Times New Roman" w:hAnsi="Times New Roman"/>
          <w:noProof/>
          <w:sz w:val="24"/>
        </w:rPr>
        <w:t xml:space="preserve"> Износът на ЕС се увеличи от 7,1 милиона евро на 9,3 милиона евро (+32 %)</w:t>
      </w:r>
    </w:p>
    <w:p>
      <w:pPr>
        <w:numPr>
          <w:ilvl w:val="0"/>
          <w:numId w:val="13"/>
        </w:numPr>
        <w:jc w:val="both"/>
        <w:rPr>
          <w:rFonts w:ascii="Times New Roman" w:hAnsi="Times New Roman"/>
          <w:noProof/>
          <w:sz w:val="24"/>
          <w:szCs w:val="24"/>
        </w:rPr>
      </w:pPr>
      <w:r>
        <w:rPr>
          <w:b/>
          <w:noProof/>
        </w:rPr>
        <w:t>суроватка</w:t>
      </w:r>
      <w:r>
        <w:rPr>
          <w:noProof/>
        </w:rPr>
        <w:t>:</w:t>
      </w:r>
      <w:r>
        <w:rPr>
          <w:rFonts w:ascii="Times New Roman" w:hAnsi="Times New Roman"/>
          <w:noProof/>
          <w:sz w:val="24"/>
        </w:rPr>
        <w:t xml:space="preserve"> Износът на ЕС се увеличи от 0,5 милиона евро на 0,6 милиона евро (+17 %)</w:t>
      </w:r>
    </w:p>
    <w:p>
      <w:pPr>
        <w:numPr>
          <w:ilvl w:val="0"/>
          <w:numId w:val="13"/>
        </w:numPr>
        <w:jc w:val="both"/>
        <w:rPr>
          <w:rFonts w:ascii="Times New Roman" w:hAnsi="Times New Roman"/>
          <w:noProof/>
          <w:sz w:val="24"/>
          <w:szCs w:val="24"/>
        </w:rPr>
      </w:pPr>
      <w:r>
        <w:rPr>
          <w:b/>
          <w:noProof/>
        </w:rPr>
        <w:t>приготвено свинско месо</w:t>
      </w:r>
      <w:r>
        <w:rPr>
          <w:noProof/>
        </w:rPr>
        <w:t>:</w:t>
      </w:r>
      <w:r>
        <w:rPr>
          <w:rFonts w:ascii="Times New Roman" w:hAnsi="Times New Roman"/>
          <w:noProof/>
          <w:sz w:val="24"/>
        </w:rPr>
        <w:t xml:space="preserve"> Износът на ЕС се увеличи от 9,1 милиона евро на 10,6 милиона евро (+16 %)</w:t>
      </w:r>
    </w:p>
    <w:p>
      <w:pPr>
        <w:jc w:val="both"/>
        <w:rPr>
          <w:rFonts w:ascii="Times New Roman" w:hAnsi="Times New Roman"/>
          <w:noProof/>
          <w:sz w:val="24"/>
          <w:szCs w:val="24"/>
        </w:rPr>
      </w:pPr>
      <w:r>
        <w:rPr>
          <w:rFonts w:ascii="Times New Roman" w:hAnsi="Times New Roman"/>
          <w:noProof/>
          <w:sz w:val="24"/>
        </w:rPr>
        <w:t>Като цяло тези тарифни квоти послужиха като стимул за продукти, които вече са били търгувани преди прилагането на споразумението, при все че все още има известни възможности за растеж, тъй като износът остава под праговете.</w:t>
      </w:r>
    </w:p>
    <w:p>
      <w:pPr>
        <w:pStyle w:val="ManualHeading2"/>
        <w:rPr>
          <w:szCs w:val="24"/>
        </w:rPr>
      </w:pPr>
      <w:r>
        <w:t>2.6.</w:t>
      </w:r>
      <w:r>
        <w:tab/>
        <w:t xml:space="preserve">Услуги </w:t>
      </w:r>
    </w:p>
    <w:p>
      <w:pPr>
        <w:jc w:val="both"/>
        <w:rPr>
          <w:rFonts w:ascii="Times New Roman" w:hAnsi="Times New Roman"/>
          <w:noProof/>
          <w:sz w:val="24"/>
          <w:szCs w:val="24"/>
        </w:rPr>
      </w:pPr>
      <w:r>
        <w:rPr>
          <w:rFonts w:ascii="Times New Roman" w:hAnsi="Times New Roman"/>
          <w:noProof/>
          <w:sz w:val="24"/>
        </w:rPr>
        <w:t>Данните за търговията с услуги се получават със значително закъснение и се представят в обобщен план, поради което е нереалистично на този етап да се направи анализ, сравним с този за търговията със стоки. Следователно този аспект ще бъде засегнат в годишния доклад за изпълнението, когато на разположение ще има достатъчно данни.</w:t>
      </w:r>
    </w:p>
    <w:p>
      <w:pPr>
        <w:pStyle w:val="ManualHeading2"/>
        <w:numPr>
          <w:ilvl w:val="0"/>
          <w:numId w:val="4"/>
        </w:numPr>
        <w:ind w:left="851" w:hanging="851"/>
        <w:rPr>
          <w:szCs w:val="24"/>
        </w:rPr>
      </w:pPr>
      <w:r>
        <w:t>ДЕЙНОСТИ НА ИЗПЪЛНИТЕЛНИТЕ ОРГАНИ</w:t>
      </w:r>
    </w:p>
    <w:p>
      <w:pPr>
        <w:jc w:val="both"/>
        <w:rPr>
          <w:rFonts w:ascii="Times New Roman" w:hAnsi="Times New Roman"/>
          <w:noProof/>
          <w:sz w:val="24"/>
          <w:szCs w:val="24"/>
        </w:rPr>
      </w:pPr>
      <w:r>
        <w:rPr>
          <w:rFonts w:ascii="Times New Roman" w:hAnsi="Times New Roman"/>
          <w:noProof/>
          <w:sz w:val="24"/>
        </w:rPr>
        <w:t>Органите по изпълнението, създадени със споразумението, се състоят от съвет за асоцииране, който провежда редовни срещи на министерско равнище, и комитет за асоцииране, както и шест подкомитета, които се срещат ежегодно. Първите заседания на тези органи се състояха в Хондурас през май—юни 2014 г., с изключение на Съвета по търговията и устойчивото развитие, чиято среща се проведе на 17—18 ноември в Никарагуа.</w:t>
      </w:r>
    </w:p>
    <w:p>
      <w:pPr>
        <w:pStyle w:val="ManualHeading2"/>
        <w:rPr>
          <w:szCs w:val="24"/>
        </w:rPr>
      </w:pPr>
      <w:r>
        <w:t>3.1.</w:t>
      </w:r>
      <w:r>
        <w:tab/>
        <w:t>Подкомитет по техническите пречки пред търговията</w:t>
      </w:r>
    </w:p>
    <w:p>
      <w:pPr>
        <w:jc w:val="both"/>
        <w:rPr>
          <w:rFonts w:ascii="Times New Roman" w:hAnsi="Times New Roman"/>
          <w:noProof/>
          <w:sz w:val="24"/>
          <w:szCs w:val="24"/>
        </w:rPr>
      </w:pPr>
      <w:r>
        <w:rPr>
          <w:rFonts w:ascii="Times New Roman" w:hAnsi="Times New Roman"/>
          <w:noProof/>
          <w:sz w:val="24"/>
        </w:rPr>
        <w:t>По време на среща, проведена на 13 май 2014 г., Централна Америка и ЕС направиха преглед на:</w:t>
      </w:r>
    </w:p>
    <w:p>
      <w:pPr>
        <w:numPr>
          <w:ilvl w:val="0"/>
          <w:numId w:val="15"/>
        </w:numPr>
        <w:jc w:val="both"/>
        <w:rPr>
          <w:rFonts w:ascii="Times New Roman" w:hAnsi="Times New Roman"/>
          <w:noProof/>
          <w:sz w:val="24"/>
          <w:szCs w:val="24"/>
        </w:rPr>
      </w:pPr>
      <w:r>
        <w:rPr>
          <w:rFonts w:ascii="Times New Roman" w:hAnsi="Times New Roman"/>
          <w:noProof/>
          <w:sz w:val="24"/>
        </w:rPr>
        <w:t xml:space="preserve">изпълнението на 4 технически предписания, прилагани от Централна Америка (етикетиране на алкохолните напитки, сметана (мляко и млечни продукти), етикететиране на обувни изделия), </w:t>
      </w:r>
    </w:p>
    <w:p>
      <w:pPr>
        <w:numPr>
          <w:ilvl w:val="0"/>
          <w:numId w:val="15"/>
        </w:numPr>
        <w:jc w:val="both"/>
        <w:rPr>
          <w:rFonts w:ascii="Times New Roman" w:hAnsi="Times New Roman"/>
          <w:noProof/>
          <w:sz w:val="24"/>
          <w:szCs w:val="24"/>
        </w:rPr>
      </w:pPr>
      <w:r>
        <w:rPr>
          <w:rFonts w:ascii="Times New Roman" w:hAnsi="Times New Roman"/>
          <w:noProof/>
          <w:sz w:val="24"/>
        </w:rPr>
        <w:t>две костарикански технически предписания (гуми и електрически инсталации),</w:t>
      </w:r>
    </w:p>
    <w:p>
      <w:pPr>
        <w:numPr>
          <w:ilvl w:val="0"/>
          <w:numId w:val="15"/>
        </w:numPr>
        <w:jc w:val="both"/>
        <w:rPr>
          <w:rFonts w:ascii="Times New Roman" w:hAnsi="Times New Roman"/>
          <w:noProof/>
          <w:sz w:val="24"/>
          <w:szCs w:val="24"/>
        </w:rPr>
      </w:pPr>
      <w:r>
        <w:rPr>
          <w:rFonts w:ascii="Times New Roman" w:hAnsi="Times New Roman"/>
          <w:noProof/>
          <w:sz w:val="24"/>
        </w:rPr>
        <w:t>ангажиментите, поети от региона на Централна Америка, за да отстоява своята икономическа интеграция чрез приемане на технически регионални предписания.</w:t>
      </w:r>
    </w:p>
    <w:p>
      <w:pPr>
        <w:jc w:val="both"/>
        <w:rPr>
          <w:rFonts w:ascii="Times New Roman" w:hAnsi="Times New Roman"/>
          <w:noProof/>
          <w:sz w:val="24"/>
          <w:szCs w:val="24"/>
        </w:rPr>
      </w:pPr>
      <w:r>
        <w:rPr>
          <w:rFonts w:ascii="Times New Roman" w:hAnsi="Times New Roman"/>
          <w:noProof/>
          <w:sz w:val="24"/>
        </w:rPr>
        <w:t>ЕС припомни ангажимента на Централна Америка да предостави писмени отговори на писмените коментари на ЕС, представени в рамките на процедурата за съобщаване за техническите пречки пред търговията (ТПТ) на Световната търговска организация (СТО). Централна Америка отбеляза искането и се ангажира да отговори.</w:t>
      </w:r>
    </w:p>
    <w:p>
      <w:pPr>
        <w:jc w:val="both"/>
        <w:rPr>
          <w:rFonts w:ascii="Times New Roman" w:hAnsi="Times New Roman"/>
          <w:noProof/>
          <w:sz w:val="24"/>
          <w:szCs w:val="24"/>
        </w:rPr>
      </w:pPr>
      <w:r>
        <w:rPr>
          <w:rFonts w:ascii="Times New Roman" w:hAnsi="Times New Roman"/>
          <w:noProof/>
          <w:sz w:val="24"/>
        </w:rPr>
        <w:t>Като част от ангажиментите си, свързани с изпълнението на технически предписания с цел засилване на регионалната икономическа интеграция, Централна Америка беше дала съгласие за въвеждане на единна регионална регистрация на продукти. Това правило все още не беше приложено, но Централна Америка съобщи, че новото законодателство скоро ще влезе в сила.</w:t>
      </w:r>
    </w:p>
    <w:p>
      <w:pPr>
        <w:pStyle w:val="ManualHeading2"/>
        <w:rPr>
          <w:szCs w:val="24"/>
        </w:rPr>
      </w:pPr>
      <w:r>
        <w:t>3.2.</w:t>
      </w:r>
      <w:r>
        <w:tab/>
        <w:t>Съвет по търговията и устойчивото развитие</w:t>
      </w:r>
    </w:p>
    <w:p>
      <w:pPr>
        <w:jc w:val="both"/>
        <w:rPr>
          <w:rFonts w:ascii="Times New Roman" w:hAnsi="Times New Roman"/>
          <w:noProof/>
          <w:sz w:val="24"/>
          <w:szCs w:val="24"/>
        </w:rPr>
      </w:pPr>
      <w:r>
        <w:rPr>
          <w:rFonts w:ascii="Times New Roman" w:hAnsi="Times New Roman"/>
          <w:noProof/>
          <w:sz w:val="24"/>
        </w:rPr>
        <w:t xml:space="preserve">ЕС и Централна Америка започнаха диалог относно търговията и устойчивото развитие и споделиха своя опит във връзка с вътрешните механизми за насърчаване на участието на гражданското общество и на групите, ангажирани с изпълнението на разпоредбите за търговия и устойчиво развитие от споразумението (вж. част 4 по-долу). </w:t>
      </w:r>
    </w:p>
    <w:p>
      <w:pPr>
        <w:pStyle w:val="ManualHeading2"/>
        <w:rPr>
          <w:szCs w:val="24"/>
        </w:rPr>
      </w:pPr>
      <w:r>
        <w:t>3.3.</w:t>
      </w:r>
      <w:r>
        <w:tab/>
        <w:t>Подкомитет по интелектуалната собственост</w:t>
      </w:r>
    </w:p>
    <w:p>
      <w:pPr>
        <w:jc w:val="both"/>
        <w:rPr>
          <w:rFonts w:ascii="Times New Roman" w:hAnsi="Times New Roman"/>
          <w:noProof/>
          <w:sz w:val="24"/>
          <w:szCs w:val="24"/>
        </w:rPr>
      </w:pPr>
      <w:r>
        <w:rPr>
          <w:rFonts w:ascii="Times New Roman" w:hAnsi="Times New Roman"/>
          <w:noProof/>
          <w:sz w:val="24"/>
        </w:rPr>
        <w:t>Първото заседание на подкомитета по интелектуалната собственост, проведено на 22—23 май 2014 г., имаше за цел:</w:t>
      </w:r>
    </w:p>
    <w:p>
      <w:pPr>
        <w:numPr>
          <w:ilvl w:val="0"/>
          <w:numId w:val="8"/>
        </w:numPr>
        <w:jc w:val="both"/>
        <w:rPr>
          <w:rFonts w:ascii="Times New Roman" w:hAnsi="Times New Roman"/>
          <w:noProof/>
          <w:sz w:val="24"/>
          <w:szCs w:val="24"/>
        </w:rPr>
      </w:pPr>
      <w:r>
        <w:rPr>
          <w:rFonts w:ascii="Times New Roman" w:hAnsi="Times New Roman"/>
          <w:noProof/>
          <w:sz w:val="24"/>
        </w:rPr>
        <w:t>постигане на съгласие с Централна Америка относно съдържанието на решението за включване в списъка на защитените географски указания;</w:t>
      </w:r>
    </w:p>
    <w:p>
      <w:pPr>
        <w:numPr>
          <w:ilvl w:val="0"/>
          <w:numId w:val="8"/>
        </w:numPr>
        <w:jc w:val="both"/>
        <w:rPr>
          <w:rFonts w:ascii="Times New Roman" w:hAnsi="Times New Roman"/>
          <w:noProof/>
          <w:sz w:val="24"/>
          <w:szCs w:val="24"/>
        </w:rPr>
      </w:pPr>
      <w:r>
        <w:rPr>
          <w:rFonts w:ascii="Times New Roman" w:hAnsi="Times New Roman"/>
          <w:noProof/>
          <w:sz w:val="24"/>
        </w:rPr>
        <w:t>обмен на информация за най-новото развитие на съответните текущи процедури за защита на географските указания на ЕС и Централна Америка, по-специално що се отнася до текущи процедури за предявяване на възражения по отношение на някои важни географски указания на ЕС; както и</w:t>
      </w:r>
    </w:p>
    <w:p>
      <w:pPr>
        <w:numPr>
          <w:ilvl w:val="0"/>
          <w:numId w:val="8"/>
        </w:numPr>
        <w:jc w:val="both"/>
        <w:rPr>
          <w:rFonts w:ascii="Times New Roman" w:hAnsi="Times New Roman"/>
          <w:noProof/>
          <w:sz w:val="24"/>
          <w:szCs w:val="24"/>
        </w:rPr>
      </w:pPr>
      <w:r>
        <w:rPr>
          <w:rFonts w:ascii="Times New Roman" w:hAnsi="Times New Roman"/>
          <w:noProof/>
          <w:sz w:val="24"/>
        </w:rPr>
        <w:t>започване на диалог относно начините за опростяване на процедурите за регистрация на географски указания в Централна Америка.</w:t>
      </w:r>
    </w:p>
    <w:p>
      <w:pPr>
        <w:jc w:val="both"/>
        <w:rPr>
          <w:rFonts w:ascii="Times New Roman" w:hAnsi="Times New Roman"/>
          <w:noProof/>
          <w:sz w:val="24"/>
          <w:szCs w:val="24"/>
        </w:rPr>
      </w:pPr>
      <w:r>
        <w:rPr>
          <w:rFonts w:ascii="Times New Roman" w:hAnsi="Times New Roman"/>
          <w:noProof/>
          <w:sz w:val="24"/>
        </w:rPr>
        <w:t>Резултатите от работата на този подкомитет са положителни, тъй като страните договориха списък на защитените географски указания и постигнаха съгласие, че има възможност за опростяване и облекчаване на процедурите за регистрация в Централна Америка, с цел да се насърчи хармонизираният подход на регионално равнище.</w:t>
      </w:r>
    </w:p>
    <w:p>
      <w:pPr>
        <w:pStyle w:val="ManualHeading2"/>
        <w:rPr>
          <w:szCs w:val="24"/>
        </w:rPr>
      </w:pPr>
      <w:r>
        <w:t>3.4.</w:t>
      </w:r>
      <w:r>
        <w:tab/>
        <w:t>Подкомитет по санитарни и фитосанитарни въпроси</w:t>
      </w:r>
    </w:p>
    <w:p>
      <w:pPr>
        <w:spacing w:after="240" w:line="240" w:lineRule="auto"/>
        <w:jc w:val="both"/>
        <w:rPr>
          <w:rFonts w:ascii="Times New Roman" w:eastAsia="Times New Roman" w:hAnsi="Times New Roman"/>
          <w:noProof/>
          <w:sz w:val="24"/>
          <w:szCs w:val="24"/>
        </w:rPr>
      </w:pPr>
      <w:r>
        <w:rPr>
          <w:rFonts w:ascii="Times New Roman" w:hAnsi="Times New Roman"/>
          <w:noProof/>
          <w:sz w:val="24"/>
        </w:rPr>
        <w:t>Темите, обсъдени на първото заседание на подкомитета, проведено на 17—18 юни, включваха изисквания по отношение на вноса, проверки, мерки, свързани със здравето на животните и растенията, еквивалентност и техническа помощ. Основните цели бяха:</w:t>
      </w:r>
    </w:p>
    <w:p>
      <w:pPr>
        <w:numPr>
          <w:ilvl w:val="0"/>
          <w:numId w:val="8"/>
        </w:numPr>
        <w:jc w:val="both"/>
        <w:rPr>
          <w:rFonts w:ascii="Times New Roman" w:hAnsi="Times New Roman"/>
          <w:noProof/>
          <w:sz w:val="24"/>
          <w:szCs w:val="24"/>
        </w:rPr>
      </w:pPr>
      <w:r>
        <w:rPr>
          <w:rFonts w:ascii="Times New Roman" w:hAnsi="Times New Roman"/>
          <w:noProof/>
          <w:sz w:val="24"/>
        </w:rPr>
        <w:t>да продължи установяването на възможните проблеми при изпълнението на споразумението, както и да се търсят решения;</w:t>
      </w:r>
    </w:p>
    <w:p>
      <w:pPr>
        <w:numPr>
          <w:ilvl w:val="0"/>
          <w:numId w:val="8"/>
        </w:numPr>
        <w:jc w:val="both"/>
        <w:rPr>
          <w:rFonts w:ascii="Times New Roman" w:hAnsi="Times New Roman"/>
          <w:noProof/>
          <w:sz w:val="24"/>
          <w:szCs w:val="24"/>
        </w:rPr>
      </w:pPr>
      <w:r>
        <w:rPr>
          <w:rFonts w:ascii="Times New Roman" w:hAnsi="Times New Roman"/>
          <w:noProof/>
          <w:sz w:val="24"/>
        </w:rPr>
        <w:t>да се преодолеят бариерите за достъп до пазара и новите заявления за издаване на разрешение за внос и да се намерят начини за улесняване или разширяване на търговията;</w:t>
      </w:r>
    </w:p>
    <w:p>
      <w:pPr>
        <w:numPr>
          <w:ilvl w:val="0"/>
          <w:numId w:val="8"/>
        </w:numPr>
        <w:jc w:val="both"/>
        <w:rPr>
          <w:rFonts w:ascii="Times New Roman" w:hAnsi="Times New Roman"/>
          <w:noProof/>
          <w:sz w:val="24"/>
          <w:szCs w:val="24"/>
        </w:rPr>
      </w:pPr>
      <w:r>
        <w:rPr>
          <w:rFonts w:ascii="Times New Roman" w:hAnsi="Times New Roman"/>
          <w:noProof/>
          <w:sz w:val="24"/>
        </w:rPr>
        <w:t>да се получи потвърждение от всички държави от Централна Америка по отношение на тълкуването и правилното приложение на членовете относно одобряването и включването в списък на животновъдни обекти и относно проверки, че Централна Америка ще поеме разходите за инспекции, осъществявани в Европа от компетентните органи на Централна Америка;</w:t>
      </w:r>
    </w:p>
    <w:p>
      <w:pPr>
        <w:numPr>
          <w:ilvl w:val="0"/>
          <w:numId w:val="8"/>
        </w:numPr>
        <w:jc w:val="both"/>
        <w:rPr>
          <w:rFonts w:ascii="Times New Roman" w:hAnsi="Times New Roman"/>
          <w:noProof/>
          <w:sz w:val="24"/>
          <w:szCs w:val="24"/>
        </w:rPr>
      </w:pPr>
      <w:r>
        <w:rPr>
          <w:rFonts w:ascii="Times New Roman" w:hAnsi="Times New Roman"/>
          <w:noProof/>
          <w:sz w:val="24"/>
        </w:rPr>
        <w:t>да се обсъди равнището на интеграция на Централна Америка и текущи дискусии в това отношение в региона.</w:t>
      </w:r>
    </w:p>
    <w:p>
      <w:pPr>
        <w:jc w:val="both"/>
        <w:rPr>
          <w:rFonts w:ascii="Times New Roman" w:eastAsia="Times New Roman" w:hAnsi="Times New Roman"/>
          <w:noProof/>
          <w:sz w:val="24"/>
          <w:szCs w:val="24"/>
        </w:rPr>
      </w:pPr>
      <w:r>
        <w:rPr>
          <w:rFonts w:ascii="Times New Roman" w:hAnsi="Times New Roman"/>
          <w:noProof/>
          <w:sz w:val="24"/>
        </w:rPr>
        <w:t>Като цяло резултатите от работата на подкомитета бяха положителни, като Централна Америка пое ангажимент за постигане на целите на споразумението.</w:t>
      </w:r>
    </w:p>
    <w:p>
      <w:pPr>
        <w:pStyle w:val="ManualHeading2"/>
        <w:rPr>
          <w:szCs w:val="24"/>
        </w:rPr>
      </w:pPr>
      <w:r>
        <w:t>3.5.</w:t>
      </w:r>
      <w:r>
        <w:tab/>
        <w:t>Подкомитет по митническите процедури, улесняването на търговията и правилата за произход</w:t>
      </w:r>
    </w:p>
    <w:p>
      <w:pPr>
        <w:jc w:val="both"/>
        <w:rPr>
          <w:rFonts w:ascii="Times New Roman" w:hAnsi="Times New Roman"/>
          <w:noProof/>
          <w:sz w:val="24"/>
          <w:szCs w:val="24"/>
        </w:rPr>
      </w:pPr>
      <w:r>
        <w:rPr>
          <w:rFonts w:ascii="Times New Roman" w:hAnsi="Times New Roman"/>
          <w:noProof/>
          <w:sz w:val="24"/>
        </w:rPr>
        <w:t>По време на първото заседание на този подкомитет, проведено на 28—29 април, участниците обсъдиха:</w:t>
      </w:r>
    </w:p>
    <w:p>
      <w:pPr>
        <w:numPr>
          <w:ilvl w:val="0"/>
          <w:numId w:val="14"/>
        </w:numPr>
        <w:jc w:val="both"/>
        <w:rPr>
          <w:rFonts w:ascii="Times New Roman" w:hAnsi="Times New Roman"/>
          <w:noProof/>
          <w:sz w:val="24"/>
          <w:szCs w:val="24"/>
        </w:rPr>
      </w:pPr>
      <w:r>
        <w:rPr>
          <w:rFonts w:ascii="Times New Roman" w:hAnsi="Times New Roman"/>
          <w:noProof/>
          <w:sz w:val="24"/>
        </w:rPr>
        <w:t>изпълнението от страна на Централна Америка на нейните ангажименти за регионална интеграция;</w:t>
      </w:r>
    </w:p>
    <w:p>
      <w:pPr>
        <w:numPr>
          <w:ilvl w:val="0"/>
          <w:numId w:val="14"/>
        </w:numPr>
        <w:jc w:val="both"/>
        <w:rPr>
          <w:rFonts w:ascii="Times New Roman" w:hAnsi="Times New Roman"/>
          <w:noProof/>
          <w:sz w:val="24"/>
          <w:szCs w:val="24"/>
        </w:rPr>
      </w:pPr>
      <w:r>
        <w:rPr>
          <w:rFonts w:ascii="Times New Roman" w:hAnsi="Times New Roman"/>
          <w:noProof/>
          <w:sz w:val="24"/>
        </w:rPr>
        <w:t xml:space="preserve">две обяснителни бележки в областта на правилата за произход и начините за решаване на незначителни проблеми от практическо естество, с които се сблъскват операторите през първите месеци на преференциалната търговия в рамките на споразумението. </w:t>
      </w:r>
    </w:p>
    <w:p>
      <w:pPr>
        <w:jc w:val="both"/>
        <w:rPr>
          <w:rFonts w:ascii="Times New Roman" w:hAnsi="Times New Roman"/>
          <w:noProof/>
          <w:sz w:val="24"/>
          <w:szCs w:val="24"/>
        </w:rPr>
      </w:pPr>
      <w:r>
        <w:rPr>
          <w:rFonts w:ascii="Times New Roman" w:hAnsi="Times New Roman"/>
          <w:noProof/>
          <w:sz w:val="24"/>
        </w:rPr>
        <w:t xml:space="preserve">ЕС изрази и загрижеността си по отношение на тенденцията на държавите от Централна Америка да въведат сканиращо оборудване по границите си и да начисляват адвалорно такси, които ЕС счита, че биха могли да бъдат в противоречие със споразумението. </w:t>
      </w:r>
    </w:p>
    <w:p>
      <w:pPr>
        <w:pStyle w:val="ManualHeading2"/>
        <w:rPr>
          <w:szCs w:val="24"/>
        </w:rPr>
      </w:pPr>
      <w:r>
        <w:t>3.6.</w:t>
      </w:r>
      <w:r>
        <w:tab/>
        <w:t>Подкомитет за достъпа на стоки до пазара</w:t>
      </w:r>
    </w:p>
    <w:p>
      <w:pPr>
        <w:jc w:val="both"/>
        <w:rPr>
          <w:rFonts w:ascii="Times New Roman" w:hAnsi="Times New Roman"/>
          <w:noProof/>
          <w:sz w:val="24"/>
          <w:szCs w:val="24"/>
        </w:rPr>
      </w:pPr>
      <w:r>
        <w:rPr>
          <w:rFonts w:ascii="Times New Roman" w:hAnsi="Times New Roman"/>
          <w:noProof/>
          <w:sz w:val="24"/>
        </w:rPr>
        <w:t>Точките в дневния ред на първото заседание на този подкомитет, проведено на 19 юни, бяха насочени към преразглеждането на:</w:t>
      </w:r>
    </w:p>
    <w:p>
      <w:pPr>
        <w:numPr>
          <w:ilvl w:val="0"/>
          <w:numId w:val="16"/>
        </w:numPr>
        <w:jc w:val="both"/>
        <w:rPr>
          <w:rFonts w:ascii="Times New Roman" w:hAnsi="Times New Roman"/>
          <w:noProof/>
          <w:sz w:val="24"/>
          <w:szCs w:val="24"/>
        </w:rPr>
      </w:pPr>
      <w:r>
        <w:rPr>
          <w:rFonts w:ascii="Times New Roman" w:hAnsi="Times New Roman"/>
          <w:noProof/>
          <w:sz w:val="24"/>
        </w:rPr>
        <w:t>законодателството на Коста Рика, с което се въвежда минимална износна цена за бананите;</w:t>
      </w:r>
    </w:p>
    <w:p>
      <w:pPr>
        <w:numPr>
          <w:ilvl w:val="0"/>
          <w:numId w:val="16"/>
        </w:numPr>
        <w:jc w:val="both"/>
        <w:rPr>
          <w:rFonts w:ascii="Times New Roman" w:hAnsi="Times New Roman"/>
          <w:noProof/>
          <w:sz w:val="24"/>
          <w:szCs w:val="24"/>
        </w:rPr>
      </w:pPr>
      <w:r>
        <w:rPr>
          <w:rFonts w:ascii="Times New Roman" w:hAnsi="Times New Roman"/>
          <w:noProof/>
          <w:sz w:val="24"/>
        </w:rPr>
        <w:t>таксата, която се начислява от Никарагуа за преглед на стоки на всеки граничен контролно-пропускателен пункт;</w:t>
      </w:r>
    </w:p>
    <w:p>
      <w:pPr>
        <w:numPr>
          <w:ilvl w:val="0"/>
          <w:numId w:val="16"/>
        </w:numPr>
        <w:jc w:val="both"/>
        <w:rPr>
          <w:rFonts w:ascii="Times New Roman" w:hAnsi="Times New Roman"/>
          <w:noProof/>
          <w:sz w:val="24"/>
          <w:szCs w:val="24"/>
        </w:rPr>
      </w:pPr>
      <w:r>
        <w:rPr>
          <w:rFonts w:ascii="Times New Roman" w:hAnsi="Times New Roman"/>
          <w:noProof/>
          <w:sz w:val="24"/>
        </w:rPr>
        <w:t>административния контрол, въведен от ЕС за някои продукти от Централна Америка, обхванати от тарифните квоти.</w:t>
      </w:r>
    </w:p>
    <w:p>
      <w:pPr>
        <w:jc w:val="both"/>
        <w:rPr>
          <w:rFonts w:ascii="Times New Roman" w:hAnsi="Times New Roman"/>
          <w:noProof/>
          <w:sz w:val="24"/>
          <w:szCs w:val="24"/>
        </w:rPr>
      </w:pPr>
      <w:r>
        <w:rPr>
          <w:rFonts w:ascii="Times New Roman" w:hAnsi="Times New Roman"/>
          <w:noProof/>
          <w:sz w:val="24"/>
        </w:rPr>
        <w:t>По отношение на законодателството относно минималната износна цена за бананите, Коста Рика призна, че нито една разпоредба от настоящото споразумение изрично не разрешава на Коста Рика да се възползва от това законодателство. Коста Рика обаче счита, че с оглед на текущата пазарна цена за бананите, минималната експортна цена не представлява пречка пред търговията. ЕС отбелязва, че ще продължи да следи този въпрос.</w:t>
      </w:r>
    </w:p>
    <w:p>
      <w:pPr>
        <w:jc w:val="both"/>
        <w:rPr>
          <w:rFonts w:ascii="Times New Roman" w:hAnsi="Times New Roman"/>
          <w:noProof/>
          <w:sz w:val="24"/>
          <w:szCs w:val="24"/>
        </w:rPr>
      </w:pPr>
      <w:r>
        <w:rPr>
          <w:rFonts w:ascii="Times New Roman" w:hAnsi="Times New Roman"/>
          <w:noProof/>
          <w:sz w:val="24"/>
        </w:rPr>
        <w:t>По отношение на таксата за преглед на стоки, прилагана от Никарагуа, ЕС припомня, че вследствие на споразумението, таксите следва да не надвишават разходите за предоставените услуги. Никарагуа увери ЕС, че в законодателството ще бъдат спазени нейните международните ангажименти.</w:t>
      </w:r>
    </w:p>
    <w:p>
      <w:pPr>
        <w:jc w:val="both"/>
        <w:rPr>
          <w:rFonts w:ascii="Times New Roman" w:hAnsi="Times New Roman"/>
          <w:noProof/>
          <w:sz w:val="24"/>
          <w:szCs w:val="24"/>
        </w:rPr>
      </w:pPr>
      <w:r>
        <w:rPr>
          <w:rFonts w:ascii="Times New Roman" w:hAnsi="Times New Roman"/>
          <w:noProof/>
          <w:sz w:val="24"/>
        </w:rPr>
        <w:t>Страните също така са обменили информация относно възможни бъдещи области на дейност и са се договорили да си сътрудничат по събиране на общи надеждни статистически данни.</w:t>
      </w:r>
    </w:p>
    <w:p>
      <w:pPr>
        <w:pStyle w:val="ManualHeading2"/>
        <w:rPr>
          <w:szCs w:val="24"/>
        </w:rPr>
      </w:pPr>
      <w:r>
        <w:t>3.7.</w:t>
      </w:r>
      <w:r>
        <w:tab/>
        <w:t>Комитет за асоцииране</w:t>
      </w:r>
    </w:p>
    <w:p>
      <w:pPr>
        <w:jc w:val="both"/>
        <w:rPr>
          <w:rFonts w:ascii="Times New Roman" w:hAnsi="Times New Roman"/>
          <w:noProof/>
          <w:sz w:val="24"/>
          <w:szCs w:val="24"/>
        </w:rPr>
      </w:pPr>
      <w:r>
        <w:rPr>
          <w:rFonts w:ascii="Times New Roman" w:hAnsi="Times New Roman"/>
          <w:noProof/>
          <w:sz w:val="24"/>
        </w:rPr>
        <w:t>На срещата си на 25 юни Комитетът за асоцииране направи преглед на работата, извършена в различните подкомитети и обсъди и други въпроси, свързани с търговията. Отделено бе особено внимание на въпросите на регионалната икономическа интеграция и на необходимостта от избягване на мерките на Централна Америка, действащи срещу свободното движение на стоки в рамките на региона, тъй като основният бенефициент от улесненото осъществяване на търговските потоци всъщност ще бъде Централна Америка.</w:t>
      </w:r>
    </w:p>
    <w:p>
      <w:pPr>
        <w:jc w:val="both"/>
        <w:rPr>
          <w:rFonts w:ascii="Times New Roman" w:hAnsi="Times New Roman"/>
          <w:noProof/>
          <w:sz w:val="24"/>
          <w:szCs w:val="24"/>
        </w:rPr>
      </w:pPr>
      <w:r>
        <w:rPr>
          <w:rFonts w:ascii="Times New Roman" w:hAnsi="Times New Roman"/>
          <w:noProof/>
          <w:sz w:val="24"/>
        </w:rPr>
        <w:t>Страните обсъдиха искането на Централна Америка за предоставяне на компенсации за присъединяването на Хърватия към ЕС, признаха, че в момента съществуват различия в подхода и постигнаха съгласие да продължат диалога по този въпрос с оглед постигането на споразумение във възможно най-кратък срок. ЕС изрази също така загрижеността си по отношение на законодателството на Панама относно спомагателните морски услуги, които водят до дискриминация срещу чуждестранните оператори. ЕС и Панама обсъдиха въпроса дали законодателството ограничава достъпа до пазара и Панама информира, че новото правителство ще отговори на ЕС.</w:t>
      </w:r>
    </w:p>
    <w:p>
      <w:pPr>
        <w:pStyle w:val="ManualHeading2"/>
        <w:rPr>
          <w:szCs w:val="24"/>
        </w:rPr>
      </w:pPr>
      <w:r>
        <w:t>3.8.</w:t>
      </w:r>
      <w:r>
        <w:tab/>
        <w:t>Съвет за асоцииране</w:t>
      </w:r>
    </w:p>
    <w:p>
      <w:pPr>
        <w:jc w:val="both"/>
        <w:rPr>
          <w:rFonts w:ascii="Times New Roman" w:hAnsi="Times New Roman"/>
          <w:noProof/>
          <w:sz w:val="24"/>
          <w:szCs w:val="24"/>
        </w:rPr>
      </w:pPr>
      <w:r>
        <w:rPr>
          <w:rFonts w:ascii="Times New Roman" w:hAnsi="Times New Roman"/>
          <w:noProof/>
          <w:sz w:val="24"/>
        </w:rPr>
        <w:t>Съветът за асоцииране, състоял се на 27 юни, разгледа извършената от Комитета за асоцииране работа и одобри резултатите. Съветът за асоцииране прие пет решения, включително процедурния правилник на Съвета за асоцииране и различните му структури, списъка на защитените географски указания и процедурния правилник на механизма за уреждане на спорове.</w:t>
      </w:r>
    </w:p>
    <w:p>
      <w:pPr>
        <w:spacing w:after="0"/>
        <w:jc w:val="both"/>
        <w:rPr>
          <w:rFonts w:ascii="Times New Roman" w:hAnsi="Times New Roman"/>
          <w:noProof/>
          <w:sz w:val="24"/>
          <w:szCs w:val="24"/>
        </w:rPr>
      </w:pPr>
      <w:r>
        <w:rPr>
          <w:rFonts w:ascii="Times New Roman" w:hAnsi="Times New Roman"/>
          <w:noProof/>
          <w:sz w:val="24"/>
        </w:rPr>
        <w:t xml:space="preserve">Участниците от Централна Америка също подчертаха значението на споразумението за търговията, регионалната интеграция и задълбочаването на отношенията, както и своите очаквания то да има положително въздействие върху икономическото и социалното развитие на държавите от Централна Америка. Освен това участниците от Централна Америка изразиха желанието си за бързо ратифициране на споразумението от страна на останалите 19 държави — членки на ЕС, за да се осъществи влизането в сила и на политическия стълб и на стълба за сътрудничество. ЕС представи актуалното състояние на процеса на ратификация в Европа. Освен това ЕС обърна внимание на влизането в сила на Споразумението за политически диалог и сътрудничество през 2014 г. </w:t>
      </w:r>
    </w:p>
    <w:p>
      <w:pPr>
        <w:pStyle w:val="ManualHeading2"/>
        <w:rPr>
          <w:szCs w:val="24"/>
        </w:rPr>
      </w:pPr>
      <w:r>
        <w:t>4.</w:t>
      </w:r>
      <w:r>
        <w:tab/>
        <w:t>ИЗПЪЛНЕНИЕ НА ЗАДЪЛЖЕНИЯ В ОБЛАСТТА НА ТЪРГОВИЯТА И УСТОЙЧИВОТО РАЗВИТИЕ</w:t>
      </w:r>
    </w:p>
    <w:p>
      <w:pPr>
        <w:spacing w:after="0"/>
        <w:jc w:val="both"/>
        <w:rPr>
          <w:rFonts w:ascii="Times New Roman" w:hAnsi="Times New Roman"/>
          <w:noProof/>
          <w:sz w:val="24"/>
          <w:szCs w:val="24"/>
        </w:rPr>
      </w:pPr>
      <w:r>
        <w:rPr>
          <w:rFonts w:ascii="Times New Roman" w:hAnsi="Times New Roman"/>
          <w:noProof/>
          <w:sz w:val="24"/>
        </w:rPr>
        <w:t>Дейностите през първата година от прилагането на споразумението бяха насочени върху изграждането на институционалните структури, установени в дял VIII „Търговия и устойчиво развитие“.</w:t>
      </w:r>
    </w:p>
    <w:p>
      <w:pPr>
        <w:keepNext/>
        <w:tabs>
          <w:tab w:val="left" w:pos="0"/>
        </w:tabs>
        <w:spacing w:before="240" w:after="120" w:line="240" w:lineRule="auto"/>
        <w:jc w:val="both"/>
        <w:outlineLvl w:val="1"/>
        <w:rPr>
          <w:rFonts w:ascii="Times New Roman" w:eastAsia="Times New Roman" w:hAnsi="Times New Roman"/>
          <w:b/>
          <w:noProof/>
          <w:sz w:val="24"/>
          <w:szCs w:val="24"/>
        </w:rPr>
      </w:pPr>
      <w:r>
        <w:rPr>
          <w:rFonts w:ascii="Times New Roman" w:hAnsi="Times New Roman"/>
          <w:b/>
          <w:noProof/>
          <w:sz w:val="24"/>
        </w:rPr>
        <w:t>4.1</w:t>
      </w:r>
      <w:r>
        <w:rPr>
          <w:noProof/>
        </w:rPr>
        <w:tab/>
      </w:r>
      <w:r>
        <w:rPr>
          <w:rFonts w:ascii="Times New Roman" w:hAnsi="Times New Roman"/>
          <w:b/>
          <w:noProof/>
          <w:sz w:val="24"/>
        </w:rPr>
        <w:t>Институционални аспекти</w:t>
      </w:r>
    </w:p>
    <w:p>
      <w:pPr>
        <w:jc w:val="both"/>
        <w:rPr>
          <w:rFonts w:ascii="Times New Roman" w:hAnsi="Times New Roman"/>
          <w:noProof/>
          <w:sz w:val="24"/>
          <w:szCs w:val="24"/>
        </w:rPr>
      </w:pPr>
      <w:r>
        <w:rPr>
          <w:rFonts w:ascii="Times New Roman" w:hAnsi="Times New Roman"/>
          <w:noProof/>
          <w:sz w:val="24"/>
        </w:rPr>
        <w:t>Първото заседание на междуправителствения Съвет по търговията и устойчивото развитие се проведе в Манагуа, Никарагуа, на 18 и 19 ноември 2014 г. Успоредно с него се проведе заседание на Форума за диалог с гражданското общество, последвано от съвместна сесия на съвета и форума.</w:t>
      </w:r>
    </w:p>
    <w:p>
      <w:pPr>
        <w:jc w:val="both"/>
        <w:rPr>
          <w:rFonts w:ascii="Times New Roman" w:hAnsi="Times New Roman"/>
          <w:noProof/>
          <w:sz w:val="24"/>
          <w:szCs w:val="24"/>
        </w:rPr>
      </w:pPr>
      <w:r>
        <w:rPr>
          <w:rFonts w:ascii="Times New Roman" w:hAnsi="Times New Roman"/>
          <w:noProof/>
          <w:sz w:val="24"/>
        </w:rPr>
        <w:t xml:space="preserve">От страна Централна Америка в заседанието на съвета участваха представители от министерствата на търговията, трудовата заетост и околната среда. Форумът за диалог с гражданското общество беше организиран от консултативната група на никарагуанското гражданско общество и бяха направени презентации по теми като правата на труд, изменението на климата, справедлива търговия и корпоративната социална отговорност. На него присъстваха над 100 човека. </w:t>
      </w:r>
    </w:p>
    <w:p>
      <w:pPr>
        <w:spacing w:after="0"/>
        <w:jc w:val="both"/>
        <w:rPr>
          <w:rFonts w:ascii="Times New Roman" w:hAnsi="Times New Roman"/>
          <w:noProof/>
          <w:sz w:val="24"/>
          <w:szCs w:val="24"/>
        </w:rPr>
      </w:pPr>
      <w:r>
        <w:rPr>
          <w:rFonts w:ascii="Times New Roman" w:hAnsi="Times New Roman"/>
          <w:noProof/>
          <w:sz w:val="24"/>
        </w:rPr>
        <w:t xml:space="preserve">Консултативната група на ЕС включва представители от Европейския икономически и социален комитет и организации на гражданското общество от ЕС, които са изразили интерес към участие в тази група, след покана за изразяване на интерес, изготвена с помощта на базата данни за гражданското общество на ГД „Търговия“. Секретариатът е осигурен от Европейския икономически и социален комитет (ЕИСК). </w:t>
      </w:r>
    </w:p>
    <w:p>
      <w:pPr>
        <w:spacing w:before="240" w:after="240" w:line="240" w:lineRule="auto"/>
        <w:jc w:val="both"/>
        <w:rPr>
          <w:rFonts w:ascii="Times New Roman" w:eastAsia="Times New Roman" w:hAnsi="Times New Roman"/>
          <w:b/>
          <w:noProof/>
          <w:sz w:val="24"/>
          <w:szCs w:val="24"/>
        </w:rPr>
      </w:pPr>
      <w:r>
        <w:rPr>
          <w:rFonts w:ascii="Times New Roman" w:hAnsi="Times New Roman"/>
          <w:b/>
          <w:noProof/>
          <w:sz w:val="24"/>
        </w:rPr>
        <w:t>4.2</w:t>
      </w:r>
      <w:r>
        <w:rPr>
          <w:noProof/>
        </w:rPr>
        <w:tab/>
      </w:r>
      <w:r>
        <w:rPr>
          <w:rFonts w:ascii="Times New Roman" w:hAnsi="Times New Roman"/>
          <w:b/>
          <w:noProof/>
          <w:sz w:val="24"/>
        </w:rPr>
        <w:t>Прилагането на конвенции на Международната организация на труда (МОТ)</w:t>
      </w:r>
    </w:p>
    <w:p>
      <w:pPr>
        <w:jc w:val="both"/>
        <w:rPr>
          <w:rFonts w:ascii="Times New Roman" w:hAnsi="Times New Roman"/>
          <w:noProof/>
          <w:sz w:val="24"/>
          <w:szCs w:val="24"/>
        </w:rPr>
      </w:pPr>
      <w:r>
        <w:rPr>
          <w:rFonts w:ascii="Times New Roman" w:hAnsi="Times New Roman"/>
          <w:noProof/>
          <w:sz w:val="24"/>
        </w:rPr>
        <w:t>По време на заседание на съвета страните докладваха за изпълнението на конвенциите на МОТ от тяхна страна, по-специално на основните конвенции на МОТ. Що се отнася до последната, акцентът беше поставен върху мерките за разрешаване на проблема с детския труд и за укрепването на социалния диалог. Страните обсъдиха значението на социалния диалог и на ефективните и възпиращи санкции срещу дискриминацията на профсъюзни дейци и срещу насилието, включително насилието срещу профсъюзни ръководители и необходимостта тези санкции да бъдат прилагани ефективно.</w:t>
      </w:r>
    </w:p>
    <w:p>
      <w:pPr>
        <w:jc w:val="both"/>
        <w:rPr>
          <w:rFonts w:ascii="Times New Roman" w:hAnsi="Times New Roman"/>
          <w:noProof/>
          <w:sz w:val="24"/>
          <w:szCs w:val="24"/>
        </w:rPr>
      </w:pPr>
      <w:r>
        <w:rPr>
          <w:rFonts w:ascii="Times New Roman" w:hAnsi="Times New Roman"/>
          <w:noProof/>
          <w:sz w:val="24"/>
        </w:rPr>
        <w:t xml:space="preserve">Що се отнася до детския труд, внимание се обърна на факта, че е важно да се увеличат усилията за решаване на проблема с детския труд, особено в неформалната икономика, да се засилят инспекциите по труда, на усилията за повишаване на нивото на посещаемост в училище, както и за укрепване на социалната закрила с акцент върху защитата на децата. </w:t>
      </w:r>
    </w:p>
    <w:p>
      <w:pPr>
        <w:jc w:val="both"/>
        <w:rPr>
          <w:rFonts w:ascii="Times New Roman" w:hAnsi="Times New Roman"/>
          <w:noProof/>
          <w:sz w:val="24"/>
          <w:szCs w:val="24"/>
        </w:rPr>
      </w:pPr>
      <w:r>
        <w:rPr>
          <w:rFonts w:ascii="Times New Roman" w:hAnsi="Times New Roman"/>
          <w:noProof/>
          <w:sz w:val="24"/>
        </w:rPr>
        <w:t xml:space="preserve">ЕС обърна внимание на наскоро приетите от МОТ конвенции и протоколи и състоянието на ратифициране от страна на държавите — членки на ЕС, по-специално Морската трудова конвенция (МТК), Конвенцията относно домашните работници (Конвенция № 189), и новия протокол, допълващ Конвенцията относно принудителния труд (Конвенция № 29). </w:t>
      </w:r>
    </w:p>
    <w:p>
      <w:pPr>
        <w:jc w:val="both"/>
        <w:rPr>
          <w:rFonts w:ascii="Times New Roman" w:hAnsi="Times New Roman"/>
          <w:noProof/>
          <w:sz w:val="24"/>
          <w:szCs w:val="24"/>
        </w:rPr>
      </w:pPr>
      <w:r>
        <w:rPr>
          <w:rFonts w:ascii="Times New Roman" w:hAnsi="Times New Roman"/>
          <w:noProof/>
          <w:sz w:val="24"/>
        </w:rPr>
        <w:t>По отношение на изграждането на капацитет по тези въпроси ЕС изтъкна по-специално програма, която се разработва в подкрепа на програмата за достойни условия на труд в Хондурас.</w:t>
      </w:r>
    </w:p>
    <w:p>
      <w:pPr>
        <w:keepNext/>
        <w:tabs>
          <w:tab w:val="left" w:pos="850"/>
        </w:tabs>
        <w:spacing w:before="240" w:after="24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rPr>
        <w:t>4.3.</w:t>
      </w:r>
      <w:r>
        <w:rPr>
          <w:noProof/>
        </w:rPr>
        <w:tab/>
      </w:r>
      <w:r>
        <w:rPr>
          <w:rFonts w:ascii="Times New Roman" w:hAnsi="Times New Roman"/>
          <w:b/>
          <w:noProof/>
          <w:sz w:val="24"/>
        </w:rPr>
        <w:t>Прилагане на многостранните споразумения в областта на околната среда</w:t>
      </w:r>
    </w:p>
    <w:p>
      <w:pPr>
        <w:spacing w:after="240"/>
        <w:jc w:val="both"/>
        <w:rPr>
          <w:rFonts w:ascii="Times New Roman" w:hAnsi="Times New Roman"/>
          <w:noProof/>
          <w:sz w:val="24"/>
          <w:szCs w:val="24"/>
        </w:rPr>
      </w:pPr>
      <w:r>
        <w:rPr>
          <w:rFonts w:ascii="Times New Roman" w:hAnsi="Times New Roman"/>
          <w:noProof/>
          <w:sz w:val="24"/>
        </w:rPr>
        <w:t xml:space="preserve">По време на заседанието на съвета страните докладваха за прилагането на многостранни споразумения в областта на околната среда, съсредоточавайки вниманието по-специално върху изменението на климата, застрашените видове (CITES), и превозите на опасните химични вещества и отпадъци. Държавите от Централна Америка съобщиха, че всички те вече са ратифицирали Ротердамската конвенция (относно търговията с опасни химични вещества), както и изменението на CITES от Габороне. </w:t>
      </w:r>
    </w:p>
    <w:p>
      <w:pPr>
        <w:spacing w:after="0"/>
        <w:jc w:val="both"/>
        <w:rPr>
          <w:rFonts w:ascii="Times New Roman" w:hAnsi="Times New Roman"/>
          <w:noProof/>
          <w:sz w:val="24"/>
          <w:szCs w:val="24"/>
        </w:rPr>
      </w:pPr>
      <w:r>
        <w:rPr>
          <w:rFonts w:ascii="Times New Roman" w:hAnsi="Times New Roman"/>
          <w:noProof/>
          <w:sz w:val="24"/>
        </w:rPr>
        <w:t>ЕС обърна внимание на сключените наскоро споразумения в областта на околната среда, а именно споразумението от Минамата за живака и протокола от Нагоя към Конвенцията за биологичното разнообразие (КБР) и представи доклад за напредъка в изпълнението на тези споразумения в рамките на ЕС. Държавите от Централна Америка изтъкнаха уязвимостта на региона по отношение на изменението на климата, което засяга пряко култури за износ като кафето, и необходимостта да се работи за адаптиране. Редица от тях също така очертаха амбициозни планове за увеличаване на дела на енергията от възобновяеми източници в техните енергийни доставки.</w:t>
      </w:r>
    </w:p>
    <w:p>
      <w:pPr>
        <w:keepNext/>
        <w:tabs>
          <w:tab w:val="left" w:pos="850"/>
        </w:tabs>
        <w:spacing w:before="240" w:after="240" w:line="240" w:lineRule="auto"/>
        <w:ind w:left="850" w:hanging="850"/>
        <w:jc w:val="both"/>
        <w:outlineLvl w:val="1"/>
        <w:rPr>
          <w:rFonts w:ascii="Times New Roman" w:eastAsia="Times New Roman" w:hAnsi="Times New Roman"/>
          <w:b/>
          <w:noProof/>
          <w:sz w:val="24"/>
          <w:szCs w:val="24"/>
        </w:rPr>
      </w:pPr>
      <w:r>
        <w:rPr>
          <w:rFonts w:ascii="Times New Roman" w:hAnsi="Times New Roman"/>
          <w:b/>
          <w:noProof/>
          <w:sz w:val="24"/>
        </w:rPr>
        <w:t>4.4.</w:t>
      </w:r>
      <w:r>
        <w:rPr>
          <w:noProof/>
        </w:rPr>
        <w:tab/>
      </w:r>
      <w:r>
        <w:rPr>
          <w:rFonts w:ascii="Times New Roman" w:hAnsi="Times New Roman"/>
          <w:b/>
          <w:noProof/>
          <w:sz w:val="24"/>
        </w:rPr>
        <w:t>Развитие на положителна програма за търговия и устойчиво развитие</w:t>
      </w:r>
    </w:p>
    <w:p>
      <w:pPr>
        <w:spacing w:after="0"/>
        <w:jc w:val="both"/>
        <w:rPr>
          <w:rFonts w:ascii="Times New Roman" w:hAnsi="Times New Roman"/>
          <w:noProof/>
          <w:sz w:val="24"/>
          <w:szCs w:val="24"/>
        </w:rPr>
      </w:pPr>
      <w:r>
        <w:rPr>
          <w:rFonts w:ascii="Times New Roman" w:hAnsi="Times New Roman"/>
          <w:noProof/>
          <w:sz w:val="24"/>
        </w:rPr>
        <w:t>Както по време на заседанието на съвета, така и по време на Форума за диалог с гражданското общество бяха представени много примери, в които производството и търговията са имали положително социално и екологично въздействие. Бяха описани правителствените политики за насърчаване на такива резултати, както и партньорствата между предприятията, представителите на трудещите се, екологичните неправителствени организации и общностите. Общите теми включваха корпоративната социална отговорност, енергията от възобновяеми източници, устойчивото селскостопанско производство, по-чистите производствени процеси и устойчивия туризъм.</w:t>
      </w:r>
    </w:p>
    <w:p>
      <w:pPr>
        <w:spacing w:before="240" w:after="0"/>
        <w:jc w:val="both"/>
        <w:rPr>
          <w:rFonts w:ascii="Times New Roman" w:hAnsi="Times New Roman"/>
          <w:noProof/>
          <w:sz w:val="24"/>
          <w:szCs w:val="24"/>
        </w:rPr>
      </w:pPr>
      <w:r>
        <w:rPr>
          <w:rFonts w:ascii="Times New Roman" w:hAnsi="Times New Roman"/>
          <w:noProof/>
          <w:sz w:val="24"/>
        </w:rPr>
        <w:t>Съветът постигна съгласие да се проведат по-нататъшни разисквания за набелязване на приоритети в средносрочен план. В този контекст ще бъде важно да се гарантира взаимодействието с текущите и планираните мерки за сътрудничеството за развитие в региона, както и участието на гражданското общество от двете страни на Атлантическия океан.</w:t>
      </w:r>
    </w:p>
    <w:p>
      <w:pPr>
        <w:rPr>
          <w:rFonts w:ascii="Times New Roman" w:hAnsi="Times New Roman"/>
          <w:noProof/>
          <w:sz w:val="24"/>
          <w:szCs w:val="24"/>
        </w:rPr>
      </w:pPr>
      <w:r>
        <w:rPr>
          <w:noProof/>
        </w:rPr>
        <w:br w:type="page"/>
      </w:r>
    </w:p>
    <w:p>
      <w:pPr>
        <w:pStyle w:val="ManualHeading2"/>
        <w:rPr>
          <w:szCs w:val="24"/>
        </w:rPr>
      </w:pPr>
      <w:r>
        <w:t>5.</w:t>
      </w:r>
      <w:r>
        <w:tab/>
        <w:t>ИЗПЪЛНЕНИЕ НА РЕГЛАМЕНТ (ЕС) № 20/2013 НА ЕВРОПЕЙСКИЯ ПАРЛАМЕНТ И НА СЪВЕТА ЗА ПРИЛАГАНЕ НА ДВУСТРАННАТА ЗАЩИТНА КЛАУЗА И МЕХАНИЗМА ЗА СТАБИЛИЗИРАНЕ ПО ОТНОШЕНИЕ НА БАНАНИТЕ</w:t>
      </w:r>
    </w:p>
    <w:p>
      <w:pPr>
        <w:jc w:val="both"/>
        <w:rPr>
          <w:rFonts w:ascii="Times New Roman" w:hAnsi="Times New Roman"/>
          <w:noProof/>
          <w:sz w:val="24"/>
          <w:szCs w:val="24"/>
        </w:rPr>
      </w:pPr>
      <w:r>
        <w:rPr>
          <w:rFonts w:ascii="Times New Roman" w:hAnsi="Times New Roman"/>
          <w:noProof/>
          <w:sz w:val="24"/>
        </w:rPr>
        <w:t>Регламентът установява подходящи процедури, за да се избегне сериозна вреда за сектора на бананите в ЕС, ако в резултат на намалението на митата продуктът се внася в дотолкова увеличени количества, че те причиняват или създават опасност от причиняване на сериозна вреда на сектора в ЕС.</w:t>
      </w:r>
    </w:p>
    <w:p>
      <w:pPr>
        <w:jc w:val="both"/>
        <w:rPr>
          <w:rFonts w:ascii="Times New Roman" w:hAnsi="Times New Roman"/>
          <w:noProof/>
          <w:sz w:val="24"/>
          <w:szCs w:val="24"/>
        </w:rPr>
      </w:pPr>
      <w:r>
        <w:rPr>
          <w:rFonts w:ascii="Times New Roman" w:hAnsi="Times New Roman"/>
          <w:noProof/>
          <w:sz w:val="24"/>
        </w:rPr>
        <w:t xml:space="preserve">Следователно, в съответствие с членове 3 и 13 от регламента, Комисията осъществява мониторинг на промените във вноса на банани от държавите от Централна Америка, за да се оцени дали са изпълнени определените в регламента условия за започване на разследване с оглед налагане на защитни мерки или за въвеждане на мерки за предварително наблюдение. </w:t>
      </w:r>
    </w:p>
    <w:p>
      <w:pPr>
        <w:pStyle w:val="ManualHeading2"/>
        <w:rPr>
          <w:szCs w:val="24"/>
        </w:rPr>
      </w:pPr>
      <w:r>
        <w:t>5.1.</w:t>
      </w:r>
      <w:r>
        <w:tab/>
        <w:t>Промени във вноса на банани от Централна Америка</w:t>
      </w:r>
    </w:p>
    <w:p>
      <w:pPr>
        <w:jc w:val="both"/>
        <w:rPr>
          <w:rFonts w:ascii="Times New Roman" w:hAnsi="Times New Roman"/>
          <w:noProof/>
          <w:sz w:val="24"/>
          <w:szCs w:val="24"/>
        </w:rPr>
      </w:pPr>
      <w:r>
        <w:rPr>
          <w:rFonts w:ascii="Times New Roman" w:hAnsi="Times New Roman"/>
          <w:noProof/>
          <w:sz w:val="24"/>
        </w:rPr>
        <w:t>През първата година от прилагането на споразумението Комисията нито е започнала, нито е получила искания за започване на разследване с оглед налагане на защитни мерки или за въвеждане на мерки за предварително наблюдение, тъй като определените в регламента условия за започване на разследване с оглед налагане на защитни мерки или за въвеждане на мерки за предварително наблюдение, никога не са били изпълнени.</w:t>
      </w:r>
    </w:p>
    <w:p>
      <w:pPr>
        <w:rPr>
          <w:rFonts w:ascii="Times New Roman" w:hAnsi="Times New Roman"/>
          <w:noProof/>
          <w:sz w:val="24"/>
          <w:szCs w:val="24"/>
        </w:rPr>
      </w:pPr>
    </w:p>
    <w:tbl>
      <w:tblPr>
        <w:tblW w:w="7600" w:type="dxa"/>
        <w:jc w:val="center"/>
        <w:tblInd w:w="93" w:type="dxa"/>
        <w:tblLook w:val="04A0" w:firstRow="1" w:lastRow="0" w:firstColumn="1" w:lastColumn="0" w:noHBand="0" w:noVBand="1"/>
      </w:tblPr>
      <w:tblGrid>
        <w:gridCol w:w="1450"/>
        <w:gridCol w:w="977"/>
        <w:gridCol w:w="1488"/>
        <w:gridCol w:w="1407"/>
        <w:gridCol w:w="978"/>
        <w:gridCol w:w="1488"/>
        <w:gridCol w:w="1407"/>
      </w:tblGrid>
      <w:tr>
        <w:trPr>
          <w:trHeight w:val="315"/>
          <w:jc w:val="center"/>
        </w:trPr>
        <w:tc>
          <w:tcPr>
            <w:tcW w:w="14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3080" w:type="dxa"/>
            <w:gridSpan w:val="3"/>
            <w:tcBorders>
              <w:top w:val="single" w:sz="8" w:space="0" w:color="auto"/>
              <w:left w:val="single" w:sz="8" w:space="0" w:color="auto"/>
              <w:bottom w:val="single" w:sz="4" w:space="0" w:color="auto"/>
              <w:right w:val="single" w:sz="8" w:space="0" w:color="000000"/>
            </w:tcBorders>
            <w:shd w:val="clear" w:color="auto" w:fill="auto"/>
            <w:noWrap/>
            <w:vAlign w:val="bottom"/>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rPr>
              <w:t>2013 г.</w:t>
            </w:r>
          </w:p>
        </w:tc>
        <w:tc>
          <w:tcPr>
            <w:tcW w:w="3040" w:type="dxa"/>
            <w:gridSpan w:val="3"/>
            <w:tcBorders>
              <w:top w:val="single" w:sz="8" w:space="0" w:color="auto"/>
              <w:left w:val="nil"/>
              <w:bottom w:val="single" w:sz="4" w:space="0" w:color="auto"/>
              <w:right w:val="single" w:sz="8" w:space="0" w:color="000000"/>
            </w:tcBorders>
            <w:shd w:val="clear" w:color="auto" w:fill="auto"/>
            <w:noWrap/>
            <w:vAlign w:val="bottom"/>
            <w:hideMark/>
          </w:tcPr>
          <w:p>
            <w:pPr>
              <w:spacing w:after="0" w:line="240" w:lineRule="auto"/>
              <w:jc w:val="center"/>
              <w:rPr>
                <w:rFonts w:ascii="Times New Roman" w:eastAsia="Times New Roman" w:hAnsi="Times New Roman"/>
                <w:b/>
                <w:bCs/>
                <w:noProof/>
                <w:color w:val="000000"/>
                <w:sz w:val="24"/>
                <w:szCs w:val="24"/>
              </w:rPr>
            </w:pPr>
            <w:r>
              <w:rPr>
                <w:rFonts w:ascii="Times New Roman" w:hAnsi="Times New Roman"/>
                <w:b/>
                <w:noProof/>
                <w:color w:val="000000"/>
                <w:sz w:val="24"/>
              </w:rPr>
              <w:t>2014 г.*</w:t>
            </w:r>
          </w:p>
        </w:tc>
      </w:tr>
      <w:tr>
        <w:trPr>
          <w:trHeight w:val="525"/>
          <w:jc w:val="center"/>
        </w:trPr>
        <w:tc>
          <w:tcPr>
            <w:tcW w:w="1480"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noProof/>
                <w:color w:val="000000"/>
                <w:sz w:val="24"/>
                <w:szCs w:val="24"/>
              </w:rPr>
            </w:pPr>
          </w:p>
        </w:tc>
        <w:tc>
          <w:tcPr>
            <w:tcW w:w="813" w:type="dxa"/>
            <w:tcBorders>
              <w:top w:val="nil"/>
              <w:left w:val="single" w:sz="8" w:space="0" w:color="auto"/>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Внос</w:t>
            </w:r>
          </w:p>
        </w:tc>
        <w:tc>
          <w:tcPr>
            <w:tcW w:w="924"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Праг за задействане</w:t>
            </w:r>
          </w:p>
        </w:tc>
        <w:tc>
          <w:tcPr>
            <w:tcW w:w="1343" w:type="dxa"/>
            <w:tcBorders>
              <w:top w:val="nil"/>
              <w:left w:val="nil"/>
              <w:bottom w:val="nil"/>
              <w:right w:val="single" w:sz="8" w:space="0" w:color="auto"/>
            </w:tcBorders>
            <w:shd w:val="clear" w:color="auto" w:fill="auto"/>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Процент на използване</w:t>
            </w:r>
          </w:p>
        </w:tc>
        <w:tc>
          <w:tcPr>
            <w:tcW w:w="809"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Внос</w:t>
            </w:r>
          </w:p>
        </w:tc>
        <w:tc>
          <w:tcPr>
            <w:tcW w:w="919" w:type="dxa"/>
            <w:tcBorders>
              <w:top w:val="nil"/>
              <w:left w:val="nil"/>
              <w:bottom w:val="nil"/>
              <w:right w:val="single" w:sz="4" w:space="0" w:color="auto"/>
            </w:tcBorders>
            <w:shd w:val="clear" w:color="auto" w:fill="auto"/>
            <w:noWrap/>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Праг за задействане</w:t>
            </w:r>
          </w:p>
        </w:tc>
        <w:tc>
          <w:tcPr>
            <w:tcW w:w="1312" w:type="dxa"/>
            <w:tcBorders>
              <w:top w:val="nil"/>
              <w:left w:val="nil"/>
              <w:bottom w:val="nil"/>
              <w:right w:val="single" w:sz="8" w:space="0" w:color="auto"/>
            </w:tcBorders>
            <w:shd w:val="clear" w:color="auto" w:fill="auto"/>
            <w:vAlign w:val="center"/>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Процент на използване</w:t>
            </w:r>
          </w:p>
        </w:tc>
      </w:tr>
      <w:tr>
        <w:trPr>
          <w:trHeight w:val="315"/>
          <w:jc w:val="center"/>
        </w:trPr>
        <w:tc>
          <w:tcPr>
            <w:tcW w:w="1480" w:type="dxa"/>
            <w:tcBorders>
              <w:top w:val="single" w:sz="8" w:space="0" w:color="auto"/>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Коста Рика</w:t>
            </w:r>
          </w:p>
        </w:tc>
        <w:tc>
          <w:tcPr>
            <w:tcW w:w="813"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131 519</w:t>
            </w:r>
          </w:p>
        </w:tc>
        <w:tc>
          <w:tcPr>
            <w:tcW w:w="924"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1 178 750</w:t>
            </w:r>
          </w:p>
        </w:tc>
        <w:tc>
          <w:tcPr>
            <w:tcW w:w="1343"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11 %</w:t>
            </w:r>
          </w:p>
        </w:tc>
        <w:tc>
          <w:tcPr>
            <w:tcW w:w="80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856 007</w:t>
            </w:r>
          </w:p>
        </w:tc>
        <w:tc>
          <w:tcPr>
            <w:tcW w:w="919" w:type="dxa"/>
            <w:tcBorders>
              <w:top w:val="single" w:sz="8" w:space="0" w:color="auto"/>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1 230 000</w:t>
            </w:r>
          </w:p>
        </w:tc>
        <w:tc>
          <w:tcPr>
            <w:tcW w:w="1312" w:type="dxa"/>
            <w:tcBorders>
              <w:top w:val="single" w:sz="8" w:space="0" w:color="auto"/>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70 %</w:t>
            </w:r>
          </w:p>
        </w:tc>
      </w:tr>
      <w:tr>
        <w:trPr>
          <w:trHeight w:val="315"/>
          <w:jc w:val="center"/>
        </w:trPr>
        <w:tc>
          <w:tcPr>
            <w:tcW w:w="148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Панама</w:t>
            </w:r>
          </w:p>
        </w:tc>
        <w:tc>
          <w:tcPr>
            <w:tcW w:w="813"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58 935</w:t>
            </w:r>
          </w:p>
        </w:tc>
        <w:tc>
          <w:tcPr>
            <w:tcW w:w="9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431 250</w:t>
            </w:r>
          </w:p>
        </w:tc>
        <w:tc>
          <w:tcPr>
            <w:tcW w:w="134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14 %</w:t>
            </w:r>
          </w:p>
        </w:tc>
        <w:tc>
          <w:tcPr>
            <w:tcW w:w="8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203 737</w:t>
            </w:r>
          </w:p>
        </w:tc>
        <w:tc>
          <w:tcPr>
            <w:tcW w:w="9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450 000</w:t>
            </w:r>
          </w:p>
        </w:tc>
        <w:tc>
          <w:tcPr>
            <w:tcW w:w="131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45 %</w:t>
            </w:r>
          </w:p>
        </w:tc>
      </w:tr>
      <w:tr>
        <w:trPr>
          <w:trHeight w:val="315"/>
          <w:jc w:val="center"/>
        </w:trPr>
        <w:tc>
          <w:tcPr>
            <w:tcW w:w="148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Хондурас</w:t>
            </w:r>
          </w:p>
        </w:tc>
        <w:tc>
          <w:tcPr>
            <w:tcW w:w="813"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1 749</w:t>
            </w:r>
          </w:p>
        </w:tc>
        <w:tc>
          <w:tcPr>
            <w:tcW w:w="9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57 500</w:t>
            </w:r>
          </w:p>
        </w:tc>
        <w:tc>
          <w:tcPr>
            <w:tcW w:w="134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3 %</w:t>
            </w:r>
          </w:p>
        </w:tc>
        <w:tc>
          <w:tcPr>
            <w:tcW w:w="8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3 622</w:t>
            </w:r>
          </w:p>
        </w:tc>
        <w:tc>
          <w:tcPr>
            <w:tcW w:w="9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60 000</w:t>
            </w:r>
          </w:p>
        </w:tc>
        <w:tc>
          <w:tcPr>
            <w:tcW w:w="131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6 %</w:t>
            </w:r>
          </w:p>
        </w:tc>
      </w:tr>
      <w:tr>
        <w:trPr>
          <w:trHeight w:val="315"/>
          <w:jc w:val="center"/>
        </w:trPr>
        <w:tc>
          <w:tcPr>
            <w:tcW w:w="148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Гватемала</w:t>
            </w:r>
          </w:p>
        </w:tc>
        <w:tc>
          <w:tcPr>
            <w:tcW w:w="813"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21</w:t>
            </w:r>
          </w:p>
        </w:tc>
        <w:tc>
          <w:tcPr>
            <w:tcW w:w="9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57 500</w:t>
            </w:r>
          </w:p>
        </w:tc>
        <w:tc>
          <w:tcPr>
            <w:tcW w:w="134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8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22 861</w:t>
            </w:r>
          </w:p>
        </w:tc>
        <w:tc>
          <w:tcPr>
            <w:tcW w:w="9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60 000</w:t>
            </w:r>
          </w:p>
        </w:tc>
        <w:tc>
          <w:tcPr>
            <w:tcW w:w="131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38 %</w:t>
            </w:r>
          </w:p>
        </w:tc>
      </w:tr>
      <w:tr>
        <w:trPr>
          <w:trHeight w:val="315"/>
          <w:jc w:val="center"/>
        </w:trPr>
        <w:tc>
          <w:tcPr>
            <w:tcW w:w="1480" w:type="dxa"/>
            <w:tcBorders>
              <w:top w:val="nil"/>
              <w:left w:val="single" w:sz="8" w:space="0" w:color="auto"/>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Никарагуа</w:t>
            </w:r>
          </w:p>
        </w:tc>
        <w:tc>
          <w:tcPr>
            <w:tcW w:w="813" w:type="dxa"/>
            <w:tcBorders>
              <w:top w:val="nil"/>
              <w:left w:val="single" w:sz="8" w:space="0" w:color="auto"/>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924"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11 500</w:t>
            </w:r>
          </w:p>
        </w:tc>
        <w:tc>
          <w:tcPr>
            <w:tcW w:w="1343"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80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919" w:type="dxa"/>
            <w:tcBorders>
              <w:top w:val="nil"/>
              <w:left w:val="nil"/>
              <w:bottom w:val="single" w:sz="4"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12 000</w:t>
            </w:r>
          </w:p>
        </w:tc>
        <w:tc>
          <w:tcPr>
            <w:tcW w:w="1312" w:type="dxa"/>
            <w:tcBorders>
              <w:top w:val="nil"/>
              <w:left w:val="nil"/>
              <w:bottom w:val="single" w:sz="4"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r>
      <w:tr>
        <w:trPr>
          <w:trHeight w:val="315"/>
          <w:jc w:val="center"/>
        </w:trPr>
        <w:tc>
          <w:tcPr>
            <w:tcW w:w="1480" w:type="dxa"/>
            <w:tcBorders>
              <w:top w:val="nil"/>
              <w:left w:val="single" w:sz="8" w:space="0" w:color="auto"/>
              <w:bottom w:val="single" w:sz="8" w:space="0" w:color="auto"/>
              <w:right w:val="nil"/>
            </w:tcBorders>
            <w:shd w:val="clear" w:color="auto" w:fill="auto"/>
            <w:noWrap/>
            <w:vAlign w:val="bottom"/>
            <w:hideMark/>
          </w:tcPr>
          <w:p>
            <w:pPr>
              <w:spacing w:after="0" w:line="240" w:lineRule="auto"/>
              <w:rPr>
                <w:rFonts w:ascii="Times New Roman" w:eastAsia="Times New Roman" w:hAnsi="Times New Roman"/>
                <w:b/>
                <w:bCs/>
                <w:noProof/>
                <w:color w:val="000000"/>
                <w:sz w:val="24"/>
                <w:szCs w:val="24"/>
              </w:rPr>
            </w:pPr>
            <w:r>
              <w:rPr>
                <w:rFonts w:ascii="Times New Roman" w:hAnsi="Times New Roman"/>
                <w:b/>
                <w:noProof/>
                <w:color w:val="000000"/>
                <w:sz w:val="24"/>
              </w:rPr>
              <w:t>Ел Салвадор</w:t>
            </w:r>
          </w:p>
        </w:tc>
        <w:tc>
          <w:tcPr>
            <w:tcW w:w="813" w:type="dxa"/>
            <w:tcBorders>
              <w:top w:val="nil"/>
              <w:left w:val="single" w:sz="8" w:space="0" w:color="auto"/>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924"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2 300</w:t>
            </w:r>
          </w:p>
        </w:tc>
        <w:tc>
          <w:tcPr>
            <w:tcW w:w="1343"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c>
          <w:tcPr>
            <w:tcW w:w="80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w:t>
            </w:r>
          </w:p>
        </w:tc>
        <w:tc>
          <w:tcPr>
            <w:tcW w:w="919" w:type="dxa"/>
            <w:tcBorders>
              <w:top w:val="nil"/>
              <w:left w:val="nil"/>
              <w:bottom w:val="single" w:sz="8" w:space="0" w:color="auto"/>
              <w:right w:val="single" w:sz="4"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2 400</w:t>
            </w:r>
          </w:p>
        </w:tc>
        <w:tc>
          <w:tcPr>
            <w:tcW w:w="1312" w:type="dxa"/>
            <w:tcBorders>
              <w:top w:val="nil"/>
              <w:left w:val="nil"/>
              <w:bottom w:val="single" w:sz="8" w:space="0" w:color="auto"/>
              <w:right w:val="single" w:sz="8" w:space="0" w:color="auto"/>
            </w:tcBorders>
            <w:shd w:val="clear" w:color="auto" w:fill="auto"/>
            <w:noWrap/>
            <w:vAlign w:val="center"/>
            <w:hideMark/>
          </w:tcPr>
          <w:p>
            <w:pPr>
              <w:spacing w:after="0" w:line="240" w:lineRule="auto"/>
              <w:jc w:val="right"/>
              <w:rPr>
                <w:rFonts w:ascii="Times New Roman" w:eastAsia="Times New Roman" w:hAnsi="Times New Roman"/>
                <w:noProof/>
                <w:color w:val="000000"/>
                <w:sz w:val="24"/>
                <w:szCs w:val="24"/>
              </w:rPr>
            </w:pPr>
            <w:r>
              <w:rPr>
                <w:rFonts w:ascii="Times New Roman" w:hAnsi="Times New Roman"/>
                <w:noProof/>
                <w:color w:val="000000"/>
                <w:sz w:val="24"/>
              </w:rPr>
              <w:t>0 %</w:t>
            </w:r>
          </w:p>
        </w:tc>
      </w:tr>
    </w:tbl>
    <w:p>
      <w:pPr>
        <w:jc w:val="center"/>
        <w:rPr>
          <w:rFonts w:ascii="Times New Roman" w:hAnsi="Times New Roman"/>
          <w:noProof/>
          <w:sz w:val="24"/>
          <w:szCs w:val="24"/>
        </w:rPr>
      </w:pPr>
      <w:r>
        <w:rPr>
          <w:rFonts w:ascii="Times New Roman" w:hAnsi="Times New Roman"/>
          <w:noProof/>
          <w:sz w:val="24"/>
        </w:rPr>
        <w:t>(*) до 10 декември 2014 г.</w:t>
      </w:r>
    </w:p>
    <w:p>
      <w:pPr>
        <w:jc w:val="center"/>
        <w:rPr>
          <w:rFonts w:ascii="Times New Roman" w:hAnsi="Times New Roman"/>
          <w:b/>
          <w:noProof/>
          <w:sz w:val="24"/>
          <w:szCs w:val="24"/>
        </w:rPr>
      </w:pPr>
      <w:r>
        <w:rPr>
          <w:rFonts w:ascii="Times New Roman" w:hAnsi="Times New Roman"/>
          <w:b/>
          <w:noProof/>
          <w:sz w:val="24"/>
        </w:rPr>
        <w:t>Внос на банани в рамките на механизма за стабилизиране</w:t>
      </w:r>
    </w:p>
    <w:p>
      <w:pPr>
        <w:jc w:val="both"/>
        <w:rPr>
          <w:rFonts w:ascii="Times New Roman" w:hAnsi="Times New Roman"/>
          <w:b/>
          <w:noProof/>
          <w:sz w:val="24"/>
          <w:szCs w:val="24"/>
        </w:rPr>
      </w:pPr>
      <w:r>
        <w:rPr>
          <w:rFonts w:ascii="Times New Roman" w:hAnsi="Times New Roman"/>
          <w:b/>
          <w:noProof/>
          <w:sz w:val="24"/>
        </w:rPr>
        <w:t>6.</w:t>
      </w:r>
      <w:r>
        <w:rPr>
          <w:noProof/>
        </w:rPr>
        <w:tab/>
      </w:r>
      <w:r>
        <w:rPr>
          <w:rFonts w:ascii="Times New Roman" w:hAnsi="Times New Roman"/>
          <w:b/>
          <w:noProof/>
          <w:sz w:val="24"/>
        </w:rPr>
        <w:t>ЗАКЛЮЧЕНИЕ</w:t>
      </w:r>
    </w:p>
    <w:p>
      <w:pPr>
        <w:jc w:val="both"/>
        <w:rPr>
          <w:rFonts w:ascii="Times New Roman" w:hAnsi="Times New Roman"/>
          <w:noProof/>
          <w:sz w:val="24"/>
          <w:szCs w:val="24"/>
        </w:rPr>
      </w:pPr>
      <w:r>
        <w:rPr>
          <w:rFonts w:ascii="Times New Roman" w:hAnsi="Times New Roman"/>
          <w:noProof/>
          <w:sz w:val="24"/>
        </w:rPr>
        <w:t>Все още е прекалено рано да се направи окончателна оценка на въздействието на частта от споразумението, която се отнася до търговията.</w:t>
      </w:r>
    </w:p>
    <w:p>
      <w:pPr>
        <w:jc w:val="both"/>
        <w:rPr>
          <w:rFonts w:ascii="Times New Roman" w:hAnsi="Times New Roman"/>
          <w:noProof/>
          <w:sz w:val="24"/>
          <w:szCs w:val="24"/>
        </w:rPr>
      </w:pPr>
      <w:r>
        <w:rPr>
          <w:rFonts w:ascii="Times New Roman" w:hAnsi="Times New Roman"/>
          <w:noProof/>
          <w:sz w:val="24"/>
        </w:rPr>
        <w:t>Въпреки неблагоприятната обстановка в световен мащаб, включително общия спад в търсенето в световен мащаб през 2014 г., търговските потоци между ЕС и Централна Америка останаха значително стабилни и отбелязаха значително увеличение в определени сектори. Търговските потоци на ЕС се увеличиха с повечето държави от Централна Америка, с изключение на Панама.  Освен това сравнително ниското равнище на използване на наличните тарифни квоти сочи възможността за допълнително увеличаване на двустранния търговски обмен между двата региона.</w:t>
      </w:r>
    </w:p>
    <w:p>
      <w:pPr>
        <w:jc w:val="both"/>
        <w:rPr>
          <w:rFonts w:ascii="Times New Roman" w:hAnsi="Times New Roman"/>
          <w:noProof/>
          <w:sz w:val="24"/>
          <w:szCs w:val="24"/>
        </w:rPr>
      </w:pPr>
      <w:r>
        <w:rPr>
          <w:rFonts w:ascii="Times New Roman" w:hAnsi="Times New Roman"/>
          <w:noProof/>
          <w:sz w:val="24"/>
        </w:rPr>
        <w:t>По отношение на бананите, вносът от държавите от Централна Америка като цяло се е запазил стабилен и под установените равнища на вноса, задействащи механизма, така че не е необходимо да се разглежда възможността за започването на евентуално суспендиране на прилагането на преференциални мита.</w:t>
      </w:r>
    </w:p>
    <w:p>
      <w:pPr>
        <w:jc w:val="both"/>
        <w:rPr>
          <w:rFonts w:ascii="Times New Roman" w:hAnsi="Times New Roman"/>
          <w:noProof/>
          <w:sz w:val="24"/>
          <w:szCs w:val="24"/>
        </w:rPr>
      </w:pPr>
      <w:r>
        <w:rPr>
          <w:rFonts w:ascii="Times New Roman" w:hAnsi="Times New Roman"/>
          <w:noProof/>
          <w:sz w:val="24"/>
        </w:rPr>
        <w:t xml:space="preserve">Беше договорено с Централна Америка да се извърши технически преглед на статистическите методи и данни за търговските потоци, което би позволило да се направи по-подробен анализ в бъдеще. </w:t>
      </w:r>
    </w:p>
    <w:p>
      <w:pPr>
        <w:jc w:val="both"/>
        <w:rPr>
          <w:rFonts w:ascii="Times New Roman" w:hAnsi="Times New Roman"/>
          <w:noProof/>
          <w:sz w:val="24"/>
          <w:szCs w:val="24"/>
        </w:rPr>
      </w:pPr>
      <w:r>
        <w:rPr>
          <w:rFonts w:ascii="Times New Roman" w:hAnsi="Times New Roman"/>
          <w:noProof/>
          <w:sz w:val="24"/>
        </w:rPr>
        <w:t xml:space="preserve">Общото заключение на Комисията след първата година на прилагане е, че институционалната рамка на споразумението е въведена бързо и функционира и че процесът на изпълнение е като цяло положителен. Формалният процес между страните за прилагане на споразумението ще продължи в контекста на заседанията на различните органи по изпълнението, които се очаква да се проведат в средата на 2015 г. </w:t>
      </w:r>
    </w:p>
    <w:p>
      <w:pPr>
        <w:jc w:val="both"/>
        <w:rPr>
          <w:rFonts w:ascii="Times New Roman" w:hAnsi="Times New Roman"/>
          <w:noProof/>
          <w:sz w:val="24"/>
          <w:szCs w:val="24"/>
        </w:rPr>
      </w:pPr>
      <w:r>
        <w:rPr>
          <w:rFonts w:ascii="Times New Roman" w:hAnsi="Times New Roman"/>
          <w:noProof/>
          <w:sz w:val="24"/>
        </w:rPr>
        <w:t>И през втората година от прилагането целта продължава да бъде правилното прилагане на споразумението, за да се даде възможност на икономическите оператори от двата региона да се възползват максимално от възможностите, които то предлага. Комисията е ангажирана с дейности, насочени към повишаване на осведомеността на икономическите оператори по отношение на възможностите, предоставени от споразумението. Тези действия се извършват както в ЕС, така и в Централна Америка, включително чрез проекти за сътрудничество в Централна Америка.</w:t>
      </w:r>
    </w:p>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EUAlbertina">
    <w:altName w:val="EU Albertina"/>
    <w:charset w:val="00"/>
    <w:family w:val="roman"/>
    <w:pitch w:val="default"/>
    <w:sig w:usb0="00000003" w:usb1="00000000" w:usb2="00000000" w:usb3="00000000" w:csb0="00000001"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15</w:t>
    </w:r>
    <w:r>
      <w:rPr>
        <w:noProof/>
      </w:rP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pPr>
      <w:r>
        <w:rPr>
          <w:rStyle w:val="FootnoteReference"/>
        </w:rPr>
        <w:footnoteRef/>
      </w:r>
      <w:r>
        <w:t xml:space="preserve"> </w:t>
      </w:r>
      <w:r>
        <w:tab/>
      </w:r>
      <w:r>
        <w:rPr>
          <w:noProof w:val="0"/>
          <w:sz w:val="18"/>
        </w:rPr>
        <w:t xml:space="preserve">Споразумението се прилага временно в ЕС докато всички държави членки го ратифицират. Информация за статуса на ратификацията е публикувана на уебсайта на Съвета: </w:t>
      </w:r>
      <w:hyperlink r:id="rId1">
        <w:r>
          <w:rPr>
            <w:rStyle w:val="Hyperlink"/>
            <w:noProof w:val="0"/>
            <w:sz w:val="18"/>
          </w:rPr>
          <w:t>http://www.consilium.europa.eu/policies/agreements/search-the-agreements-database?command=details&amp;lang=en&amp;aid=2012001&amp;doclang=EN</w:t>
        </w:r>
      </w:hyperlink>
    </w:p>
  </w:footnote>
  <w:footnote w:id="2">
    <w:p>
      <w:pPr>
        <w:pStyle w:val="FootnoteText"/>
      </w:pPr>
      <w:r>
        <w:rPr>
          <w:rStyle w:val="FootnoteReference"/>
        </w:rPr>
        <w:footnoteRef/>
      </w:r>
      <w:r>
        <w:t xml:space="preserve"> </w:t>
      </w:r>
      <w:r>
        <w:tab/>
      </w:r>
      <w:r>
        <w:rPr>
          <w:sz w:val="18"/>
        </w:rPr>
        <w:t xml:space="preserve">Вж.: </w:t>
      </w:r>
      <w:hyperlink r:id="rId2">
        <w:r>
          <w:rPr>
            <w:rStyle w:val="Hyperlink"/>
            <w:sz w:val="18"/>
          </w:rPr>
          <w:t>http://eur-lex.europa.eu/legal-content/BG/TXT/?uri=CELEX:32013R0020</w:t>
        </w:r>
      </w:hyperlink>
    </w:p>
  </w:footnote>
  <w:footnote w:id="3">
    <w:p>
      <w:pPr>
        <w:pStyle w:val="FootnoteText"/>
        <w:rPr>
          <w:lang w:val="fr-BE"/>
        </w:rPr>
      </w:pPr>
      <w:r>
        <w:rPr>
          <w:rStyle w:val="FootnoteReference"/>
        </w:rPr>
        <w:footnoteRef/>
      </w:r>
      <w:r>
        <w:t xml:space="preserve"> </w:t>
      </w:r>
      <w:r>
        <w:tab/>
        <w:t>Данни на МВФ.</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F18C4"/>
    <w:multiLevelType w:val="hybridMultilevel"/>
    <w:tmpl w:val="921E1D06"/>
    <w:lvl w:ilvl="0" w:tplc="BAFA96D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061B7B22"/>
    <w:multiLevelType w:val="hybridMultilevel"/>
    <w:tmpl w:val="3DBEFB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85420D0"/>
    <w:multiLevelType w:val="hybridMultilevel"/>
    <w:tmpl w:val="24A64B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11297400"/>
    <w:multiLevelType w:val="hybridMultilevel"/>
    <w:tmpl w:val="E6920D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223C0C6C"/>
    <w:multiLevelType w:val="hybridMultilevel"/>
    <w:tmpl w:val="838ADDCE"/>
    <w:lvl w:ilvl="0" w:tplc="08090001">
      <w:start w:val="1"/>
      <w:numFmt w:val="bullet"/>
      <w:lvlText w:val=""/>
      <w:lvlJc w:val="left"/>
      <w:pPr>
        <w:ind w:left="787" w:hanging="360"/>
      </w:pPr>
      <w:rPr>
        <w:rFonts w:ascii="Symbol" w:hAnsi="Symbol" w:hint="default"/>
      </w:rPr>
    </w:lvl>
    <w:lvl w:ilvl="1" w:tplc="08090003" w:tentative="1">
      <w:start w:val="1"/>
      <w:numFmt w:val="bullet"/>
      <w:lvlText w:val="o"/>
      <w:lvlJc w:val="left"/>
      <w:pPr>
        <w:ind w:left="1507" w:hanging="360"/>
      </w:pPr>
      <w:rPr>
        <w:rFonts w:ascii="Courier New" w:hAnsi="Courier New" w:cs="Courier New" w:hint="default"/>
      </w:rPr>
    </w:lvl>
    <w:lvl w:ilvl="2" w:tplc="08090005" w:tentative="1">
      <w:start w:val="1"/>
      <w:numFmt w:val="bullet"/>
      <w:lvlText w:val=""/>
      <w:lvlJc w:val="left"/>
      <w:pPr>
        <w:ind w:left="2227" w:hanging="360"/>
      </w:pPr>
      <w:rPr>
        <w:rFonts w:ascii="Wingdings" w:hAnsi="Wingdings" w:hint="default"/>
      </w:rPr>
    </w:lvl>
    <w:lvl w:ilvl="3" w:tplc="08090001" w:tentative="1">
      <w:start w:val="1"/>
      <w:numFmt w:val="bullet"/>
      <w:lvlText w:val=""/>
      <w:lvlJc w:val="left"/>
      <w:pPr>
        <w:ind w:left="2947" w:hanging="360"/>
      </w:pPr>
      <w:rPr>
        <w:rFonts w:ascii="Symbol" w:hAnsi="Symbol" w:hint="default"/>
      </w:rPr>
    </w:lvl>
    <w:lvl w:ilvl="4" w:tplc="08090003" w:tentative="1">
      <w:start w:val="1"/>
      <w:numFmt w:val="bullet"/>
      <w:lvlText w:val="o"/>
      <w:lvlJc w:val="left"/>
      <w:pPr>
        <w:ind w:left="3667" w:hanging="360"/>
      </w:pPr>
      <w:rPr>
        <w:rFonts w:ascii="Courier New" w:hAnsi="Courier New" w:cs="Courier New" w:hint="default"/>
      </w:rPr>
    </w:lvl>
    <w:lvl w:ilvl="5" w:tplc="08090005" w:tentative="1">
      <w:start w:val="1"/>
      <w:numFmt w:val="bullet"/>
      <w:lvlText w:val=""/>
      <w:lvlJc w:val="left"/>
      <w:pPr>
        <w:ind w:left="4387" w:hanging="360"/>
      </w:pPr>
      <w:rPr>
        <w:rFonts w:ascii="Wingdings" w:hAnsi="Wingdings" w:hint="default"/>
      </w:rPr>
    </w:lvl>
    <w:lvl w:ilvl="6" w:tplc="08090001" w:tentative="1">
      <w:start w:val="1"/>
      <w:numFmt w:val="bullet"/>
      <w:lvlText w:val=""/>
      <w:lvlJc w:val="left"/>
      <w:pPr>
        <w:ind w:left="5107" w:hanging="360"/>
      </w:pPr>
      <w:rPr>
        <w:rFonts w:ascii="Symbol" w:hAnsi="Symbol" w:hint="default"/>
      </w:rPr>
    </w:lvl>
    <w:lvl w:ilvl="7" w:tplc="08090003" w:tentative="1">
      <w:start w:val="1"/>
      <w:numFmt w:val="bullet"/>
      <w:lvlText w:val="o"/>
      <w:lvlJc w:val="left"/>
      <w:pPr>
        <w:ind w:left="5827" w:hanging="360"/>
      </w:pPr>
      <w:rPr>
        <w:rFonts w:ascii="Courier New" w:hAnsi="Courier New" w:cs="Courier New" w:hint="default"/>
      </w:rPr>
    </w:lvl>
    <w:lvl w:ilvl="8" w:tplc="08090005" w:tentative="1">
      <w:start w:val="1"/>
      <w:numFmt w:val="bullet"/>
      <w:lvlText w:val=""/>
      <w:lvlJc w:val="left"/>
      <w:pPr>
        <w:ind w:left="6547" w:hanging="360"/>
      </w:pPr>
      <w:rPr>
        <w:rFonts w:ascii="Wingdings" w:hAnsi="Wingdings" w:hint="default"/>
      </w:rPr>
    </w:lvl>
  </w:abstractNum>
  <w:abstractNum w:abstractNumId="5">
    <w:nsid w:val="22AB3B71"/>
    <w:multiLevelType w:val="hybridMultilevel"/>
    <w:tmpl w:val="4EB871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2D4A3803"/>
    <w:multiLevelType w:val="hybridMultilevel"/>
    <w:tmpl w:val="13F4CB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480074D2"/>
    <w:multiLevelType w:val="hybridMultilevel"/>
    <w:tmpl w:val="00E82D8E"/>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nsid w:val="4F677412"/>
    <w:multiLevelType w:val="hybridMultilevel"/>
    <w:tmpl w:val="38B042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522947C2"/>
    <w:multiLevelType w:val="hybridMultilevel"/>
    <w:tmpl w:val="605C3C46"/>
    <w:lvl w:ilvl="0" w:tplc="08090001">
      <w:start w:val="1"/>
      <w:numFmt w:val="bullet"/>
      <w:lvlText w:val=""/>
      <w:lvlJc w:val="left"/>
      <w:pPr>
        <w:ind w:left="774" w:hanging="360"/>
      </w:pPr>
      <w:rPr>
        <w:rFonts w:ascii="Symbol" w:hAnsi="Symbol" w:hint="default"/>
      </w:rPr>
    </w:lvl>
    <w:lvl w:ilvl="1" w:tplc="08090003" w:tentative="1">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0">
    <w:nsid w:val="5678066E"/>
    <w:multiLevelType w:val="hybridMultilevel"/>
    <w:tmpl w:val="ABEE58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584929DD"/>
    <w:multiLevelType w:val="hybridMultilevel"/>
    <w:tmpl w:val="9E908E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5A774710"/>
    <w:multiLevelType w:val="hybridMultilevel"/>
    <w:tmpl w:val="EAEAB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6F9859B2"/>
    <w:multiLevelType w:val="hybridMultilevel"/>
    <w:tmpl w:val="921E1D06"/>
    <w:lvl w:ilvl="0" w:tplc="BAFA96D8">
      <w:start w:val="1"/>
      <w:numFmt w:val="lowerRoman"/>
      <w:lvlText w:val="%1."/>
      <w:lvlJc w:val="righ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7BBD4FE1"/>
    <w:multiLevelType w:val="hybridMultilevel"/>
    <w:tmpl w:val="6F8E12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7D60296C"/>
    <w:multiLevelType w:val="hybridMultilevel"/>
    <w:tmpl w:val="BECAD45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5"/>
  </w:num>
  <w:num w:numId="2">
    <w:abstractNumId w:val="6"/>
  </w:num>
  <w:num w:numId="3">
    <w:abstractNumId w:val="8"/>
  </w:num>
  <w:num w:numId="4">
    <w:abstractNumId w:val="7"/>
  </w:num>
  <w:num w:numId="5">
    <w:abstractNumId w:val="0"/>
  </w:num>
  <w:num w:numId="6">
    <w:abstractNumId w:val="13"/>
  </w:num>
  <w:num w:numId="7">
    <w:abstractNumId w:val="3"/>
  </w:num>
  <w:num w:numId="8">
    <w:abstractNumId w:val="12"/>
  </w:num>
  <w:num w:numId="9">
    <w:abstractNumId w:val="4"/>
  </w:num>
  <w:num w:numId="10">
    <w:abstractNumId w:val="5"/>
  </w:num>
  <w:num w:numId="11">
    <w:abstractNumId w:val="2"/>
  </w:num>
  <w:num w:numId="12">
    <w:abstractNumId w:val="10"/>
  </w:num>
  <w:num w:numId="13">
    <w:abstractNumId w:val="11"/>
  </w:num>
  <w:num w:numId="14">
    <w:abstractNumId w:val="14"/>
  </w:num>
  <w:num w:numId="15">
    <w:abstractNumId w:val="1"/>
  </w:num>
  <w:num w:numId="16">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EEECEEBAACE64509929C4E5219B37561"/>
    <w:docVar w:name="LW_CROSSREFERENCE" w:val="&lt;UNUSED&gt;"/>
    <w:docVar w:name="LW_DocType" w:val="NORMAL"/>
    <w:docVar w:name="LW_EMISSION" w:val="18.3.2015"/>
    <w:docVar w:name="LW_EMISSION_ISODATE" w:val="2015-03-18"/>
    <w:docVar w:name="LW_EMISSION_LOCATION" w:val="BRX"/>
    <w:docVar w:name="LW_EMISSION_PREFIX" w:val="Брюксел, "/>
    <w:docVar w:name="LW_EMISSION_SUFFIX" w:val=" \u1075?."/>
    <w:docVar w:name="LW_ID_DOCTYPE_NONLW" w:val="CP-006"/>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5) 131"/>
    <w:docVar w:name="LW_REF.INTERNE" w:val="&lt;UNUSED&gt;"/>
    <w:docVar w:name="LW_SOUS.TITRE.OBJ.CP" w:val="&lt;UNUSED&gt;"/>
    <w:docVar w:name="LW_SUPERTITRE" w:val="&lt;UNUSED&gt;"/>
    <w:docVar w:name="LW_TITRE.OBJ.CP" w:val="\u1043?\u1086?\u1076?\u1080?\u1096?\u1077?\u1085? \u1076?\u1086?\u1082?\u1083?\u1072?\u1076? \u1086?\u1090?\u1085?\u1086?\u1089?\u1085?\u1086? \u1080?\u1079?\u1087?\u1098?\u1083?\u1085?\u1077?\u1085?\u1080?\u1077?\u1090?\u1086? \u1085?\u1072? \u1095?\u1072?\u1089?\u1090? IV \u1086?\u1090? \u1057?\u1087?\u1086?\u1088?\u1072?\u1079?\u1091?\u1084?\u1077?\u1085?\u1080?\u1077?\u1090?\u1086? \u1079?\u1072? \u1072?\u1089?\u1086?\u1094?\u1080?\u1080?\u1088?\u1072?\u1085?\u1077? \u1045?\u1057? \u8212? \u1062?\u1077?\u1085?\u1090?\u1088?\u1072?\u1083?\u1085?\u1072? \u1040?\u1084?\u1077?\u1088?\u1080?\u1082?\u1072? "/>
    <w:docVar w:name="LW_TYPE.DOC.CP" w:val="\u1044?\u1054?\u1050?\u1051?\u1040?\u1044? \u1053?\u1040? \u1050?\u1054?\u1052?\u1048?\u1057?\u1048?\u1071?\u1058?\u1040? \u1044?\u1054? \u1045?\u1042?\u1056?\u1054?\u1055?\u1045?\u1049?\u1057?\u1050?\u1048?\u1071? \u1055?\u1040?\u1056?\u1051?\u1040?\u1052?\u1045?\u1053?\u1058? \u1048? \u1057?\u1066?\u1042?\u1045?\u1058?\u1040?"/>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link w:val="Header"/>
    <w:rPr>
      <w:rFonts w:ascii="Times New Roman" w:hAnsi="Times New Roman"/>
      <w:sz w:val="24"/>
      <w:szCs w:val="24"/>
      <w:lang w:eastAsia="bg-BG"/>
    </w:rPr>
  </w:style>
  <w:style w:type="paragraph" w:styleId="Footer">
    <w:name w:val="footer"/>
    <w:basedOn w:val="Normal"/>
    <w:link w:val="FooterChar"/>
    <w:uiPriority w:val="99"/>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link w:val="Footer"/>
    <w:uiPriority w:val="99"/>
    <w:rPr>
      <w:rFonts w:ascii="Times New Roman" w:hAnsi="Times New Roman"/>
      <w:sz w:val="24"/>
      <w:szCs w:val="24"/>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hAnsi="Times New Roman"/>
      <w:b/>
      <w:sz w:val="24"/>
      <w:szCs w:val="22"/>
      <w:lang w:eastAsia="bg-BG"/>
    </w:rPr>
  </w:style>
  <w:style w:type="character" w:styleId="Hyperlink">
    <w:name w:val="Hyperlink"/>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noProof/>
      <w:sz w:val="20"/>
      <w:szCs w:val="20"/>
    </w:rPr>
  </w:style>
  <w:style w:type="character" w:customStyle="1" w:styleId="FootnoteTextChar">
    <w:name w:val="Footnote Text Char"/>
    <w:link w:val="FootnoteText"/>
    <w:uiPriority w:val="99"/>
    <w:rPr>
      <w:rFonts w:ascii="Times New Roman" w:eastAsia="Times New Roman" w:hAnsi="Times New Roman"/>
      <w:noProof/>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noProof/>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noProof/>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noProof/>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FollowedHyperlink">
    <w:name w:val="FollowedHyperlink"/>
    <w:uiPriority w:val="99"/>
    <w:semiHidden/>
    <w:unhideWhenUsed/>
    <w:rPr>
      <w:color w:val="800080"/>
      <w:u w:val="single"/>
    </w:rPr>
  </w:style>
  <w:style w:type="paragraph" w:customStyle="1" w:styleId="CharCharChar">
    <w:name w:val="Char Char Char"/>
    <w:basedOn w:val="Normal"/>
    <w:next w:val="Normal"/>
    <w:pPr>
      <w:spacing w:after="160" w:line="240" w:lineRule="exact"/>
    </w:pPr>
    <w:rPr>
      <w:rFonts w:ascii="Tahoma" w:eastAsia="Times New Roman" w:hAnsi="Tahoma"/>
      <w:sz w:val="24"/>
      <w:szCs w:val="20"/>
    </w:rPr>
  </w:style>
  <w:style w:type="paragraph" w:styleId="ListParagraph">
    <w:name w:val="List Paragraph"/>
    <w:basedOn w:val="Normal"/>
    <w:uiPriority w:val="34"/>
    <w:qFormat/>
    <w:pPr>
      <w:spacing w:after="0" w:line="240" w:lineRule="auto"/>
      <w:ind w:left="720"/>
      <w:contextualSpacing/>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bg-BG" w:eastAsia="bg-BG" w:bidi="bg-BG"/>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536"/>
        <w:tab w:val="right" w:pos="9072"/>
      </w:tabs>
      <w:spacing w:after="0" w:line="240" w:lineRule="auto"/>
    </w:pPr>
    <w:rPr>
      <w:rFonts w:ascii="Times New Roman" w:hAnsi="Times New Roman"/>
      <w:sz w:val="24"/>
      <w:szCs w:val="24"/>
    </w:rPr>
  </w:style>
  <w:style w:type="character" w:customStyle="1" w:styleId="HeaderChar">
    <w:name w:val="Header Char"/>
    <w:link w:val="Header"/>
    <w:rPr>
      <w:rFonts w:ascii="Times New Roman" w:hAnsi="Times New Roman"/>
      <w:sz w:val="24"/>
      <w:szCs w:val="24"/>
      <w:lang w:eastAsia="bg-BG"/>
    </w:rPr>
  </w:style>
  <w:style w:type="paragraph" w:styleId="Footer">
    <w:name w:val="footer"/>
    <w:basedOn w:val="Normal"/>
    <w:link w:val="FooterChar"/>
    <w:uiPriority w:val="99"/>
    <w:pPr>
      <w:tabs>
        <w:tab w:val="center" w:pos="4536"/>
        <w:tab w:val="right" w:pos="9072"/>
      </w:tabs>
      <w:spacing w:after="0" w:line="240" w:lineRule="auto"/>
    </w:pPr>
    <w:rPr>
      <w:rFonts w:ascii="Times New Roman" w:hAnsi="Times New Roman"/>
      <w:sz w:val="24"/>
      <w:szCs w:val="24"/>
    </w:rPr>
  </w:style>
  <w:style w:type="character" w:customStyle="1" w:styleId="FooterChar">
    <w:name w:val="Footer Char"/>
    <w:link w:val="Footer"/>
    <w:uiPriority w:val="99"/>
    <w:rPr>
      <w:rFonts w:ascii="Times New Roman" w:hAnsi="Times New Roman"/>
      <w:sz w:val="24"/>
      <w:szCs w:val="24"/>
      <w:lang w:eastAsia="bg-BG"/>
    </w:rPr>
  </w:style>
  <w:style w:type="paragraph" w:customStyle="1" w:styleId="Typedudocument">
    <w:name w:val="Type du document"/>
    <w:basedOn w:val="Normal"/>
    <w:next w:val="Normal"/>
    <w:link w:val="TypedudocumentChar"/>
    <w:pPr>
      <w:spacing w:before="360" w:after="0" w:line="240" w:lineRule="auto"/>
      <w:jc w:val="center"/>
    </w:pPr>
    <w:rPr>
      <w:rFonts w:ascii="Times New Roman" w:hAnsi="Times New Roman"/>
      <w:b/>
      <w:sz w:val="24"/>
    </w:rPr>
  </w:style>
  <w:style w:type="paragraph" w:customStyle="1" w:styleId="Titreobjet">
    <w:name w:val="Titre objet"/>
    <w:basedOn w:val="Normal"/>
    <w:next w:val="Normal"/>
    <w:pPr>
      <w:spacing w:before="360" w:after="360" w:line="240" w:lineRule="auto"/>
      <w:jc w:val="center"/>
    </w:pPr>
    <w:rPr>
      <w:rFonts w:ascii="Times New Roman" w:hAnsi="Times New Roman"/>
      <w:b/>
      <w:sz w:val="24"/>
    </w:rPr>
  </w:style>
  <w:style w:type="character" w:customStyle="1" w:styleId="TypedudocumentChar">
    <w:name w:val="Type du document Char"/>
    <w:link w:val="Typedudocument"/>
    <w:rPr>
      <w:rFonts w:ascii="Times New Roman" w:hAnsi="Times New Roman"/>
      <w:b/>
      <w:sz w:val="24"/>
      <w:szCs w:val="22"/>
      <w:lang w:eastAsia="bg-BG"/>
    </w:rPr>
  </w:style>
  <w:style w:type="character" w:styleId="Hyperlink">
    <w:name w:val="Hyperlink"/>
    <w:rPr>
      <w:color w:val="0000FF"/>
      <w:u w:val="single"/>
    </w:rPr>
  </w:style>
  <w:style w:type="paragraph" w:styleId="FootnoteText">
    <w:name w:val="footnote text"/>
    <w:basedOn w:val="Normal"/>
    <w:link w:val="FootnoteTextChar"/>
    <w:uiPriority w:val="99"/>
    <w:unhideWhenUsed/>
    <w:pPr>
      <w:spacing w:after="0" w:line="240" w:lineRule="auto"/>
      <w:ind w:left="720" w:hanging="720"/>
      <w:jc w:val="both"/>
    </w:pPr>
    <w:rPr>
      <w:rFonts w:ascii="Times New Roman" w:eastAsia="Times New Roman" w:hAnsi="Times New Roman"/>
      <w:noProof/>
      <w:sz w:val="20"/>
      <w:szCs w:val="20"/>
    </w:rPr>
  </w:style>
  <w:style w:type="character" w:customStyle="1" w:styleId="FootnoteTextChar">
    <w:name w:val="Footnote Text Char"/>
    <w:link w:val="FootnoteText"/>
    <w:uiPriority w:val="99"/>
    <w:rPr>
      <w:rFonts w:ascii="Times New Roman" w:eastAsia="Times New Roman" w:hAnsi="Times New Roman"/>
      <w:noProof/>
    </w:rPr>
  </w:style>
  <w:style w:type="character" w:styleId="FootnoteReference">
    <w:name w:val="footnote reference"/>
    <w:uiPriority w:val="99"/>
    <w:unhideWhenUsed/>
    <w:rPr>
      <w:shd w:val="clear" w:color="auto" w:fill="auto"/>
      <w:vertAlign w:val="superscript"/>
    </w:rPr>
  </w:style>
  <w:style w:type="paragraph" w:customStyle="1" w:styleId="Text1">
    <w:name w:val="Text 1"/>
    <w:basedOn w:val="Normal"/>
    <w:pPr>
      <w:spacing w:before="120" w:after="120" w:line="240" w:lineRule="auto"/>
      <w:ind w:left="850"/>
      <w:jc w:val="both"/>
    </w:pPr>
    <w:rPr>
      <w:rFonts w:ascii="Times New Roman" w:eastAsia="Times New Roman" w:hAnsi="Times New Roman"/>
      <w:noProof/>
      <w:sz w:val="24"/>
      <w:szCs w:val="20"/>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noProof/>
      <w:sz w:val="24"/>
      <w:szCs w:val="20"/>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noProof/>
      <w:sz w:val="24"/>
      <w:szCs w:val="20"/>
    </w:rPr>
  </w:style>
  <w:style w:type="paragraph" w:customStyle="1" w:styleId="CM1">
    <w:name w:val="CM1"/>
    <w:basedOn w:val="Normal"/>
    <w:next w:val="Normal"/>
    <w:uiPriority w:val="99"/>
    <w:pPr>
      <w:autoSpaceDE w:val="0"/>
      <w:autoSpaceDN w:val="0"/>
      <w:adjustRightInd w:val="0"/>
      <w:spacing w:after="0" w:line="240" w:lineRule="auto"/>
    </w:pPr>
    <w:rPr>
      <w:rFonts w:ascii="EUAlbertina" w:hAnsi="EUAlbertina"/>
      <w:sz w:val="24"/>
      <w:szCs w:val="24"/>
    </w:rPr>
  </w:style>
  <w:style w:type="character" w:styleId="FollowedHyperlink">
    <w:name w:val="FollowedHyperlink"/>
    <w:uiPriority w:val="99"/>
    <w:semiHidden/>
    <w:unhideWhenUsed/>
    <w:rPr>
      <w:color w:val="800080"/>
      <w:u w:val="single"/>
    </w:rPr>
  </w:style>
  <w:style w:type="paragraph" w:customStyle="1" w:styleId="CharCharChar">
    <w:name w:val="Char Char Char"/>
    <w:basedOn w:val="Normal"/>
    <w:next w:val="Normal"/>
    <w:pPr>
      <w:spacing w:after="160" w:line="240" w:lineRule="exact"/>
    </w:pPr>
    <w:rPr>
      <w:rFonts w:ascii="Tahoma" w:eastAsia="Times New Roman" w:hAnsi="Tahoma"/>
      <w:sz w:val="24"/>
      <w:szCs w:val="20"/>
    </w:rPr>
  </w:style>
  <w:style w:type="paragraph" w:styleId="ListParagraph">
    <w:name w:val="List Paragraph"/>
    <w:basedOn w:val="Normal"/>
    <w:uiPriority w:val="34"/>
    <w:qFormat/>
    <w:pPr>
      <w:spacing w:after="0" w:line="240" w:lineRule="auto"/>
      <w:ind w:left="720"/>
      <w:contextualSpacing/>
    </w:pPr>
    <w:rPr>
      <w:rFonts w:eastAsia="Times New Roman"/>
      <w:sz w:val="24"/>
      <w:szCs w:val="24"/>
    </w:r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eastAsia="bg-BG"/>
    </w:rPr>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4288947">
      <w:bodyDiv w:val="1"/>
      <w:marLeft w:val="0"/>
      <w:marRight w:val="0"/>
      <w:marTop w:val="0"/>
      <w:marBottom w:val="0"/>
      <w:divBdr>
        <w:top w:val="none" w:sz="0" w:space="0" w:color="auto"/>
        <w:left w:val="none" w:sz="0" w:space="0" w:color="auto"/>
        <w:bottom w:val="none" w:sz="0" w:space="0" w:color="auto"/>
        <w:right w:val="none" w:sz="0" w:space="0" w:color="auto"/>
      </w:divBdr>
    </w:div>
    <w:div w:id="307438099">
      <w:bodyDiv w:val="1"/>
      <w:marLeft w:val="0"/>
      <w:marRight w:val="0"/>
      <w:marTop w:val="0"/>
      <w:marBottom w:val="0"/>
      <w:divBdr>
        <w:top w:val="none" w:sz="0" w:space="0" w:color="auto"/>
        <w:left w:val="none" w:sz="0" w:space="0" w:color="auto"/>
        <w:bottom w:val="none" w:sz="0" w:space="0" w:color="auto"/>
        <w:right w:val="none" w:sz="0" w:space="0" w:color="auto"/>
      </w:divBdr>
    </w:div>
    <w:div w:id="572158073">
      <w:bodyDiv w:val="1"/>
      <w:marLeft w:val="0"/>
      <w:marRight w:val="0"/>
      <w:marTop w:val="0"/>
      <w:marBottom w:val="0"/>
      <w:divBdr>
        <w:top w:val="none" w:sz="0" w:space="0" w:color="auto"/>
        <w:left w:val="none" w:sz="0" w:space="0" w:color="auto"/>
        <w:bottom w:val="none" w:sz="0" w:space="0" w:color="auto"/>
        <w:right w:val="none" w:sz="0" w:space="0" w:color="auto"/>
      </w:divBdr>
    </w:div>
    <w:div w:id="576745633">
      <w:bodyDiv w:val="1"/>
      <w:marLeft w:val="0"/>
      <w:marRight w:val="0"/>
      <w:marTop w:val="0"/>
      <w:marBottom w:val="0"/>
      <w:divBdr>
        <w:top w:val="none" w:sz="0" w:space="0" w:color="auto"/>
        <w:left w:val="none" w:sz="0" w:space="0" w:color="auto"/>
        <w:bottom w:val="none" w:sz="0" w:space="0" w:color="auto"/>
        <w:right w:val="none" w:sz="0" w:space="0" w:color="auto"/>
      </w:divBdr>
    </w:div>
    <w:div w:id="661859194">
      <w:bodyDiv w:val="1"/>
      <w:marLeft w:val="0"/>
      <w:marRight w:val="0"/>
      <w:marTop w:val="0"/>
      <w:marBottom w:val="0"/>
      <w:divBdr>
        <w:top w:val="none" w:sz="0" w:space="0" w:color="auto"/>
        <w:left w:val="none" w:sz="0" w:space="0" w:color="auto"/>
        <w:bottom w:val="none" w:sz="0" w:space="0" w:color="auto"/>
        <w:right w:val="none" w:sz="0" w:space="0" w:color="auto"/>
      </w:divBdr>
    </w:div>
    <w:div w:id="766736814">
      <w:bodyDiv w:val="1"/>
      <w:marLeft w:val="0"/>
      <w:marRight w:val="0"/>
      <w:marTop w:val="0"/>
      <w:marBottom w:val="0"/>
      <w:divBdr>
        <w:top w:val="none" w:sz="0" w:space="0" w:color="auto"/>
        <w:left w:val="none" w:sz="0" w:space="0" w:color="auto"/>
        <w:bottom w:val="none" w:sz="0" w:space="0" w:color="auto"/>
        <w:right w:val="none" w:sz="0" w:space="0" w:color="auto"/>
      </w:divBdr>
    </w:div>
    <w:div w:id="876353499">
      <w:bodyDiv w:val="1"/>
      <w:marLeft w:val="0"/>
      <w:marRight w:val="0"/>
      <w:marTop w:val="0"/>
      <w:marBottom w:val="0"/>
      <w:divBdr>
        <w:top w:val="none" w:sz="0" w:space="0" w:color="auto"/>
        <w:left w:val="none" w:sz="0" w:space="0" w:color="auto"/>
        <w:bottom w:val="none" w:sz="0" w:space="0" w:color="auto"/>
        <w:right w:val="none" w:sz="0" w:space="0" w:color="auto"/>
      </w:divBdr>
    </w:div>
    <w:div w:id="1202747481">
      <w:bodyDiv w:val="1"/>
      <w:marLeft w:val="0"/>
      <w:marRight w:val="0"/>
      <w:marTop w:val="0"/>
      <w:marBottom w:val="0"/>
      <w:divBdr>
        <w:top w:val="none" w:sz="0" w:space="0" w:color="auto"/>
        <w:left w:val="none" w:sz="0" w:space="0" w:color="auto"/>
        <w:bottom w:val="none" w:sz="0" w:space="0" w:color="auto"/>
        <w:right w:val="none" w:sz="0" w:space="0" w:color="auto"/>
      </w:divBdr>
    </w:div>
    <w:div w:id="1285424796">
      <w:bodyDiv w:val="1"/>
      <w:marLeft w:val="0"/>
      <w:marRight w:val="0"/>
      <w:marTop w:val="0"/>
      <w:marBottom w:val="0"/>
      <w:divBdr>
        <w:top w:val="none" w:sz="0" w:space="0" w:color="auto"/>
        <w:left w:val="none" w:sz="0" w:space="0" w:color="auto"/>
        <w:bottom w:val="none" w:sz="0" w:space="0" w:color="auto"/>
        <w:right w:val="none" w:sz="0" w:space="0" w:color="auto"/>
      </w:divBdr>
    </w:div>
    <w:div w:id="1308900302">
      <w:bodyDiv w:val="1"/>
      <w:marLeft w:val="0"/>
      <w:marRight w:val="0"/>
      <w:marTop w:val="0"/>
      <w:marBottom w:val="0"/>
      <w:divBdr>
        <w:top w:val="none" w:sz="0" w:space="0" w:color="auto"/>
        <w:left w:val="none" w:sz="0" w:space="0" w:color="auto"/>
        <w:bottom w:val="none" w:sz="0" w:space="0" w:color="auto"/>
        <w:right w:val="none" w:sz="0" w:space="0" w:color="auto"/>
      </w:divBdr>
    </w:div>
    <w:div w:id="1336687984">
      <w:bodyDiv w:val="1"/>
      <w:marLeft w:val="0"/>
      <w:marRight w:val="0"/>
      <w:marTop w:val="0"/>
      <w:marBottom w:val="0"/>
      <w:divBdr>
        <w:top w:val="none" w:sz="0" w:space="0" w:color="auto"/>
        <w:left w:val="none" w:sz="0" w:space="0" w:color="auto"/>
        <w:bottom w:val="none" w:sz="0" w:space="0" w:color="auto"/>
        <w:right w:val="none" w:sz="0" w:space="0" w:color="auto"/>
      </w:divBdr>
    </w:div>
    <w:div w:id="1359283601">
      <w:bodyDiv w:val="1"/>
      <w:marLeft w:val="0"/>
      <w:marRight w:val="0"/>
      <w:marTop w:val="0"/>
      <w:marBottom w:val="0"/>
      <w:divBdr>
        <w:top w:val="none" w:sz="0" w:space="0" w:color="auto"/>
        <w:left w:val="none" w:sz="0" w:space="0" w:color="auto"/>
        <w:bottom w:val="none" w:sz="0" w:space="0" w:color="auto"/>
        <w:right w:val="none" w:sz="0" w:space="0" w:color="auto"/>
      </w:divBdr>
    </w:div>
    <w:div w:id="1744064578">
      <w:bodyDiv w:val="1"/>
      <w:marLeft w:val="0"/>
      <w:marRight w:val="0"/>
      <w:marTop w:val="0"/>
      <w:marBottom w:val="0"/>
      <w:divBdr>
        <w:top w:val="none" w:sz="0" w:space="0" w:color="auto"/>
        <w:left w:val="none" w:sz="0" w:space="0" w:color="auto"/>
        <w:bottom w:val="none" w:sz="0" w:space="0" w:color="auto"/>
        <w:right w:val="none" w:sz="0" w:space="0" w:color="auto"/>
      </w:divBdr>
    </w:div>
    <w:div w:id="1948925176">
      <w:bodyDiv w:val="1"/>
      <w:marLeft w:val="0"/>
      <w:marRight w:val="0"/>
      <w:marTop w:val="0"/>
      <w:marBottom w:val="0"/>
      <w:divBdr>
        <w:top w:val="none" w:sz="0" w:space="0" w:color="auto"/>
        <w:left w:val="none" w:sz="0" w:space="0" w:color="auto"/>
        <w:bottom w:val="none" w:sz="0" w:space="0" w:color="auto"/>
        <w:right w:val="none" w:sz="0" w:space="0" w:color="auto"/>
      </w:divBdr>
    </w:div>
    <w:div w:id="2038582802">
      <w:bodyDiv w:val="1"/>
      <w:marLeft w:val="0"/>
      <w:marRight w:val="0"/>
      <w:marTop w:val="0"/>
      <w:marBottom w:val="0"/>
      <w:divBdr>
        <w:top w:val="none" w:sz="0" w:space="0" w:color="auto"/>
        <w:left w:val="none" w:sz="0" w:space="0" w:color="auto"/>
        <w:bottom w:val="none" w:sz="0" w:space="0" w:color="auto"/>
        <w:right w:val="none" w:sz="0" w:space="0" w:color="auto"/>
      </w:divBdr>
    </w:div>
    <w:div w:id="21411926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fontTable" Target="fontTable.xml"/></Relationships>
</file>

<file path=word/_rels/footnotes.xml.rels><?xml version="1.0" encoding="UTF-8" standalone="yes"?>
<Relationships xmlns="http://schemas.openxmlformats.org/package/2006/relationships"><Relationship Id="rId2" Type="http://schemas.openxmlformats.org/officeDocument/2006/relationships/hyperlink" Target="http://eur-lex.europa.eu/legal-content/BG/TXT/?uri=CELEX:32013R0020" TargetMode="External"/><Relationship Id="rId1" Type="http://schemas.openxmlformats.org/officeDocument/2006/relationships/hyperlink" Target="http://www.consilium.europa.eu/policies/agreements/search-the-agreements-database?command=details&amp;lang=en&amp;aid=2012001&amp;doclang=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4E6385-86FD-42A7-B6DE-FD8582D37E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15</Pages>
  <Words>4823</Words>
  <Characters>26675</Characters>
  <Application>Microsoft Office Word</Application>
  <DocSecurity>0</DocSecurity>
  <Lines>666</Lines>
  <Paragraphs>335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31163</CharactersWithSpaces>
  <SharedDoc>false</SharedDoc>
  <HLinks>
    <vt:vector size="12" baseType="variant">
      <vt:variant>
        <vt:i4>2818109</vt:i4>
      </vt:variant>
      <vt:variant>
        <vt:i4>3</vt:i4>
      </vt:variant>
      <vt:variant>
        <vt:i4>0</vt:i4>
      </vt:variant>
      <vt:variant>
        <vt:i4>5</vt:i4>
      </vt:variant>
      <vt:variant>
        <vt:lpwstr>http://eur-lex.europa.eu/legal-content/EN/TXT/?uri=CELEX:32013R0020</vt:lpwstr>
      </vt:variant>
      <vt:variant>
        <vt:lpwstr/>
      </vt:variant>
      <vt:variant>
        <vt:i4>4259853</vt:i4>
      </vt:variant>
      <vt:variant>
        <vt:i4>0</vt:i4>
      </vt:variant>
      <vt:variant>
        <vt:i4>0</vt:i4>
      </vt:variant>
      <vt:variant>
        <vt:i4>5</vt:i4>
      </vt:variant>
      <vt:variant>
        <vt:lpwstr>http://www.consilium.europa.eu/policies/agreements/search-the-agreements-database?command=details&amp;lang=en&amp;aid=2012001&amp;doclang=EN</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23</cp:revision>
  <cp:lastPrinted>2015-02-16T09:07:00Z</cp:lastPrinted>
  <dcterms:created xsi:type="dcterms:W3CDTF">2015-03-08T10:38:00Z</dcterms:created>
  <dcterms:modified xsi:type="dcterms:W3CDTF">2015-03-12T13:07:00Z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