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D1" w:rsidRDefault="00B75E8E">
      <w:pPr>
        <w:pStyle w:val="Pagedecouverture"/>
        <w:rPr>
          <w:noProof/>
          <w:lang w:eastAsia="en-GB" w:bidi="ar-SA"/>
        </w:rPr>
      </w:pPr>
      <w:r>
        <w:rPr>
          <w:noProof/>
          <w:lang w:eastAsia="en-GB"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77FA8710AC44228996EE7B9790B4C2E" style="width:450.35pt;height:366.55pt">
            <v:imagedata r:id="rId12" o:title=""/>
          </v:shape>
        </w:pict>
      </w:r>
    </w:p>
    <w:p w:rsidR="002F45D1" w:rsidRDefault="002F45D1">
      <w:pPr>
        <w:rPr>
          <w:noProof/>
          <w:lang w:eastAsia="en-GB" w:bidi="ar-SA"/>
        </w:rPr>
        <w:sectPr w:rsidR="002F45D1">
          <w:footerReference w:type="default" r:id="rId13"/>
          <w:pgSz w:w="11907" w:h="16839"/>
          <w:pgMar w:top="1134" w:right="1417" w:bottom="1134" w:left="1417" w:header="709" w:footer="709" w:gutter="0"/>
          <w:pgNumType w:start="1"/>
          <w:cols w:space="720"/>
          <w:docGrid w:linePitch="360"/>
        </w:sectPr>
      </w:pPr>
    </w:p>
    <w:p w:rsidR="002F45D1" w:rsidRDefault="00B75E8E">
      <w:pPr>
        <w:pStyle w:val="Exposdesmotifstitre"/>
        <w:rPr>
          <w:noProof/>
          <w:lang w:eastAsia="en-GB" w:bidi="ar-SA"/>
        </w:rPr>
      </w:pPr>
      <w:r>
        <w:rPr>
          <w:noProof/>
          <w:lang w:eastAsia="en-GB" w:bidi="ar-SA"/>
        </w:rPr>
        <w:lastRenderedPageBreak/>
        <w:t>ОБЯСНИТЕЛЕН МЕМОРАНДУМ</w:t>
      </w:r>
    </w:p>
    <w:p w:rsidR="002F45D1" w:rsidRDefault="00B75E8E">
      <w:pPr>
        <w:pStyle w:val="ManualHeading1"/>
        <w:rPr>
          <w:noProof/>
        </w:rPr>
      </w:pPr>
      <w:r>
        <w:rPr>
          <w:noProof/>
        </w:rPr>
        <w:t>1.</w:t>
      </w:r>
      <w:r>
        <w:rPr>
          <w:noProof/>
        </w:rPr>
        <w:tab/>
        <w:t>КОНТЕКСТ НА ПРЕДЛОЖЕНИЕТО</w:t>
      </w:r>
    </w:p>
    <w:p w:rsidR="002F45D1" w:rsidRDefault="00B75E8E">
      <w:pPr>
        <w:pStyle w:val="ManualHeading2"/>
        <w:rPr>
          <w:noProof/>
        </w:rPr>
      </w:pPr>
      <w:r>
        <w:rPr>
          <w:noProof/>
        </w:rPr>
        <w:t>1.1.</w:t>
      </w:r>
      <w:r>
        <w:rPr>
          <w:noProof/>
        </w:rPr>
        <w:tab/>
        <w:t>Общ контекст</w:t>
      </w:r>
    </w:p>
    <w:p w:rsidR="002F45D1" w:rsidRDefault="00B75E8E">
      <w:pPr>
        <w:spacing w:after="0"/>
        <w:rPr>
          <w:noProof/>
        </w:rPr>
      </w:pPr>
      <w:r>
        <w:rPr>
          <w:noProof/>
        </w:rPr>
        <w:t xml:space="preserve">Предприятията традиционно </w:t>
      </w:r>
      <w:r>
        <w:rPr>
          <w:noProof/>
        </w:rPr>
        <w:t>разглеждат данъчното планиране като легитимна дейност въз основа на схващането, че за целта те използват законни механизми, чрез които да намалят данъчните си задължения. Същевременно през последните години данъчното планиране става все по-усложнено, разви</w:t>
      </w:r>
      <w:r>
        <w:rPr>
          <w:noProof/>
        </w:rPr>
        <w:t xml:space="preserve">ва се и обхваща различни държавни юрисдикции, като пренасочва облагаемите печалби към държави с благоприятни данъчни режими. Този „агресивен“ начин на данъчно планиране може да приеме разнообразни форми, като например използване на техническите аспекти на </w:t>
      </w:r>
      <w:r>
        <w:rPr>
          <w:noProof/>
        </w:rPr>
        <w:t>данъчната система или на несъответствията между две или повече данъчни системи с цел намаляване или избягване на данъчните задължения. В резултат на това може да се стигне до двойно приспадане на данъците (например един и същ разход се приспада както в дър</w:t>
      </w:r>
      <w:r>
        <w:rPr>
          <w:noProof/>
        </w:rPr>
        <w:t>жавата на източника, така и в държавата, на която дружеството е местно лице), а също и до двойно данъчно необлагане (например даден доход не се облага с данък в държавата на източника, нито в държавата, на която получателят е местно лице)</w:t>
      </w:r>
      <w:r>
        <w:rPr>
          <w:rStyle w:val="FootnoteReference"/>
          <w:noProof/>
        </w:rPr>
        <w:footnoteReference w:id="1"/>
      </w:r>
      <w:r>
        <w:rPr>
          <w:noProof/>
        </w:rPr>
        <w:t>. Подобни практик</w:t>
      </w:r>
      <w:r>
        <w:rPr>
          <w:noProof/>
        </w:rPr>
        <w:t>и в много случаи се улесняват от становищата, издавани от националните администрации, чрез които дружествата получават потвърждение за начина, по който дадена сделка ще бъде обложена с данък съгласно действащото законодателство, като по този начин се предо</w:t>
      </w:r>
      <w:r>
        <w:rPr>
          <w:noProof/>
        </w:rPr>
        <w:t>ставя правна сигурност за стопанската структура, която се създава. Въпреки че държавите членки са длъжни да гарантират, че данъчните им правила са съобразени с действащото европейско и национално законодателство, липсата на прозрачност по отношение на тези</w:t>
      </w:r>
      <w:r>
        <w:rPr>
          <w:noProof/>
        </w:rPr>
        <w:t xml:space="preserve"> правила може да окаже влияние върху други държави, които са свързани с адресатите на тези становища. </w:t>
      </w:r>
    </w:p>
    <w:p w:rsidR="002F45D1" w:rsidRDefault="00B75E8E">
      <w:pPr>
        <w:rPr>
          <w:noProof/>
        </w:rPr>
      </w:pPr>
      <w:r>
        <w:rPr>
          <w:noProof/>
        </w:rPr>
        <w:t>Избягването на данъци, данъчните измами и укриването на данъци имат трансгранично измерение, което е изключително важно. Глобализацията и нарастващата мо</w:t>
      </w:r>
      <w:r>
        <w:rPr>
          <w:noProof/>
        </w:rPr>
        <w:t>билност на данъкоплатците могат да ограничат възможностите на държавите членки да оценяват правилно данъчните основи. Това на свой ред може да засегне действието на данъчните системи и да доведе до избягване на данъчно облагане и укриване на данъци, като п</w:t>
      </w:r>
      <w:r>
        <w:rPr>
          <w:noProof/>
        </w:rPr>
        <w:t xml:space="preserve">о този начин се превърне в заплаха за функционирането на вътрешния пазар. </w:t>
      </w:r>
    </w:p>
    <w:p w:rsidR="002F45D1" w:rsidRDefault="00B75E8E">
      <w:pPr>
        <w:rPr>
          <w:noProof/>
        </w:rPr>
      </w:pPr>
      <w:r>
        <w:rPr>
          <w:noProof/>
        </w:rPr>
        <w:t>Единствената възможност за ефективно преодоляване на този проблем е държавите членки да се съгласят да предприемат общи действия. Затова подобряването на административното сътруднич</w:t>
      </w:r>
      <w:r>
        <w:rPr>
          <w:noProof/>
        </w:rPr>
        <w:t>ество между данъчните администрации на държавите членки заема централно място в стратегията на Комисията.</w:t>
      </w:r>
    </w:p>
    <w:p w:rsidR="002F45D1" w:rsidRDefault="00B75E8E">
      <w:pPr>
        <w:rPr>
          <w:noProof/>
          <w:szCs w:val="24"/>
        </w:rPr>
      </w:pPr>
      <w:r>
        <w:rPr>
          <w:noProof/>
        </w:rPr>
        <w:t>При приемането на Директива 2011/16/ЕС на Съвета целта бе тя да замени предходна директива, чиито разпоредби бяха насочени към оказването на взаимопом</w:t>
      </w:r>
      <w:r>
        <w:rPr>
          <w:noProof/>
        </w:rPr>
        <w:t>ощ между държавите членки (Директива 77/799/ЕИО на Съвета), за да се отговори на потребността на държавите членки от засилено административно сътрудничество в областта на данъчното облагане.</w:t>
      </w:r>
    </w:p>
    <w:p w:rsidR="002F45D1" w:rsidRDefault="00B75E8E">
      <w:pPr>
        <w:rPr>
          <w:noProof/>
        </w:rPr>
      </w:pPr>
      <w:r>
        <w:rPr>
          <w:noProof/>
        </w:rPr>
        <w:t>Целта на настоящото предложение е да гарантира, че Директива 2011</w:t>
      </w:r>
      <w:r>
        <w:rPr>
          <w:noProof/>
        </w:rPr>
        <w:t>/16/ЕС дава възможност за широкообхватно и ефективно административно сътрудничество между данъчните администрации чрез задължителен автоматичен обмен на информация относно предварителните данъчни становища във връзка с трансгранични сделки (по-нататък „пре</w:t>
      </w:r>
      <w:r>
        <w:rPr>
          <w:noProof/>
        </w:rPr>
        <w:t xml:space="preserve">дварителни трансгранични данъчни становища“) и предварителните споразумения за ценообразуване, които представляват особен вид предварителни </w:t>
      </w:r>
      <w:r>
        <w:rPr>
          <w:noProof/>
        </w:rPr>
        <w:lastRenderedPageBreak/>
        <w:t>трансгранични данъчни становища, използвани в областта на трансферното ценообразуване. Стопанските структури, създав</w:t>
      </w:r>
      <w:r>
        <w:rPr>
          <w:noProof/>
        </w:rPr>
        <w:t>ани въз основа на данъчни съображения, водят до ниско равнище на данъчно облагане на дохода в държавите членки, издаващи данъчното становище, и могат да предизвикат ситуация, при която облагаемият доход в други засегнати държави членки се свива, което нама</w:t>
      </w:r>
      <w:r>
        <w:rPr>
          <w:noProof/>
        </w:rPr>
        <w:t xml:space="preserve">лява данъчните основи на засегнатите държави.  </w:t>
      </w:r>
    </w:p>
    <w:p w:rsidR="002F45D1" w:rsidRDefault="00B75E8E">
      <w:pPr>
        <w:rPr>
          <w:noProof/>
        </w:rPr>
      </w:pPr>
      <w:r>
        <w:rPr>
          <w:noProof/>
        </w:rPr>
        <w:t>В предложението се въвежда изискване държавите членки автоматично да обменят с всички останали държави членки основната информация, отнасяща се до предварителните трансгранични данъчни становища и предварител</w:t>
      </w:r>
      <w:r>
        <w:rPr>
          <w:noProof/>
        </w:rPr>
        <w:t>ните споразумения за ценообразуване. То се основава на принципа, че другите държави членки са в по-добра позиция да преценят потенциалното въздействие и адекватността на тези становища, в сравнение с държавите членки, които ги издават. Когато е целесъобраз</w:t>
      </w:r>
      <w:r>
        <w:rPr>
          <w:noProof/>
        </w:rPr>
        <w:t xml:space="preserve">но, държавите членки, получаващи информацията, могат да изискат допълнителни по-подробни данни. </w:t>
      </w:r>
    </w:p>
    <w:p w:rsidR="002F45D1" w:rsidRDefault="00B75E8E">
      <w:pPr>
        <w:rPr>
          <w:noProof/>
        </w:rPr>
      </w:pPr>
      <w:r>
        <w:rPr>
          <w:noProof/>
        </w:rPr>
        <w:t>Предложението бе изготвено по начин, който позволява автоматичният обмен на информация относно становищата да се извършва въз основа на съществуващите в Директ</w:t>
      </w:r>
      <w:r>
        <w:rPr>
          <w:noProof/>
        </w:rPr>
        <w:t>ива 2011/16/ЕС норми относно практическите условия за обмен на информация, включително използването на стандартни формуляри. То е съобразено и с международните тенденции на равнището на ОИСР и работата на организацията за предотвратяване на намаляването на</w:t>
      </w:r>
      <w:r>
        <w:rPr>
          <w:noProof/>
        </w:rPr>
        <w:t xml:space="preserve"> данъчната основа и прехвърлянето на печалби.</w:t>
      </w:r>
    </w:p>
    <w:p w:rsidR="002F45D1" w:rsidRDefault="00B75E8E">
      <w:pPr>
        <w:rPr>
          <w:noProof/>
        </w:rPr>
      </w:pPr>
      <w:r>
        <w:rPr>
          <w:noProof/>
        </w:rPr>
        <w:t>През 2012 г. групата „Кодекс за поведение“ (Данъчно облагане на предприятия)</w:t>
      </w:r>
      <w:r>
        <w:rPr>
          <w:rStyle w:val="FootnoteReference"/>
          <w:noProof/>
        </w:rPr>
        <w:footnoteReference w:id="2"/>
      </w:r>
      <w:r>
        <w:rPr>
          <w:noProof/>
        </w:rPr>
        <w:t xml:space="preserve"> извърши преглед на ситуацията в държавите членки по отношение на процедурите за данъчните становища. Групата набеляза видовете транс</w:t>
      </w:r>
      <w:r>
        <w:rPr>
          <w:noProof/>
        </w:rPr>
        <w:t>гранични становища, за които информацията следва да се предоставя чрез спонтанен обмен и препоръча разработването на „образец на указания“, които държавите членки могат да използват като основа за прилагането им на национално ниво</w:t>
      </w:r>
      <w:r>
        <w:rPr>
          <w:rStyle w:val="FootnoteReference"/>
          <w:noProof/>
        </w:rPr>
        <w:footnoteReference w:id="3"/>
      </w:r>
      <w:r>
        <w:rPr>
          <w:noProof/>
        </w:rPr>
        <w:t>. В образеца на указаният</w:t>
      </w:r>
      <w:r>
        <w:rPr>
          <w:noProof/>
        </w:rPr>
        <w:t xml:space="preserve">а се уточнява, че информацията за трансграничните данъчни становища следва да се изпраща чрез спонтанен обмен в съответствие с член 9 от Директива 2011/16/ЕС посредством стандартни електронни формуляри и като се използват електронните средства, предвидени </w:t>
      </w:r>
      <w:r>
        <w:rPr>
          <w:noProof/>
        </w:rPr>
        <w:t>в директивата, в срок от един месец след издаването на данъчното становище, съобразно срока по член 10 от директивата. В указанията също така се изисква държавите членки да осигурят необходимите канали за комуникация помежду си в тази област, както и да пр</w:t>
      </w:r>
      <w:r>
        <w:rPr>
          <w:noProof/>
        </w:rPr>
        <w:t>едоставят висококачествено обучение и насоки за лицата, отговарящи за издаването на данъчните становища. В указанията се предоставят насоки относно съдържанието на информацията, предоставяна чрез спонтанен обмен. Тези инструкции обаче нямат обвързваща сила</w:t>
      </w:r>
      <w:r>
        <w:rPr>
          <w:noProof/>
        </w:rPr>
        <w:t xml:space="preserve">. На практика държавите членки обменят малко информация относно предоставяните от тях предварителни данъчни становища или споразумения за трансферно ценообразуване дори в случаите, когато това засяга други държави. </w:t>
      </w:r>
    </w:p>
    <w:p w:rsidR="002F45D1" w:rsidRDefault="00B75E8E">
      <w:pPr>
        <w:rPr>
          <w:noProof/>
        </w:rPr>
      </w:pPr>
      <w:r>
        <w:rPr>
          <w:noProof/>
        </w:rPr>
        <w:t>По всичко изглежда, че в рамките на ЕС е</w:t>
      </w:r>
      <w:r>
        <w:rPr>
          <w:noProof/>
        </w:rPr>
        <w:t xml:space="preserve"> необходим един по-систематичен и обвързващ подход към обмена на информация относно тези становища, за да се гарантира, че когато дадена държава членка издава данъчни становища или предоставя споразумения за трансферно ценообразуване, всяка друга засегната</w:t>
      </w:r>
      <w:r>
        <w:rPr>
          <w:noProof/>
        </w:rPr>
        <w:t xml:space="preserve"> държава членка разполага с възможността да предприеме всички необходими съответни действия. </w:t>
      </w:r>
    </w:p>
    <w:p w:rsidR="002F45D1" w:rsidRDefault="00B75E8E">
      <w:pPr>
        <w:rPr>
          <w:noProof/>
        </w:rPr>
      </w:pPr>
      <w:r>
        <w:rPr>
          <w:noProof/>
        </w:rPr>
        <w:lastRenderedPageBreak/>
        <w:t>На 16 декември 2014 г. Комисията пое ангажимент да изготви предложение за автоматичния обмен на информация относно трансграничните данъчни становища съгласно рабо</w:t>
      </w:r>
      <w:r>
        <w:rPr>
          <w:noProof/>
        </w:rPr>
        <w:t>тната програма на Комисията за 2015 г</w:t>
      </w:r>
      <w:r>
        <w:rPr>
          <w:rStyle w:val="FootnoteReference"/>
          <w:noProof/>
        </w:rPr>
        <w:footnoteReference w:id="4"/>
      </w:r>
      <w:r>
        <w:rPr>
          <w:noProof/>
        </w:rPr>
        <w:t>.</w:t>
      </w:r>
    </w:p>
    <w:p w:rsidR="002F45D1" w:rsidRDefault="00B75E8E">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rsidR="002F45D1" w:rsidRDefault="00B75E8E">
      <w:pPr>
        <w:pStyle w:val="ManualHeading2"/>
        <w:rPr>
          <w:noProof/>
        </w:rPr>
      </w:pPr>
      <w:r>
        <w:rPr>
          <w:noProof/>
        </w:rPr>
        <w:t>2.1.</w:t>
      </w:r>
      <w:r>
        <w:rPr>
          <w:noProof/>
        </w:rPr>
        <w:tab/>
        <w:t>Консултации в контекста на Плана за действие за укрепване на борбата срещу данъчните измами и укриването на данъци, в конт</w:t>
      </w:r>
      <w:r>
        <w:rPr>
          <w:noProof/>
        </w:rPr>
        <w:t>екста на препоръките (COM (2012) 722), както и в рамките на други форуми</w:t>
      </w:r>
    </w:p>
    <w:p w:rsidR="002F45D1" w:rsidRDefault="00B75E8E">
      <w:pPr>
        <w:rPr>
          <w:noProof/>
        </w:rPr>
      </w:pPr>
      <w:r>
        <w:rPr>
          <w:noProof/>
        </w:rPr>
        <w:t>На 21 май 2013 г. Европейският парламент прие резолюция</w:t>
      </w:r>
      <w:r>
        <w:rPr>
          <w:rStyle w:val="FootnoteReference"/>
          <w:noProof/>
        </w:rPr>
        <w:footnoteReference w:id="5"/>
      </w:r>
      <w:r>
        <w:rPr>
          <w:noProof/>
        </w:rPr>
        <w:t>, с която приветства плана за действие на Комисията и нейните препоръки и настоятелно призовава държавите членки да следват сво</w:t>
      </w:r>
      <w:r>
        <w:rPr>
          <w:noProof/>
        </w:rPr>
        <w:t>ите ангажименти и да възприемат плана за действие на Комисията; в резолюцията също така се подчертава, че ЕС следва да поеме водеща роля в обсъждането в световен мащаб на борбата с данъчните измами, избягването на данъци и данъчните убежища, по-специално п</w:t>
      </w:r>
      <w:r>
        <w:rPr>
          <w:noProof/>
        </w:rPr>
        <w:t>о отношение на популяризирането на обмена на информация.</w:t>
      </w:r>
    </w:p>
    <w:p w:rsidR="002F45D1" w:rsidRDefault="00B75E8E">
      <w:pPr>
        <w:rPr>
          <w:noProof/>
        </w:rPr>
      </w:pPr>
      <w:r>
        <w:rPr>
          <w:noProof/>
        </w:rPr>
        <w:t>Европейският икономически и социален комитет прие становището си на 17 април 2013 г</w:t>
      </w:r>
      <w:r>
        <w:rPr>
          <w:rStyle w:val="FootnoteReference"/>
          <w:noProof/>
        </w:rPr>
        <w:footnoteReference w:id="6"/>
      </w:r>
      <w:r>
        <w:rPr>
          <w:noProof/>
        </w:rPr>
        <w:t xml:space="preserve">.  Комитетът одобрява плана за действие на Комисията и подкрепя усилията ѝ за намиране на подходящи решения, насочени към намаляване на данъчните измами и укриването на данъци. </w:t>
      </w:r>
    </w:p>
    <w:p w:rsidR="002F45D1" w:rsidRDefault="00B75E8E">
      <w:pPr>
        <w:rPr>
          <w:noProof/>
        </w:rPr>
      </w:pPr>
      <w:r>
        <w:rPr>
          <w:noProof/>
        </w:rPr>
        <w:t xml:space="preserve">През последните години държавите членки работиха усилено в рамките на групата </w:t>
      </w:r>
      <w:r>
        <w:rPr>
          <w:noProof/>
        </w:rPr>
        <w:t>„Кодекс за поведение“, за да подобрят обмена на информация относно трансграничните становища и в областта на трансферното ценообразуване. Съветът получава редовна информация под формата на доклади за заключенията на тази работна група</w:t>
      </w:r>
      <w:r>
        <w:rPr>
          <w:rStyle w:val="FootnoteReference"/>
          <w:noProof/>
        </w:rPr>
        <w:footnoteReference w:id="7"/>
      </w:r>
      <w:r>
        <w:rPr>
          <w:noProof/>
        </w:rPr>
        <w:t xml:space="preserve">. </w:t>
      </w:r>
    </w:p>
    <w:p w:rsidR="002F45D1" w:rsidRDefault="00B75E8E">
      <w:pPr>
        <w:pStyle w:val="ManualHeading2"/>
        <w:rPr>
          <w:noProof/>
        </w:rPr>
      </w:pPr>
      <w:r>
        <w:rPr>
          <w:noProof/>
        </w:rPr>
        <w:t>2.2.</w:t>
      </w:r>
      <w:r>
        <w:rPr>
          <w:noProof/>
        </w:rPr>
        <w:tab/>
        <w:t>Държави членк</w:t>
      </w:r>
      <w:r>
        <w:rPr>
          <w:noProof/>
        </w:rPr>
        <w:t>и</w:t>
      </w:r>
    </w:p>
    <w:p w:rsidR="002F45D1" w:rsidRDefault="00B75E8E">
      <w:pPr>
        <w:rPr>
          <w:noProof/>
        </w:rPr>
      </w:pPr>
      <w:r>
        <w:rPr>
          <w:noProof/>
        </w:rPr>
        <w:t>Настоящата директива се основава на образеца на указанията, съгласувани от държавите членки през 2014 г., и отразява работата на делегатите на държавите членки в рамките на няколко европейски форума. Държавите членки отдавна обсъждат принципа, въз основа</w:t>
      </w:r>
      <w:r>
        <w:rPr>
          <w:noProof/>
        </w:rPr>
        <w:t xml:space="preserve"> на който следва да се осъществява обменът на информация относно данъчните становища; до момента обаче все още липсва изградена ефективна рамка за осъществяването на този обмен. </w:t>
      </w:r>
    </w:p>
    <w:p w:rsidR="002F45D1" w:rsidRDefault="00B75E8E">
      <w:pPr>
        <w:pStyle w:val="ManualHeading2"/>
        <w:rPr>
          <w:noProof/>
        </w:rPr>
      </w:pPr>
      <w:r>
        <w:rPr>
          <w:noProof/>
        </w:rPr>
        <w:t>2.3.</w:t>
      </w:r>
      <w:r>
        <w:rPr>
          <w:noProof/>
        </w:rPr>
        <w:tab/>
        <w:t>Субсидиарност и пропорционалност</w:t>
      </w:r>
    </w:p>
    <w:p w:rsidR="002F45D1" w:rsidRDefault="00B75E8E">
      <w:pPr>
        <w:rPr>
          <w:noProof/>
        </w:rPr>
      </w:pPr>
      <w:r>
        <w:rPr>
          <w:noProof/>
        </w:rPr>
        <w:t xml:space="preserve">Настоящото предложение е съобразено с </w:t>
      </w:r>
      <w:r>
        <w:rPr>
          <w:noProof/>
        </w:rPr>
        <w:t>принципите на субсидиарност и пропорционалност, определени в член 5, съответно параграфи 3 и 4 от Договора за Европейския съюз.</w:t>
      </w:r>
    </w:p>
    <w:p w:rsidR="002F45D1" w:rsidRDefault="00B75E8E">
      <w:pPr>
        <w:rPr>
          <w:noProof/>
        </w:rPr>
      </w:pPr>
      <w:r>
        <w:rPr>
          <w:noProof/>
        </w:rPr>
        <w:t>В член 115 от ДФЕС се предвижда сближаването на онези разпоредби, предвидени в закони, подзаконови или административни актове на</w:t>
      </w:r>
      <w:r>
        <w:rPr>
          <w:noProof/>
        </w:rPr>
        <w:t xml:space="preserve"> държавите членки, които пряко се отнасят до създаването или функционирането на вътрешния пазар и пораждат необходимост от сближаване на законодателството. </w:t>
      </w:r>
    </w:p>
    <w:p w:rsidR="002F45D1" w:rsidRDefault="00B75E8E">
      <w:pPr>
        <w:rPr>
          <w:noProof/>
        </w:rPr>
      </w:pPr>
      <w:r>
        <w:rPr>
          <w:noProof/>
        </w:rPr>
        <w:t>Целта — а именно всички държави членки да разполагат с достатъчно информация относно предварителнит</w:t>
      </w:r>
      <w:r>
        <w:rPr>
          <w:noProof/>
        </w:rPr>
        <w:t>е трансгранични данъчни становища и предварителните споразумения за ценообразуване — не може да бъде постигната в достатъчна степен чрез некоординирани действия, изпълнявани самостоятелно от всяка държава членка. За да бъде възможен обменът на информация о</w:t>
      </w:r>
      <w:r>
        <w:rPr>
          <w:noProof/>
        </w:rPr>
        <w:t>тносно становища, които могат потенциално да окажат влияние върху данъчните основи на повече от една държава членка, е необходимо да се възприеме общ подход, който да бъде задължителен. Освен това трансграничният аспект е неделима част от действието, което</w:t>
      </w:r>
      <w:r>
        <w:rPr>
          <w:noProof/>
        </w:rPr>
        <w:t xml:space="preserve"> се предлага в настоящия документ. Следователно предоставянето на информация относно предварителните трансгранични становища и предварителните споразумения за ценообразуване може да бъде ефективно единствено ако се действа на равнището на Съюза.</w:t>
      </w:r>
    </w:p>
    <w:p w:rsidR="002F45D1" w:rsidRDefault="00B75E8E">
      <w:pPr>
        <w:autoSpaceDE w:val="0"/>
        <w:autoSpaceDN w:val="0"/>
        <w:adjustRightInd w:val="0"/>
        <w:rPr>
          <w:noProof/>
        </w:rPr>
      </w:pPr>
      <w:r>
        <w:rPr>
          <w:noProof/>
        </w:rPr>
        <w:t>Макар че м</w:t>
      </w:r>
      <w:r>
        <w:rPr>
          <w:noProof/>
        </w:rPr>
        <w:t>оже да се каже, че състоянието в тази област се подобрява благодарение на образеца на указанията, създаването на нормативна уредба се смята за по-ефективно решение. Освен това, докато продължава практиката държавата членка, издаваща данъчното становище, са</w:t>
      </w:r>
      <w:r>
        <w:rPr>
          <w:noProof/>
        </w:rPr>
        <w:t>ма да преценява въз основа на собствената си нормативна уредба доколко дадено становище има отношение към други държави членки, прозрачността не може да бъде гарантирана. Данъкоплатците могат да се възползват от липсата на общи правила по отношение на обме</w:t>
      </w:r>
      <w:r>
        <w:rPr>
          <w:noProof/>
        </w:rPr>
        <w:t>на на информация, за да създават структури, с които печалбите се прехвърлят към държави с ниски данъци, които от своя страна не винаги са същите държави, в които се осъществява генериращата печалби икономическа дейност и в които се създава стойност</w:t>
      </w:r>
      <w:r>
        <w:rPr>
          <w:rStyle w:val="FootnoteReference"/>
          <w:noProof/>
        </w:rPr>
        <w:footnoteReference w:id="8"/>
      </w:r>
      <w:r>
        <w:rPr>
          <w:noProof/>
        </w:rPr>
        <w:t>. Тъй к</w:t>
      </w:r>
      <w:r>
        <w:rPr>
          <w:noProof/>
        </w:rPr>
        <w:t xml:space="preserve">ато данъчните становища често се предоставят на стопански структури, действащи в трансграничен мащаб, за да получат пълна представа за ситуацията, държавите членки зависят едни от други. Затова когато работят заедно, държавите членки се намират в по-добра </w:t>
      </w:r>
      <w:r>
        <w:rPr>
          <w:noProof/>
        </w:rPr>
        <w:t>позиция да гарантират ефективността и завършеността на системата за обмен на информация относно данъчните становища, отколкото ако всяка държава членка действа самостоятелно. Осигуряването на прозрачност в данъчната област и сътрудничеството между данъчнит</w:t>
      </w:r>
      <w:r>
        <w:rPr>
          <w:noProof/>
        </w:rPr>
        <w:t xml:space="preserve">е администрации в борбата срещу избягването на данъци биха били по-ефективни, ако се приложи хармонизиран подход на равнището на ЕС. </w:t>
      </w:r>
    </w:p>
    <w:p w:rsidR="002F45D1" w:rsidRDefault="00B75E8E">
      <w:pPr>
        <w:rPr>
          <w:noProof/>
        </w:rPr>
      </w:pPr>
      <w:r>
        <w:rPr>
          <w:noProof/>
        </w:rPr>
        <w:t xml:space="preserve">Конкретният проблем, който беше установен и за който е необходимо да се намери решение в рамките на политиката, е липсата </w:t>
      </w:r>
      <w:r>
        <w:rPr>
          <w:noProof/>
        </w:rPr>
        <w:t>на прозрачност по отношение на данъчните становища с трансграничен елемент, което има неблагоприятни последици, особено за правилното функциониране на вътрешния пазар. Решението, което се предлага в рамките на политиката, се ограничава до становищата с тра</w:t>
      </w:r>
      <w:r>
        <w:rPr>
          <w:noProof/>
        </w:rPr>
        <w:t>нсграничен характер. То се състои от два етапа, като на всички държави — членки на ЕС, трябва да се предостави основният набор от информация, определен в директивата. По отношение на обменяната информация следва да се постигне равновесие, така че тя да бъд</w:t>
      </w:r>
      <w:r>
        <w:rPr>
          <w:noProof/>
        </w:rPr>
        <w:t>е, от една страна, възможно най-кратка, а от друга — възможно най-съдържателна, за да позволи на получаващата я държава членка да прецени дали следва да поиска допълнителни данни. Като втора стъпка държавите членки, които могат да докажат, че тази информац</w:t>
      </w:r>
      <w:r>
        <w:rPr>
          <w:noProof/>
        </w:rPr>
        <w:t>ия евентуално би била от значение за тях, могат да изискат по-подробна информация в рамките на съществуващите разпоредби на директивата. Така с настоящото предложение се намира решение на установения проблем, което е съизмеримо с целта във възможно най-вис</w:t>
      </w:r>
      <w:r>
        <w:rPr>
          <w:noProof/>
        </w:rPr>
        <w:t>ока степен, тъй като то се ограничава до предварителните данъчни становища и предварителните споразумения за ценообразуване, които имат трансграничен характер. За основа се използва автоматичният обмен на основна информация, чиято цел е да позволи на всяка</w:t>
      </w:r>
      <w:r>
        <w:rPr>
          <w:noProof/>
        </w:rPr>
        <w:t xml:space="preserve"> държава членка да реши дали да поиска допълнителна по-подробна информация. Следователно предложените изменения не надхвърлят необходимите действия за преодоляването на разглежданите проблеми и по този начин допринасят за постигането на целите на Договорит</w:t>
      </w:r>
      <w:r>
        <w:rPr>
          <w:noProof/>
        </w:rPr>
        <w:t xml:space="preserve">е по отношение на правилното и ефективно функциониране на вътрешния пазар. </w:t>
      </w:r>
    </w:p>
    <w:p w:rsidR="002F45D1" w:rsidRDefault="00B75E8E">
      <w:pPr>
        <w:pStyle w:val="ManualHeading2"/>
        <w:rPr>
          <w:noProof/>
        </w:rPr>
      </w:pPr>
      <w:r>
        <w:rPr>
          <w:noProof/>
        </w:rPr>
        <w:t>2.4.</w:t>
      </w:r>
      <w:r>
        <w:rPr>
          <w:noProof/>
        </w:rPr>
        <w:tab/>
        <w:t>Работен документ на службите на Комисията</w:t>
      </w:r>
    </w:p>
    <w:p w:rsidR="002F45D1" w:rsidRDefault="00B75E8E">
      <w:pPr>
        <w:rPr>
          <w:noProof/>
        </w:rPr>
      </w:pPr>
      <w:r>
        <w:rPr>
          <w:noProof/>
        </w:rPr>
        <w:t xml:space="preserve">В придружаващия работен документ на службите на Комисията е направена оценка на вариантите на политиката въз основа на критериите за </w:t>
      </w:r>
      <w:r>
        <w:rPr>
          <w:noProof/>
        </w:rPr>
        <w:t xml:space="preserve">ефективност, ефикасност, последователност и социално въздействие, както и от гледна точка на основните права. Избраният вариант на политиката е подкрепен с анализ на вариантите, изготвен от Комисията. </w:t>
      </w:r>
    </w:p>
    <w:p w:rsidR="002F45D1" w:rsidRDefault="00B75E8E">
      <w:pPr>
        <w:pStyle w:val="ManualHeading1"/>
        <w:rPr>
          <w:noProof/>
        </w:rPr>
      </w:pPr>
      <w:r>
        <w:rPr>
          <w:noProof/>
        </w:rPr>
        <w:t>3.</w:t>
      </w:r>
      <w:r>
        <w:rPr>
          <w:noProof/>
        </w:rPr>
        <w:tab/>
        <w:t>ПРАВНИ ЕЛЕМЕНТИ НА ПРЕДЛОЖЕНИЕТО</w:t>
      </w:r>
    </w:p>
    <w:p w:rsidR="002F45D1" w:rsidRDefault="00B75E8E">
      <w:pPr>
        <w:rPr>
          <w:noProof/>
        </w:rPr>
      </w:pPr>
      <w:r>
        <w:rPr>
          <w:noProof/>
        </w:rPr>
        <w:t>Целта на настоящот</w:t>
      </w:r>
      <w:r>
        <w:rPr>
          <w:noProof/>
        </w:rPr>
        <w:t>о предложение е да гарантира, че информацията, свързана с предварителните трансгранични данъчни становища и предварителните споразумения за ценообразуване, се обменя автоматично между държавите членки, когато са изпълнени условията, предвидени в новия член</w:t>
      </w:r>
      <w:r>
        <w:rPr>
          <w:noProof/>
        </w:rPr>
        <w:t xml:space="preserve"> 8а. </w:t>
      </w:r>
    </w:p>
    <w:p w:rsidR="002F45D1" w:rsidRDefault="00B75E8E">
      <w:pPr>
        <w:rPr>
          <w:noProof/>
        </w:rPr>
      </w:pPr>
      <w:r>
        <w:rPr>
          <w:noProof/>
        </w:rPr>
        <w:t>За тази цел с предложението се изменя Директива 2011/16/ЕС, изменена с Директива 2014/107/ЕС</w:t>
      </w:r>
      <w:r>
        <w:rPr>
          <w:rStyle w:val="FootnoteReference"/>
          <w:noProof/>
        </w:rPr>
        <w:footnoteReference w:id="9"/>
      </w:r>
      <w:r>
        <w:rPr>
          <w:noProof/>
        </w:rPr>
        <w:t>, като се въвежда конкретно изискване за автоматичен обмен на информация относно предварителните трансгранични данъчни становища и предварителните споразумен</w:t>
      </w:r>
      <w:r>
        <w:rPr>
          <w:noProof/>
        </w:rPr>
        <w:t xml:space="preserve">ия за ценообразуване.  </w:t>
      </w:r>
    </w:p>
    <w:p w:rsidR="002F45D1" w:rsidRDefault="00B75E8E">
      <w:pPr>
        <w:rPr>
          <w:noProof/>
        </w:rPr>
      </w:pPr>
      <w:r>
        <w:rPr>
          <w:noProof/>
        </w:rPr>
        <w:t>По-специално, с член 1, параграф 3 от предложението в действащата директива се въвежда нов член 8а, в който се определят обхватът и условията за осъществяване на задължителния автоматичен обмен на информация относно видовете данъчни</w:t>
      </w:r>
      <w:r>
        <w:rPr>
          <w:noProof/>
        </w:rPr>
        <w:t xml:space="preserve"> становища и споразумения за трансферно ценообразуване съгласно определенията, въведени в член 1, параграф 1 от предложението за директива. В член 8а, параграф 1 се предвижда, че посредством автоматичния обмен компетентните органи на дадена държава членка </w:t>
      </w:r>
      <w:r>
        <w:rPr>
          <w:noProof/>
        </w:rPr>
        <w:t xml:space="preserve">подават до компетентните органи на всички останали държави членки информация, свързана с определени данъчни становища, които те издават или изменят. Обхватът на това задължение е разширен, така че да обхване и становища, издадени през десетте години преди </w:t>
      </w:r>
      <w:r>
        <w:rPr>
          <w:noProof/>
        </w:rPr>
        <w:t>датата на влизане в сила на предложената директива, които все още са валидни към датата на влизане в сила на директивата (член 8а, параграф 2).</w:t>
      </w:r>
    </w:p>
    <w:p w:rsidR="002F45D1" w:rsidRDefault="00B75E8E">
      <w:pPr>
        <w:rPr>
          <w:noProof/>
        </w:rPr>
      </w:pPr>
      <w:r>
        <w:rPr>
          <w:noProof/>
        </w:rPr>
        <w:t xml:space="preserve">В член 1, параграф 6 от предложението за директива се дава възможност Комисията евентуално да разработи защитен </w:t>
      </w:r>
      <w:r>
        <w:rPr>
          <w:noProof/>
        </w:rPr>
        <w:t>централен регистър на информацията, предоставена съгласно разпоредбите в настоящото предложение. Този централен регистър би улеснил обмена на информация и би бил от помощ за държавите членки при изпълнението на тяхната задача да проучват и да предприемат с</w:t>
      </w:r>
      <w:r>
        <w:rPr>
          <w:noProof/>
        </w:rPr>
        <w:t xml:space="preserve">ъответни действия по отношение на становищата, за които държавите членки обменят информация. </w:t>
      </w:r>
    </w:p>
    <w:p w:rsidR="002F45D1" w:rsidRDefault="00B75E8E">
      <w:pPr>
        <w:rPr>
          <w:noProof/>
        </w:rPr>
      </w:pPr>
      <w:r>
        <w:rPr>
          <w:noProof/>
        </w:rPr>
        <w:t>С предложената директива се актуализират разпоредбите на директивата от 2011 г. и по отношение на предоставяната обратна информация, практическите условия за обме</w:t>
      </w:r>
      <w:r>
        <w:rPr>
          <w:noProof/>
        </w:rPr>
        <w:t>на на информация и оценката за административното сътрудничество, така че да бъдат включени в обхвата на автоматичния обмен на информация за предварителните трансгранични данъчни становища и предварителните споразумения за ценообразуване.</w:t>
      </w:r>
    </w:p>
    <w:p w:rsidR="002F45D1" w:rsidRDefault="00B75E8E">
      <w:pPr>
        <w:rPr>
          <w:noProof/>
        </w:rPr>
      </w:pPr>
      <w:r>
        <w:rPr>
          <w:noProof/>
        </w:rPr>
        <w:t xml:space="preserve">Предметът на тези </w:t>
      </w:r>
      <w:r>
        <w:rPr>
          <w:noProof/>
        </w:rPr>
        <w:t>изменения попада в обхвата на правното основание на Директива 2011/16/ЕС, а именно член 115 от Договора за функционирането на Европейския съюз (ДФЕС), чиито разпоредби са насочени към правилното функциониране на вътрешния пазар.</w:t>
      </w:r>
    </w:p>
    <w:p w:rsidR="002F45D1" w:rsidRDefault="00B75E8E">
      <w:pPr>
        <w:pStyle w:val="ManualHeading1"/>
        <w:rPr>
          <w:noProof/>
        </w:rPr>
      </w:pPr>
      <w:r>
        <w:rPr>
          <w:noProof/>
        </w:rPr>
        <w:t>4.</w:t>
      </w:r>
      <w:r>
        <w:rPr>
          <w:noProof/>
        </w:rPr>
        <w:tab/>
        <w:t>ОТРАЖЕНИЕ ВЪРХУ БЮДЖЕТА</w:t>
      </w:r>
    </w:p>
    <w:p w:rsidR="002F45D1" w:rsidRDefault="00B75E8E">
      <w:pPr>
        <w:rPr>
          <w:noProof/>
        </w:rPr>
      </w:pPr>
      <w:r>
        <w:rPr>
          <w:noProof/>
        </w:rPr>
        <w:t>Отражението на предложението върху бюджета на ЕС е представено във финансовата обосновка, придружаваща предложението, и се вписва в рамките на наличните ресурси. Разходите за допълнителните инструменти за информационни технологии и за евентуалния централен</w:t>
      </w:r>
      <w:r>
        <w:rPr>
          <w:noProof/>
        </w:rPr>
        <w:t xml:space="preserve"> регистър, който Комисията може да разработи в бъдеще, за да улесни предоставянето на информация между държавите членки и да осигури съхраняването ѝ, ще бъдат финансирани по програма „Фискалис 2020“, предвидена в Регламент (ЕС) № 1286/2013, по която се оси</w:t>
      </w:r>
      <w:r>
        <w:rPr>
          <w:noProof/>
        </w:rPr>
        <w:t>гурява финансова подкрепа за дейности, насочени към подобряването на административното сътрудничество между данъчните органи в ЕС.</w:t>
      </w:r>
    </w:p>
    <w:p w:rsidR="002F45D1" w:rsidRDefault="002F45D1">
      <w:pPr>
        <w:rPr>
          <w:noProof/>
        </w:rPr>
        <w:sectPr w:rsidR="002F45D1">
          <w:footerReference w:type="default" r:id="rId14"/>
          <w:footerReference w:type="first" r:id="rId15"/>
          <w:pgSz w:w="11907" w:h="16839"/>
          <w:pgMar w:top="1134" w:right="1417" w:bottom="1134" w:left="1417" w:header="709" w:footer="709" w:gutter="0"/>
          <w:cols w:space="708"/>
          <w:docGrid w:linePitch="360"/>
        </w:sectPr>
      </w:pPr>
    </w:p>
    <w:p w:rsidR="002F45D1" w:rsidRDefault="00B75E8E">
      <w:pPr>
        <w:pStyle w:val="Rfrenceinterinstitutionnelle"/>
        <w:rPr>
          <w:noProof/>
        </w:rPr>
      </w:pPr>
      <w:r>
        <w:rPr>
          <w:noProof/>
        </w:rPr>
        <w:t>2015/0068 (CNS)</w:t>
      </w:r>
    </w:p>
    <w:p w:rsidR="002F45D1" w:rsidRDefault="00B75E8E">
      <w:pPr>
        <w:pStyle w:val="Statut"/>
        <w:rPr>
          <w:noProof/>
        </w:rPr>
      </w:pPr>
      <w:r>
        <w:rPr>
          <w:noProof/>
        </w:rPr>
        <w:t>Предлож</w:t>
      </w:r>
      <w:r>
        <w:rPr>
          <w:noProof/>
        </w:rPr>
        <w:t>ение за</w:t>
      </w:r>
    </w:p>
    <w:p w:rsidR="002F45D1" w:rsidRDefault="00B75E8E">
      <w:pPr>
        <w:pStyle w:val="Typedudocument"/>
        <w:rPr>
          <w:noProof/>
        </w:rPr>
      </w:pPr>
      <w:r>
        <w:rPr>
          <w:noProof/>
        </w:rPr>
        <w:t>ДИРЕКТИВА НА СЪВЕТА</w:t>
      </w:r>
    </w:p>
    <w:p w:rsidR="002F45D1" w:rsidRDefault="00B75E8E">
      <w:pPr>
        <w:pStyle w:val="Titreobjet"/>
        <w:rPr>
          <w:noProof/>
        </w:rPr>
      </w:pPr>
      <w:r>
        <w:rPr>
          <w:noProof/>
        </w:rPr>
        <w:t>за изменение на Директива 2011/16/ЕС по отношение на задължителния автоматичен обмен на информация в областта на данъчното облагане</w:t>
      </w:r>
    </w:p>
    <w:p w:rsidR="002F45D1" w:rsidRDefault="00B75E8E">
      <w:pPr>
        <w:pStyle w:val="Institutionquiagit"/>
        <w:rPr>
          <w:noProof/>
        </w:rPr>
      </w:pPr>
      <w:r>
        <w:rPr>
          <w:noProof/>
        </w:rPr>
        <w:t>СЪВЕТЪТ НА ЕВРОПЕЙСКИЯ СЪЮЗ,</w:t>
      </w:r>
    </w:p>
    <w:p w:rsidR="002F45D1" w:rsidRDefault="00B75E8E">
      <w:pPr>
        <w:rPr>
          <w:noProof/>
        </w:rPr>
      </w:pPr>
      <w:r>
        <w:rPr>
          <w:noProof/>
        </w:rPr>
        <w:t>като взе предвид Договора за функционирането на Европейския съюз, и</w:t>
      </w:r>
      <w:r>
        <w:rPr>
          <w:noProof/>
        </w:rPr>
        <w:t xml:space="preserve"> по-специално член 115 от него,</w:t>
      </w:r>
    </w:p>
    <w:p w:rsidR="002F45D1" w:rsidRDefault="00B75E8E">
      <w:pPr>
        <w:rPr>
          <w:noProof/>
        </w:rPr>
      </w:pPr>
      <w:r>
        <w:rPr>
          <w:noProof/>
        </w:rPr>
        <w:t>като взе предвид предложението на Европейската комисия,</w:t>
      </w:r>
    </w:p>
    <w:p w:rsidR="002F45D1" w:rsidRDefault="00B75E8E">
      <w:pPr>
        <w:rPr>
          <w:noProof/>
        </w:rPr>
      </w:pPr>
      <w:r>
        <w:rPr>
          <w:noProof/>
        </w:rPr>
        <w:t>след предаване на проекта на законодателния акт на националните парламенти,</w:t>
      </w:r>
    </w:p>
    <w:p w:rsidR="002F45D1" w:rsidRDefault="00B75E8E">
      <w:pPr>
        <w:rPr>
          <w:noProof/>
        </w:rPr>
      </w:pPr>
      <w:r>
        <w:rPr>
          <w:noProof/>
        </w:rPr>
        <w:t>като взе предвид становището на Европейския парламент</w:t>
      </w:r>
      <w:r>
        <w:rPr>
          <w:rStyle w:val="FootnoteReference"/>
          <w:noProof/>
        </w:rPr>
        <w:footnoteReference w:id="10"/>
      </w:r>
      <w:r>
        <w:rPr>
          <w:noProof/>
        </w:rPr>
        <w:t xml:space="preserve">, </w:t>
      </w:r>
    </w:p>
    <w:p w:rsidR="002F45D1" w:rsidRDefault="00B75E8E">
      <w:pPr>
        <w:rPr>
          <w:noProof/>
        </w:rPr>
      </w:pPr>
      <w:r>
        <w:rPr>
          <w:noProof/>
        </w:rPr>
        <w:t>като взе предвид становището на Евр</w:t>
      </w:r>
      <w:r>
        <w:rPr>
          <w:noProof/>
        </w:rPr>
        <w:t>опейския икономически и социален комитет</w:t>
      </w:r>
      <w:r>
        <w:rPr>
          <w:rStyle w:val="FootnoteReference"/>
          <w:noProof/>
        </w:rPr>
        <w:footnoteReference w:id="11"/>
      </w:r>
      <w:r>
        <w:rPr>
          <w:noProof/>
        </w:rPr>
        <w:t xml:space="preserve">, </w:t>
      </w:r>
    </w:p>
    <w:p w:rsidR="002F45D1" w:rsidRDefault="00B75E8E">
      <w:pPr>
        <w:rPr>
          <w:noProof/>
        </w:rPr>
      </w:pPr>
      <w:r>
        <w:rPr>
          <w:noProof/>
        </w:rPr>
        <w:t>като взе предвид становището на Комитета на регионите</w:t>
      </w:r>
      <w:r>
        <w:rPr>
          <w:rStyle w:val="FootnoteReference"/>
          <w:noProof/>
        </w:rPr>
        <w:footnoteReference w:id="12"/>
      </w:r>
      <w:r>
        <w:rPr>
          <w:noProof/>
        </w:rPr>
        <w:t xml:space="preserve">, </w:t>
      </w:r>
    </w:p>
    <w:p w:rsidR="002F45D1" w:rsidRDefault="00B75E8E">
      <w:pPr>
        <w:rPr>
          <w:noProof/>
        </w:rPr>
      </w:pPr>
      <w:r>
        <w:rPr>
          <w:noProof/>
        </w:rPr>
        <w:t>в съответствие със специална законодателна процедура,</w:t>
      </w:r>
    </w:p>
    <w:p w:rsidR="002F45D1" w:rsidRDefault="00B75E8E">
      <w:pPr>
        <w:rPr>
          <w:noProof/>
        </w:rPr>
      </w:pPr>
      <w:r>
        <w:rPr>
          <w:noProof/>
        </w:rPr>
        <w:t>като има предвид, че:</w:t>
      </w:r>
    </w:p>
    <w:p w:rsidR="002F45D1" w:rsidRDefault="00B75E8E">
      <w:pPr>
        <w:pStyle w:val="ManualConsidrant"/>
        <w:rPr>
          <w:noProof/>
        </w:rPr>
      </w:pPr>
      <w:r>
        <w:t>(1)</w:t>
      </w:r>
      <w:r>
        <w:tab/>
      </w:r>
      <w:r>
        <w:rPr>
          <w:noProof/>
        </w:rPr>
        <w:t xml:space="preserve">Избягването на данъци на трансгранично равнище, агресивното данъчно </w:t>
      </w:r>
      <w:r>
        <w:rPr>
          <w:noProof/>
        </w:rPr>
        <w:t>планиране и вредната данъчна конкуренция се превръщат във все по-сериозно предизвикателство и будят тревога както в рамките на Съюза, така и в световен мащаб. Свиването на данъчната основа значително намалява националните данъчни приходи, което възпрепятст</w:t>
      </w:r>
      <w:r>
        <w:rPr>
          <w:noProof/>
        </w:rPr>
        <w:t xml:space="preserve">ва прилагането на благоприятстващи растежа данъчни политики в държавите членки. По-специално, в резултат на данъчните становища, които държавите членки издават във връзка със стопански структури, създавани въз основа на данъчни съображения, в тези държави </w:t>
      </w:r>
      <w:r>
        <w:rPr>
          <w:noProof/>
        </w:rPr>
        <w:t>е налице ниско равнище на данъчно облагане на изкуствено завишен доход, a това може да доведе до изкуствено занижаване на облагаемия доход в други свързани държави. В този контекст засилването на прозрачността се превръща в една все по-належаща нужда. За п</w:t>
      </w:r>
      <w:r>
        <w:rPr>
          <w:noProof/>
        </w:rPr>
        <w:t>остигането на тази цел е необходимо укрепване на инструментите и механизмите, предвидени в Директива 2011/16/ЕС на Съвета</w:t>
      </w:r>
      <w:r>
        <w:rPr>
          <w:rStyle w:val="FootnoteReference"/>
          <w:noProof/>
        </w:rPr>
        <w:footnoteReference w:id="13"/>
      </w:r>
      <w:r>
        <w:rPr>
          <w:noProof/>
        </w:rPr>
        <w:t xml:space="preserve">. </w:t>
      </w:r>
    </w:p>
    <w:p w:rsidR="002F45D1" w:rsidRDefault="00B75E8E">
      <w:pPr>
        <w:pStyle w:val="ManualConsidrant"/>
        <w:rPr>
          <w:noProof/>
        </w:rPr>
      </w:pPr>
      <w:r>
        <w:t>(2)</w:t>
      </w:r>
      <w:r>
        <w:tab/>
      </w:r>
      <w:r>
        <w:rPr>
          <w:noProof/>
        </w:rPr>
        <w:t>В заключенията си от 18 декември 2014 г. Европейският съвет подчертава спешната необходимост от активизиране на усилията в борб</w:t>
      </w:r>
      <w:r>
        <w:rPr>
          <w:noProof/>
        </w:rPr>
        <w:t>ата с избягването на данъци и с агресивното данъчно планиране, както на световно равнище, така и на равнището на Съюза. Като изтъква значението на прозрачността, Европейският съвет приветства намерението на Комисията да представи предложение относно автома</w:t>
      </w:r>
      <w:r>
        <w:rPr>
          <w:noProof/>
        </w:rPr>
        <w:t xml:space="preserve">тичния обмен на информация за данъчните становища в ЕС. </w:t>
      </w:r>
    </w:p>
    <w:p w:rsidR="002F45D1" w:rsidRDefault="00B75E8E">
      <w:pPr>
        <w:pStyle w:val="ManualConsidrant"/>
        <w:rPr>
          <w:noProof/>
        </w:rPr>
      </w:pPr>
      <w:r>
        <w:t>(3)</w:t>
      </w:r>
      <w:r>
        <w:tab/>
      </w:r>
      <w:r>
        <w:rPr>
          <w:noProof/>
        </w:rPr>
        <w:t>В Директива 2011/16/ЕС се предвижда задължителен спонтанен обмен на информация между държавите членки в пет конкретни случая в рамките на определени срокове. Спонтанният обмен на информация и сег</w:t>
      </w:r>
      <w:r>
        <w:rPr>
          <w:noProof/>
        </w:rPr>
        <w:t>а се прилага в случаите, в които компетентният орган на дадена държава членка има основания да предполага, че е възможна загуба на данъчни приходи в друга държава членка, по отношение на данъчните становища с трансграничен характер, издавани от държава чле</w:t>
      </w:r>
      <w:r>
        <w:rPr>
          <w:noProof/>
        </w:rPr>
        <w:t>нка на конкретно данъчнозадължено лице във връзка с тълкуване или прилагане на определени данъчни разпоредби в бъдеще.</w:t>
      </w:r>
    </w:p>
    <w:p w:rsidR="002F45D1" w:rsidRDefault="00B75E8E">
      <w:pPr>
        <w:pStyle w:val="ManualConsidrant"/>
        <w:rPr>
          <w:noProof/>
        </w:rPr>
      </w:pPr>
      <w:r>
        <w:t>(4)</w:t>
      </w:r>
      <w:r>
        <w:tab/>
      </w:r>
      <w:r>
        <w:rPr>
          <w:noProof/>
        </w:rPr>
        <w:t>Що се отнася до предварителните трансгранични данъчни становища и предварителните споразумения за ценообразуване обаче, ефективността</w:t>
      </w:r>
      <w:r>
        <w:rPr>
          <w:noProof/>
        </w:rPr>
        <w:t xml:space="preserve"> на спонтанния обмен на информация на практика е ограничена от няколко съществени трудности, като например свободата на преценка на предоставящата становищата държава членка да решава кои други държави членки следва да информира.   </w:t>
      </w:r>
    </w:p>
    <w:p w:rsidR="002F45D1" w:rsidRDefault="00B75E8E">
      <w:pPr>
        <w:pStyle w:val="ManualConsidrant"/>
        <w:rPr>
          <w:noProof/>
        </w:rPr>
      </w:pPr>
      <w:r>
        <w:t>(5)</w:t>
      </w:r>
      <w:r>
        <w:tab/>
      </w:r>
      <w:r>
        <w:rPr>
          <w:noProof/>
        </w:rPr>
        <w:t>За да не се подкопа</w:t>
      </w:r>
      <w:r>
        <w:rPr>
          <w:noProof/>
        </w:rPr>
        <w:t>ва ефективността на този обмен, възможността за отказ от предоставяне на информация, когато това би довело до разкриването на търговска, промишлена или професионална тайна или на търговски процес, или на информация, чието разкриване би противоречало на общ</w:t>
      </w:r>
      <w:r>
        <w:rPr>
          <w:noProof/>
        </w:rPr>
        <w:t>ествения ред, не следва да се предвижда по отношение на разпоредбите за задължителния автоматичен обмен на информация относно предварителните трансгранични становища и предварителните споразумения за ценообразуване. Фактът, че информацията, която трябва да</w:t>
      </w:r>
      <w:r>
        <w:rPr>
          <w:noProof/>
        </w:rPr>
        <w:t xml:space="preserve"> се предоставя на всички държави членки, е с ограничен обхват, следва да представлява достатъчна защита на тези търговски интереси.</w:t>
      </w:r>
    </w:p>
    <w:p w:rsidR="002F45D1" w:rsidRDefault="00B75E8E">
      <w:pPr>
        <w:pStyle w:val="ManualConsidrant"/>
        <w:rPr>
          <w:noProof/>
        </w:rPr>
      </w:pPr>
      <w:r>
        <w:t>(6)</w:t>
      </w:r>
      <w:r>
        <w:tab/>
      </w:r>
      <w:r>
        <w:rPr>
          <w:noProof/>
        </w:rPr>
        <w:t>За да може задължителният автоматичен обмен на информация да изиграе пълноценно своята роля, информацията следва да се с</w:t>
      </w:r>
      <w:r>
        <w:rPr>
          <w:noProof/>
        </w:rPr>
        <w:t xml:space="preserve">ъобщава веднага след като предварителните трансгранични данъчни становища и предварителните споразумения за ценообразуване бъдат предоставени, като е необходимо да се определят редовни интервали, на които тази информация да се съобщава. </w:t>
      </w:r>
    </w:p>
    <w:p w:rsidR="002F45D1" w:rsidRDefault="00B75E8E">
      <w:pPr>
        <w:pStyle w:val="ManualConsidrant"/>
        <w:rPr>
          <w:noProof/>
        </w:rPr>
      </w:pPr>
      <w:r>
        <w:t>(7)</w:t>
      </w:r>
      <w:r>
        <w:tab/>
      </w:r>
      <w:r>
        <w:rPr>
          <w:noProof/>
        </w:rPr>
        <w:t>Във всеки отде</w:t>
      </w:r>
      <w:r>
        <w:rPr>
          <w:noProof/>
        </w:rPr>
        <w:t>лен случай задължителният автоматичен обмен на информация относно предварителните трансгранични данъчни становища и предварителните споразумения за ценообразуване следва да включва съобщаване на определен набор от основна информация на всички държави членк</w:t>
      </w:r>
      <w:r>
        <w:rPr>
          <w:noProof/>
        </w:rPr>
        <w:t>и. Комисията следва да приеме необходимите мерки за стандартизирането на тази информация съгласно определената в Директива 2011/16/ЕС процедура за установяване на стандартен формуляр, който да се използва при обмена на информация. Посочената процедура след</w:t>
      </w:r>
      <w:r>
        <w:rPr>
          <w:noProof/>
        </w:rPr>
        <w:t xml:space="preserve">ва да се използва и при приемането на всички необходими мерки и практически условия за осъществяването на обмена на информация. </w:t>
      </w:r>
    </w:p>
    <w:p w:rsidR="002F45D1" w:rsidRDefault="00B75E8E">
      <w:pPr>
        <w:pStyle w:val="ManualConsidrant"/>
        <w:rPr>
          <w:noProof/>
        </w:rPr>
      </w:pPr>
      <w:r>
        <w:t>(8)</w:t>
      </w:r>
      <w:r>
        <w:tab/>
      </w:r>
      <w:r>
        <w:rPr>
          <w:noProof/>
        </w:rPr>
        <w:t>Държавите членки следва да съобщават изисквания набор от основна информация също и на Комисията. Това ще позволи на Комисия</w:t>
      </w:r>
      <w:r>
        <w:rPr>
          <w:noProof/>
        </w:rPr>
        <w:t>та във всеки един момент да наблюдава и оценява ефективното прилагане на автоматичния обмен на информация относно предварителните трансгранични данъчни становища и предварителните споразумения за ценообразуване. Съобщаването на тази информация не освобожда</w:t>
      </w:r>
      <w:r>
        <w:rPr>
          <w:noProof/>
        </w:rPr>
        <w:t xml:space="preserve">ва дадена държава членка от задълженията ѝ да уведомява Комисията за държавните помощи. </w:t>
      </w:r>
    </w:p>
    <w:p w:rsidR="002F45D1" w:rsidRDefault="00B75E8E">
      <w:pPr>
        <w:pStyle w:val="ManualConsidrant"/>
        <w:rPr>
          <w:noProof/>
        </w:rPr>
      </w:pPr>
      <w:r>
        <w:t>(9)</w:t>
      </w:r>
      <w:r>
        <w:tab/>
      </w:r>
      <w:r>
        <w:rPr>
          <w:noProof/>
        </w:rPr>
        <w:t>Предоставянето на обратна информация от страна на държавата получател до държавата — подател на информацията, е необходим елемент на ефективното функциониране на с</w:t>
      </w:r>
      <w:r>
        <w:rPr>
          <w:noProof/>
        </w:rPr>
        <w:t>истемата за автоматичен обмен. Поради това е целесъобразно да се предвидят мерки, позволяващи предоставянето на обратна информация в случаите, в които информацията е била използвана и в които не може да се предостави такава обратна информация съгласно друг</w:t>
      </w:r>
      <w:r>
        <w:rPr>
          <w:noProof/>
        </w:rPr>
        <w:t>и разпоредби на Директива 2011/16/ЕС.</w:t>
      </w:r>
    </w:p>
    <w:p w:rsidR="002F45D1" w:rsidRDefault="00B75E8E">
      <w:pPr>
        <w:pStyle w:val="ManualConsidrant"/>
        <w:rPr>
          <w:noProof/>
        </w:rPr>
      </w:pPr>
      <w:r>
        <w:t>(10)</w:t>
      </w:r>
      <w:r>
        <w:tab/>
      </w:r>
      <w:r>
        <w:rPr>
          <w:noProof/>
        </w:rPr>
        <w:t>Дадена държава членка следва да може да се позове на член 5 от Директива 2011/16/ЕС, чиито разпоредби се отнасят до обмена на информация при поискване, за да получи допълнителна информация, включително пълния текс</w:t>
      </w:r>
      <w:r>
        <w:rPr>
          <w:noProof/>
        </w:rPr>
        <w:t>т на предварителните трансгранични становища или предварителните споразумения за ценообразуване, от държавата членка, която ги е предоставила.</w:t>
      </w:r>
    </w:p>
    <w:p w:rsidR="002F45D1" w:rsidRDefault="00B75E8E">
      <w:pPr>
        <w:pStyle w:val="ManualConsidrant"/>
        <w:rPr>
          <w:noProof/>
        </w:rPr>
      </w:pPr>
      <w:r>
        <w:t>(11)</w:t>
      </w:r>
      <w:r>
        <w:tab/>
      </w:r>
      <w:r>
        <w:rPr>
          <w:noProof/>
        </w:rPr>
        <w:t>Държавите членки следва да предприемат всички необходими мерки за отстраняването на пречките, които биха мог</w:t>
      </w:r>
      <w:r>
        <w:rPr>
          <w:noProof/>
        </w:rPr>
        <w:t xml:space="preserve">ли да възпрепятстват ефективността и постигането на възможно най-широк обхват на задължителния автоматичен обмен на информация относно предварителните трансгранични данъчни становища и предварителните споразумения за ценообразуване. </w:t>
      </w:r>
    </w:p>
    <w:p w:rsidR="002F45D1" w:rsidRDefault="00B75E8E">
      <w:pPr>
        <w:pStyle w:val="ManualConsidrant"/>
        <w:rPr>
          <w:noProof/>
        </w:rPr>
      </w:pPr>
      <w:r>
        <w:t>(12)</w:t>
      </w:r>
      <w:r>
        <w:tab/>
      </w:r>
      <w:r>
        <w:rPr>
          <w:noProof/>
        </w:rPr>
        <w:t>За да се подпомог</w:t>
      </w:r>
      <w:r>
        <w:rPr>
          <w:noProof/>
        </w:rPr>
        <w:t>не ефективното използване на ресурсите, да се улесни обменът на информация и да се избегне необходимостта държавите членки поотделно да въвеждат сходни по характер промени в националните си системи за съхраняване на информация, следва да се предвиди специа</w:t>
      </w:r>
      <w:r>
        <w:rPr>
          <w:noProof/>
        </w:rPr>
        <w:t>лна разпоредба за създаването на централен регистър, до който имат достъп всички държави членки и Комисията и в който държавите членки да зареждат и съхраняват информацията, вместо да я обменят по електронна поща. Практическите условия, необходими за създа</w:t>
      </w:r>
      <w:r>
        <w:rPr>
          <w:noProof/>
        </w:rPr>
        <w:t>ването на този регистър, следва да бъдат приети от Комисията в съответствие с процедурата, посочена в член 26, параграф 2 от Директива 2011/16/ЕС.</w:t>
      </w:r>
    </w:p>
    <w:p w:rsidR="002F45D1" w:rsidRDefault="00B75E8E">
      <w:pPr>
        <w:pStyle w:val="ManualConsidrant"/>
        <w:rPr>
          <w:noProof/>
        </w:rPr>
      </w:pPr>
      <w:r>
        <w:t>(13)</w:t>
      </w:r>
      <w:r>
        <w:tab/>
      </w:r>
      <w:r>
        <w:rPr>
          <w:noProof/>
        </w:rPr>
        <w:t>Предвид характера и обхвата на измененията, въведени с Директива 2014/107/ЕС и с настоящата директива, с</w:t>
      </w:r>
      <w:r>
        <w:rPr>
          <w:noProof/>
        </w:rPr>
        <w:t>ледва да се удължи срокът за предоставянето на информацията, статистическите данни и докладите, предвиден в Директива 2011/16/ЕС. Удължаването следва да даде възможност в информацията, която трябва да се предоставя, да бъде отразен опитът, произтичащ от въ</w:t>
      </w:r>
      <w:r>
        <w:rPr>
          <w:noProof/>
        </w:rPr>
        <w:t>веждането на измененията. Удължаването на срока следва да се прилага както за статистическите данни и другата информация, която държавите членки трябва да представят преди 1 юли 2016 г., така и за доклада, а също така, ако е целесъобразно, за предложението</w:t>
      </w:r>
      <w:r>
        <w:rPr>
          <w:noProof/>
        </w:rPr>
        <w:t>, което Комисията следва да представи преди 1 юли 2017 г.</w:t>
      </w:r>
    </w:p>
    <w:p w:rsidR="002F45D1" w:rsidRDefault="00B75E8E">
      <w:pPr>
        <w:pStyle w:val="ManualConsidrant"/>
        <w:rPr>
          <w:noProof/>
        </w:rPr>
      </w:pPr>
      <w:r>
        <w:t>(14)</w:t>
      </w:r>
      <w:r>
        <w:tab/>
      </w:r>
      <w:r>
        <w:rPr>
          <w:noProof/>
        </w:rPr>
        <w:t>Като се има предвид поетапният подход, възприет в Директива 2011/16/ЕС, е целесъобразно да се адаптират сроковете за съществуващия задължителен автоматичен обмен на информация, предвиден в член</w:t>
      </w:r>
      <w:r>
        <w:rPr>
          <w:noProof/>
        </w:rPr>
        <w:t xml:space="preserve"> 8, параграф 1 от Директива 2011/16/ЕС, за да се гарантира, че наличната информация за категориите се съобщава в срок от девет месеца след края на данъчната година, за която се отнася. </w:t>
      </w:r>
    </w:p>
    <w:p w:rsidR="002F45D1" w:rsidRDefault="00B75E8E">
      <w:pPr>
        <w:pStyle w:val="ManualConsidrant"/>
        <w:rPr>
          <w:noProof/>
        </w:rPr>
      </w:pPr>
      <w:r>
        <w:t>(15)</w:t>
      </w:r>
      <w:r>
        <w:tab/>
      </w:r>
      <w:r>
        <w:rPr>
          <w:noProof/>
        </w:rPr>
        <w:t>Съществуващите разпоредби относно поверителността следва да бъдат</w:t>
      </w:r>
      <w:r>
        <w:rPr>
          <w:noProof/>
        </w:rPr>
        <w:t xml:space="preserve"> изменени, за да се отрази разширеният обхват на задължителния автоматичен обмен на информация относно предварителните трансгранични данъчни становища и предварителните споразумения за ценообразуване.  </w:t>
      </w:r>
    </w:p>
    <w:p w:rsidR="002F45D1" w:rsidRDefault="00B75E8E">
      <w:pPr>
        <w:pStyle w:val="ManualConsidrant"/>
        <w:rPr>
          <w:noProof/>
        </w:rPr>
      </w:pPr>
      <w:r>
        <w:t>(16)</w:t>
      </w:r>
      <w:r>
        <w:tab/>
      </w:r>
      <w:r>
        <w:rPr>
          <w:noProof/>
        </w:rPr>
        <w:t>В настоящата директива се зачитат основните прав</w:t>
      </w:r>
      <w:r>
        <w:rPr>
          <w:noProof/>
        </w:rPr>
        <w:t xml:space="preserve">а и се спазват принципите, признати по-специално в Хартата на основните права на Европейския съюз. По-конкретно, целта на настоящата директива е да гарантира пълно зачитане на правото на защита на личните данни и свободата на стопанска инициатива. </w:t>
      </w:r>
    </w:p>
    <w:p w:rsidR="002F45D1" w:rsidRDefault="00B75E8E">
      <w:pPr>
        <w:pStyle w:val="ManualConsidrant"/>
        <w:rPr>
          <w:noProof/>
        </w:rPr>
      </w:pPr>
      <w:r>
        <w:t>(17)</w:t>
      </w:r>
      <w:r>
        <w:tab/>
      </w:r>
      <w:r>
        <w:rPr>
          <w:noProof/>
        </w:rPr>
        <w:t>До</w:t>
      </w:r>
      <w:r>
        <w:rPr>
          <w:noProof/>
        </w:rPr>
        <w:t>колкото целта на настоящата директива, а именно ефикасно административно сътрудничество между държавите членки при условия, които са съвместими с правилното функциониране на вътрешния пазар, не може да бъде постигната в достатъчна степен от държавите членк</w:t>
      </w:r>
      <w:r>
        <w:rPr>
          <w:noProof/>
        </w:rPr>
        <w:t>и, а предвид необходимостта от уеднаквяване и ефективност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w:t>
      </w:r>
      <w:r>
        <w:rPr>
          <w:noProof/>
        </w:rPr>
        <w:t xml:space="preserve">ципа на пропорционалност, посочен в същия член, настоящата директива не надхвърля необходимото за постигането на тази цел. </w:t>
      </w:r>
    </w:p>
    <w:p w:rsidR="002F45D1" w:rsidRDefault="00B75E8E">
      <w:pPr>
        <w:pStyle w:val="ManualConsidrant"/>
        <w:rPr>
          <w:noProof/>
        </w:rPr>
      </w:pPr>
      <w:r>
        <w:t>(18)</w:t>
      </w:r>
      <w:r>
        <w:tab/>
      </w:r>
      <w:r>
        <w:rPr>
          <w:noProof/>
        </w:rPr>
        <w:t>В съответствие със Съвместната политическа декларация на държавите членки и на Комисията от 28 септември 2011 г. относно обясни</w:t>
      </w:r>
      <w:r>
        <w:rPr>
          <w:noProof/>
        </w:rPr>
        <w:t>телните документи</w:t>
      </w:r>
      <w:r>
        <w:rPr>
          <w:rStyle w:val="FootnoteReference"/>
          <w:noProof/>
        </w:rPr>
        <w:footnoteReference w:id="14"/>
      </w:r>
      <w:r>
        <w:rPr>
          <w:noProof/>
        </w:rPr>
        <w:t xml:space="preserve"> държавите членки се задължават в обосновани случаи да прилагат към съобщението за приетите от тях мерки за транспониране един или повече документи, обясняващи връзката между елементите на дадена директива и съответните елементи от национ</w:t>
      </w:r>
      <w:r>
        <w:rPr>
          <w:noProof/>
        </w:rPr>
        <w:t>алните актове за транспониране. Законодателят смята, че представянето на такива документи е обосновано по отношение на настоящата директива.</w:t>
      </w:r>
    </w:p>
    <w:p w:rsidR="002F45D1" w:rsidRDefault="00B75E8E">
      <w:pPr>
        <w:pStyle w:val="ManualConsidrant"/>
        <w:rPr>
          <w:noProof/>
        </w:rPr>
      </w:pPr>
      <w:r>
        <w:t>(19)</w:t>
      </w:r>
      <w:r>
        <w:tab/>
      </w:r>
      <w:r>
        <w:rPr>
          <w:noProof/>
        </w:rPr>
        <w:t>Поради това Директива 2011/16/ЕС следва да бъде съответно изменена,</w:t>
      </w:r>
    </w:p>
    <w:p w:rsidR="002F45D1" w:rsidRDefault="00B75E8E">
      <w:pPr>
        <w:pStyle w:val="Formuledadoption"/>
        <w:rPr>
          <w:noProof/>
        </w:rPr>
      </w:pPr>
      <w:r>
        <w:rPr>
          <w:noProof/>
        </w:rPr>
        <w:t>ПРИЕ НАСТОЯЩАТА ДИРЕКТИВА:</w:t>
      </w:r>
    </w:p>
    <w:p w:rsidR="002F45D1" w:rsidRDefault="00B75E8E">
      <w:pPr>
        <w:pStyle w:val="Titrearticle"/>
        <w:rPr>
          <w:noProof/>
        </w:rPr>
      </w:pPr>
      <w:r>
        <w:rPr>
          <w:noProof/>
        </w:rPr>
        <w:t>Член 1</w:t>
      </w:r>
    </w:p>
    <w:p w:rsidR="002F45D1" w:rsidRDefault="00B75E8E">
      <w:pPr>
        <w:rPr>
          <w:noProof/>
        </w:rPr>
      </w:pPr>
      <w:r>
        <w:rPr>
          <w:noProof/>
        </w:rPr>
        <w:t>Директива 2011/16/ЕС се изменя, както следва:</w:t>
      </w:r>
    </w:p>
    <w:p w:rsidR="002F45D1" w:rsidRDefault="00B75E8E">
      <w:pPr>
        <w:rPr>
          <w:b/>
          <w:noProof/>
        </w:rPr>
      </w:pPr>
      <w:r>
        <w:rPr>
          <w:noProof/>
        </w:rPr>
        <w:t>(1)</w:t>
      </w:r>
      <w:r>
        <w:rPr>
          <w:noProof/>
        </w:rPr>
        <w:tab/>
        <w:t>Член 3 се изменя, както следва:</w:t>
      </w:r>
    </w:p>
    <w:p w:rsidR="002F45D1" w:rsidRDefault="00B75E8E">
      <w:pPr>
        <w:rPr>
          <w:b/>
          <w:noProof/>
        </w:rPr>
      </w:pPr>
      <w:r>
        <w:rPr>
          <w:noProof/>
        </w:rPr>
        <w:tab/>
        <w:t>а) точка 9 се заменя със следното:</w:t>
      </w:r>
    </w:p>
    <w:p w:rsidR="002F45D1" w:rsidRDefault="00B75E8E">
      <w:pPr>
        <w:ind w:left="720"/>
        <w:rPr>
          <w:noProof/>
        </w:rPr>
      </w:pPr>
      <w:r>
        <w:rPr>
          <w:noProof/>
        </w:rPr>
        <w:t xml:space="preserve">„9. „автоматичен обмен на информация“ означава, </w:t>
      </w:r>
    </w:p>
    <w:p w:rsidR="002F45D1" w:rsidRDefault="00B75E8E">
      <w:pPr>
        <w:ind w:left="720"/>
        <w:rPr>
          <w:noProof/>
        </w:rPr>
      </w:pPr>
      <w:r>
        <w:rPr>
          <w:noProof/>
        </w:rPr>
        <w:t>а) за целите на член 8, параграф 1 и член 8а — системно предоставяне на друга държава чле</w:t>
      </w:r>
      <w:r>
        <w:rPr>
          <w:noProof/>
        </w:rPr>
        <w:t>нка на предварително определена информация, без предварително отправено искане, на предварително определени редовни интервали от време. За целите на член 8, параграф 1 позоваването на понятието „налична информация“ се отнася за информацията в данъчните рег</w:t>
      </w:r>
      <w:r>
        <w:rPr>
          <w:noProof/>
        </w:rPr>
        <w:t>истри на предоставящата я държава членка, която е достъпна в съответствие с процедурите за събиране и обработване на информация в тази държава членка;</w:t>
      </w:r>
    </w:p>
    <w:p w:rsidR="002F45D1" w:rsidRDefault="00B75E8E">
      <w:pPr>
        <w:ind w:left="720"/>
        <w:rPr>
          <w:noProof/>
        </w:rPr>
      </w:pPr>
      <w:r>
        <w:rPr>
          <w:noProof/>
        </w:rPr>
        <w:t>б) за целите на член 8, параграф 3а — системно предоставяне на предварително определена информация относн</w:t>
      </w:r>
      <w:r>
        <w:rPr>
          <w:noProof/>
        </w:rPr>
        <w:t>о местни лица на други държави членки, на съответната държава членка, на която те са местни лица, без предварително отправено искане, на предварително определени редовни интервали от време. В контекста на член 8, параграфи 3а и 7а, член 21, параграф 2 и чл</w:t>
      </w:r>
      <w:r>
        <w:rPr>
          <w:noProof/>
        </w:rPr>
        <w:t>ен 25, параграфи 2 и 3 понятията, оградени с кавички, имат същото значение както в определенията, установени в приложение I;</w:t>
      </w:r>
    </w:p>
    <w:p w:rsidR="002F45D1" w:rsidRDefault="00B75E8E">
      <w:pPr>
        <w:ind w:left="720"/>
        <w:rPr>
          <w:noProof/>
        </w:rPr>
      </w:pPr>
      <w:r>
        <w:rPr>
          <w:noProof/>
        </w:rPr>
        <w:t>в) за целите на всички разпоредби освен член 8, параграфи 1 и 3a и член 8a — системно предоставяне на предварително определена инфо</w:t>
      </w:r>
      <w:r>
        <w:rPr>
          <w:noProof/>
        </w:rPr>
        <w:t>рмация, съобщена в съответствие с букви а) и б) от настоящата точка.“</w:t>
      </w:r>
    </w:p>
    <w:p w:rsidR="002F45D1" w:rsidRDefault="00B75E8E">
      <w:pPr>
        <w:ind w:left="720"/>
        <w:rPr>
          <w:b/>
          <w:noProof/>
        </w:rPr>
      </w:pPr>
      <w:r>
        <w:rPr>
          <w:noProof/>
        </w:rPr>
        <w:t xml:space="preserve">б) добавят се следните точки 14, 15 и 16: </w:t>
      </w:r>
    </w:p>
    <w:p w:rsidR="002F45D1" w:rsidRDefault="00B75E8E">
      <w:pPr>
        <w:ind w:left="720"/>
        <w:rPr>
          <w:noProof/>
        </w:rPr>
      </w:pPr>
      <w:r>
        <w:rPr>
          <w:noProof/>
        </w:rPr>
        <w:t>„14. „предварително данъчно становище във връзка с трансгранични сделки“ (предварително трансгранично данъчно становище) означава договореност,</w:t>
      </w:r>
      <w:r>
        <w:rPr>
          <w:noProof/>
        </w:rPr>
        <w:t xml:space="preserve"> уведомление или друг инструмент или действие с подобен ефект, включително ако е предоставено в рамките на данъчен одит, което:</w:t>
      </w:r>
    </w:p>
    <w:p w:rsidR="002F45D1" w:rsidRDefault="00B75E8E">
      <w:pPr>
        <w:ind w:left="720"/>
        <w:rPr>
          <w:noProof/>
        </w:rPr>
      </w:pPr>
      <w:r>
        <w:rPr>
          <w:noProof/>
        </w:rPr>
        <w:t>а) е издадено на дадено лице от страна на — или от името на — правителството или данъчната администрация на държава членка или о</w:t>
      </w:r>
      <w:r>
        <w:rPr>
          <w:noProof/>
        </w:rPr>
        <w:t xml:space="preserve">т тяхно териториално или административно подразделение; </w:t>
      </w:r>
    </w:p>
    <w:p w:rsidR="002F45D1" w:rsidRDefault="00B75E8E">
      <w:pPr>
        <w:ind w:left="720"/>
        <w:rPr>
          <w:noProof/>
        </w:rPr>
      </w:pPr>
      <w:r>
        <w:rPr>
          <w:noProof/>
        </w:rPr>
        <w:t>б) се отнася до тълкуването или прилагането на правна или административна разпоредба относно администрирането или прилагането на националното законодателство, отнасящо се до данъците на държавата чле</w:t>
      </w:r>
      <w:r>
        <w:rPr>
          <w:noProof/>
        </w:rPr>
        <w:t>нка или нейните териториални или административни подразделения;</w:t>
      </w:r>
    </w:p>
    <w:p w:rsidR="002F45D1" w:rsidRDefault="00B75E8E">
      <w:pPr>
        <w:ind w:left="720"/>
        <w:rPr>
          <w:noProof/>
        </w:rPr>
      </w:pPr>
      <w:r>
        <w:rPr>
          <w:noProof/>
        </w:rPr>
        <w:t xml:space="preserve">в) се отнася до трансгранична сделка или до това дали дейността, извършвана от дадено юридическо лице в другата държава членка, води до установяване на място на стопанска дейност, както и; </w:t>
      </w:r>
    </w:p>
    <w:p w:rsidR="002F45D1" w:rsidRDefault="00B75E8E">
      <w:pPr>
        <w:ind w:left="720"/>
        <w:rPr>
          <w:noProof/>
        </w:rPr>
      </w:pPr>
      <w:r>
        <w:rPr>
          <w:noProof/>
        </w:rPr>
        <w:t>г)</w:t>
      </w:r>
      <w:r>
        <w:rPr>
          <w:noProof/>
        </w:rPr>
        <w:t xml:space="preserve"> е издадено преди момента на извършване на сделките или дейността в другата държава членка, които потенциално могат да доведат до установяване на място на стопанска дейност, или момента на подаване на данъчната декларация за периода, в който е извършена сд</w:t>
      </w:r>
      <w:r>
        <w:rPr>
          <w:noProof/>
        </w:rPr>
        <w:t xml:space="preserve">елката или поредицата от сделки. </w:t>
      </w:r>
    </w:p>
    <w:p w:rsidR="002F45D1" w:rsidRDefault="00B75E8E">
      <w:pPr>
        <w:ind w:left="720"/>
        <w:rPr>
          <w:noProof/>
        </w:rPr>
      </w:pPr>
      <w:r>
        <w:rPr>
          <w:noProof/>
        </w:rPr>
        <w:t>Трансграничните сделки включват, но не само, инвестиции, доставка на стоки, услуги, финансиране или използване на материални или нематериални активи, като не е необходимо в извършването им пряко да участва лицето, на което</w:t>
      </w:r>
      <w:r>
        <w:rPr>
          <w:noProof/>
        </w:rPr>
        <w:t xml:space="preserve"> е издадено предварителното трансгранично данъчно становище;</w:t>
      </w:r>
    </w:p>
    <w:p w:rsidR="002F45D1" w:rsidRDefault="00B75E8E">
      <w:pPr>
        <w:ind w:left="720"/>
        <w:rPr>
          <w:noProof/>
        </w:rPr>
      </w:pPr>
      <w:r>
        <w:rPr>
          <w:noProof/>
        </w:rPr>
        <w:t>15. „предварително споразумение за ценообразуване“ означава договореност, уведомление или друг инструмент или действие с подобен ефект, включително ако е издадено в рамките на данъчен одит, предо</w:t>
      </w:r>
      <w:r>
        <w:rPr>
          <w:noProof/>
        </w:rPr>
        <w:t>ставено на дадено лице от страна на — или от името на — правителството или данъчната администрация на една или повече държави членки, включително техните териториални или административни подразделения, в който инструмент преди момента на извършване на тран</w:t>
      </w:r>
      <w:r>
        <w:rPr>
          <w:noProof/>
        </w:rPr>
        <w:t>сгранични сделки между свързани предприятия се установява съответен набор от критерии за определянето на трансферното ценообразуване по тези сделки или се определя разпределянето на печалбата към мястото на стопанска дейност.</w:t>
      </w:r>
    </w:p>
    <w:p w:rsidR="002F45D1" w:rsidRDefault="00B75E8E">
      <w:pPr>
        <w:ind w:left="720"/>
        <w:rPr>
          <w:noProof/>
        </w:rPr>
      </w:pPr>
      <w:r>
        <w:rPr>
          <w:noProof/>
        </w:rPr>
        <w:t>Предприятията са свързани пред</w:t>
      </w:r>
      <w:r>
        <w:rPr>
          <w:noProof/>
        </w:rPr>
        <w:t xml:space="preserve">приятия, когато едно предприятие участва пряко или косвено в управлението, контрола или капитала на друго предприятие или едни и същи лица участват пряко или косвено в управлението, контрола или капитала на предприятията. </w:t>
      </w:r>
    </w:p>
    <w:p w:rsidR="002F45D1" w:rsidRDefault="00B75E8E">
      <w:pPr>
        <w:ind w:left="720"/>
        <w:rPr>
          <w:noProof/>
        </w:rPr>
      </w:pPr>
      <w:r>
        <w:rPr>
          <w:noProof/>
        </w:rPr>
        <w:t>Трансферни цени са цените, по кои</w:t>
      </w:r>
      <w:r>
        <w:rPr>
          <w:noProof/>
        </w:rPr>
        <w:t>то дадено предприятие прехвърля материални и нематериални активи или предоставя услуги на свързани предприятия, а понятието „трансферно ценообразуване“ се тълкува в този смисъл;</w:t>
      </w:r>
    </w:p>
    <w:p w:rsidR="002F45D1" w:rsidRDefault="00B75E8E">
      <w:pPr>
        <w:ind w:left="720"/>
        <w:rPr>
          <w:noProof/>
        </w:rPr>
      </w:pPr>
      <w:r>
        <w:rPr>
          <w:noProof/>
        </w:rPr>
        <w:t xml:space="preserve">16. За целите на точка 14 „трансгранична сделка“ означава сделка или поредица </w:t>
      </w:r>
      <w:r>
        <w:rPr>
          <w:noProof/>
        </w:rPr>
        <w:t xml:space="preserve">от сделки, при които: </w:t>
      </w:r>
    </w:p>
    <w:p w:rsidR="002F45D1" w:rsidRDefault="00B75E8E">
      <w:pPr>
        <w:ind w:left="720"/>
        <w:rPr>
          <w:noProof/>
        </w:rPr>
      </w:pPr>
      <w:r>
        <w:rPr>
          <w:noProof/>
        </w:rPr>
        <w:t>а) не всички страни по сделката или поредицата от сделки са местни лица за данъчни цели в държавата членка, издаваща предварителното трансгранично данъчно становище, или;</w:t>
      </w:r>
    </w:p>
    <w:p w:rsidR="002F45D1" w:rsidRDefault="00B75E8E">
      <w:pPr>
        <w:ind w:left="720"/>
        <w:rPr>
          <w:noProof/>
        </w:rPr>
      </w:pPr>
      <w:r>
        <w:rPr>
          <w:noProof/>
        </w:rPr>
        <w:t xml:space="preserve">б) страна по сделката или поредицата от сделки е едновременно </w:t>
      </w:r>
      <w:r>
        <w:rPr>
          <w:noProof/>
        </w:rPr>
        <w:t xml:space="preserve">местно лице за данъчни цели в повече от една юрисдикция, или; </w:t>
      </w:r>
    </w:p>
    <w:p w:rsidR="002F45D1" w:rsidRDefault="00B75E8E">
      <w:pPr>
        <w:ind w:left="720"/>
        <w:rPr>
          <w:noProof/>
        </w:rPr>
      </w:pPr>
      <w:r>
        <w:rPr>
          <w:noProof/>
        </w:rPr>
        <w:t xml:space="preserve">в) една от страните по сделката или поредицата от сделки извършва дейност в друга държава членка чрез място на стопанска дейност и сделката или поредицата от сделки представлява цялата дейност </w:t>
      </w:r>
      <w:r>
        <w:rPr>
          <w:noProof/>
        </w:rPr>
        <w:t>на мястото на стопанска дейност или част от нея. Трансграничната сделка или поредицата от сделки включват също така договорености, постигнати от отделно юридическо лице, по отношение на стопанска дейност в друга държава членка, която това лице извършва чре</w:t>
      </w:r>
      <w:r>
        <w:rPr>
          <w:noProof/>
        </w:rPr>
        <w:t xml:space="preserve">з място на стопанска дейност.  </w:t>
      </w:r>
    </w:p>
    <w:p w:rsidR="002F45D1" w:rsidRDefault="00B75E8E">
      <w:pPr>
        <w:ind w:left="720"/>
        <w:rPr>
          <w:noProof/>
        </w:rPr>
      </w:pPr>
      <w:r>
        <w:rPr>
          <w:noProof/>
        </w:rPr>
        <w:t xml:space="preserve">За целите на точка 15 „трансгранична сделка“ означава сделка или поредица от сделки, в които участват свързани предприятия, от които не всички са местни лица за данъчни цели на територията на отделна държава членка.“ </w:t>
      </w:r>
    </w:p>
    <w:p w:rsidR="002F45D1" w:rsidRDefault="00B75E8E">
      <w:pPr>
        <w:ind w:left="720" w:hanging="720"/>
        <w:rPr>
          <w:b/>
          <w:noProof/>
        </w:rPr>
      </w:pPr>
      <w:r>
        <w:rPr>
          <w:noProof/>
        </w:rPr>
        <w:t>(2)</w:t>
      </w:r>
      <w:r>
        <w:rPr>
          <w:noProof/>
        </w:rPr>
        <w:tab/>
        <w:t>Чл</w:t>
      </w:r>
      <w:r>
        <w:rPr>
          <w:noProof/>
        </w:rPr>
        <w:t>ен 8 се изменя, както следва:</w:t>
      </w:r>
      <w:r>
        <w:rPr>
          <w:b/>
          <w:noProof/>
        </w:rPr>
        <w:t xml:space="preserve"> </w:t>
      </w:r>
    </w:p>
    <w:p w:rsidR="002F45D1" w:rsidRDefault="00B75E8E">
      <w:pPr>
        <w:ind w:left="720" w:hanging="720"/>
        <w:rPr>
          <w:noProof/>
        </w:rPr>
      </w:pPr>
      <w:r>
        <w:rPr>
          <w:noProof/>
        </w:rPr>
        <w:tab/>
        <w:t>а) Параграфи 4 и 5 се заличават.</w:t>
      </w:r>
    </w:p>
    <w:p w:rsidR="002F45D1" w:rsidRDefault="00B75E8E">
      <w:pPr>
        <w:ind w:left="720"/>
        <w:rPr>
          <w:noProof/>
        </w:rPr>
      </w:pPr>
      <w:r>
        <w:rPr>
          <w:noProof/>
        </w:rPr>
        <w:t>б) Параграф 6 се заменя със следното:</w:t>
      </w:r>
    </w:p>
    <w:p w:rsidR="002F45D1" w:rsidRDefault="00B75E8E">
      <w:pPr>
        <w:ind w:left="720"/>
        <w:rPr>
          <w:noProof/>
        </w:rPr>
      </w:pPr>
      <w:r>
        <w:rPr>
          <w:noProof/>
        </w:rPr>
        <w:t xml:space="preserve">„6. Предоставянето на информация се извършва, както следва: </w:t>
      </w:r>
    </w:p>
    <w:p w:rsidR="002F45D1" w:rsidRDefault="00B75E8E">
      <w:pPr>
        <w:ind w:left="720"/>
        <w:rPr>
          <w:noProof/>
        </w:rPr>
      </w:pPr>
      <w:r>
        <w:rPr>
          <w:noProof/>
        </w:rPr>
        <w:t xml:space="preserve">а) за категориите, посочени в параграф 1 — най-малко веднъж годишно в срок от девет месеца след края на данъчната година в държавата членка, за която се отнася информацията;  </w:t>
      </w:r>
    </w:p>
    <w:p w:rsidR="002F45D1" w:rsidRDefault="00B75E8E">
      <w:pPr>
        <w:ind w:left="720"/>
        <w:rPr>
          <w:noProof/>
        </w:rPr>
      </w:pPr>
      <w:r>
        <w:rPr>
          <w:noProof/>
        </w:rPr>
        <w:t>б) за информацията, посочени в параграф 3а — ежегодно в срок от девет месеца сле</w:t>
      </w:r>
      <w:r>
        <w:rPr>
          <w:noProof/>
        </w:rPr>
        <w:t>д края на календарната година или друг подходящ отчетен период, за който се отнася информацията.“</w:t>
      </w:r>
    </w:p>
    <w:p w:rsidR="002F45D1" w:rsidRDefault="00B75E8E">
      <w:pPr>
        <w:tabs>
          <w:tab w:val="left" w:pos="709"/>
        </w:tabs>
        <w:ind w:left="709" w:hanging="709"/>
        <w:rPr>
          <w:b/>
          <w:noProof/>
        </w:rPr>
      </w:pPr>
      <w:r>
        <w:rPr>
          <w:b/>
          <w:noProof/>
        </w:rPr>
        <w:t xml:space="preserve"> </w:t>
      </w:r>
      <w:r>
        <w:rPr>
          <w:noProof/>
        </w:rPr>
        <w:t>(3)</w:t>
      </w:r>
      <w:r>
        <w:rPr>
          <w:noProof/>
        </w:rPr>
        <w:tab/>
        <w:t>Добавят се следните членове 8а и 8б:</w:t>
      </w:r>
    </w:p>
    <w:p w:rsidR="002F45D1" w:rsidRDefault="00B75E8E">
      <w:pPr>
        <w:ind w:left="720"/>
        <w:rPr>
          <w:noProof/>
        </w:rPr>
      </w:pPr>
      <w:r>
        <w:rPr>
          <w:noProof/>
        </w:rPr>
        <w:t>„Член 8a</w:t>
      </w:r>
    </w:p>
    <w:p w:rsidR="002F45D1" w:rsidRDefault="00B75E8E">
      <w:pPr>
        <w:ind w:left="720"/>
        <w:rPr>
          <w:b/>
          <w:noProof/>
        </w:rPr>
      </w:pPr>
      <w:r>
        <w:rPr>
          <w:b/>
          <w:noProof/>
        </w:rPr>
        <w:t>Обхват и условия на задължителния автоматичен обмен на информация относно предварителните трансгранични дан</w:t>
      </w:r>
      <w:r>
        <w:rPr>
          <w:b/>
          <w:noProof/>
        </w:rPr>
        <w:t>ъчни становища и предварителните споразумения за ценообразуване</w:t>
      </w:r>
    </w:p>
    <w:p w:rsidR="002F45D1" w:rsidRDefault="00B75E8E">
      <w:pPr>
        <w:ind w:left="720"/>
        <w:rPr>
          <w:noProof/>
        </w:rPr>
      </w:pPr>
      <w:r>
        <w:rPr>
          <w:noProof/>
        </w:rPr>
        <w:t>1. Компетентният орган на дадена държава членка, която предоставя или изменя предварително трансгранично данъчно становище или предварително споразумение за ценообразуване след датата на влиза</w:t>
      </w:r>
      <w:r>
        <w:rPr>
          <w:noProof/>
        </w:rPr>
        <w:t xml:space="preserve">не в сила на настоящата директива, съобщава за това на компетентните органи на всички други държави членки и на Европейската комисия посредством автоматичния обмен на информация. </w:t>
      </w:r>
    </w:p>
    <w:p w:rsidR="002F45D1" w:rsidRDefault="00B75E8E">
      <w:pPr>
        <w:ind w:left="720"/>
        <w:rPr>
          <w:noProof/>
        </w:rPr>
      </w:pPr>
      <w:r>
        <w:rPr>
          <w:noProof/>
        </w:rPr>
        <w:t>2. Компетентният орган на дадена държава членка предоставя също информация н</w:t>
      </w:r>
      <w:r>
        <w:rPr>
          <w:noProof/>
        </w:rPr>
        <w:t>а компетентните органи на всички други държави членки и на Европейската комисия относно предварителните трансгранични данъчни становища и предварителните споразумения за ценообразуване, предоставени в рамките на период от десет години преди датата на влиза</w:t>
      </w:r>
      <w:r>
        <w:rPr>
          <w:noProof/>
        </w:rPr>
        <w:t xml:space="preserve">не в сила на настоящата директива, които все още са валидни към датата на влизането ѝ в сила; </w:t>
      </w:r>
    </w:p>
    <w:p w:rsidR="002F45D1" w:rsidRDefault="00B75E8E">
      <w:pPr>
        <w:ind w:left="720"/>
        <w:rPr>
          <w:noProof/>
        </w:rPr>
      </w:pPr>
      <w:r>
        <w:rPr>
          <w:noProof/>
        </w:rPr>
        <w:t>3. Параграф 1 не се прилага в случаите, в които предварителното трансгранично данъчно становище се отнася изключително до данъчните задължения на едно или повече</w:t>
      </w:r>
      <w:r>
        <w:rPr>
          <w:noProof/>
        </w:rPr>
        <w:t xml:space="preserve"> физически лица.</w:t>
      </w:r>
    </w:p>
    <w:p w:rsidR="002F45D1" w:rsidRDefault="00B75E8E">
      <w:pPr>
        <w:ind w:left="720"/>
        <w:rPr>
          <w:noProof/>
        </w:rPr>
      </w:pPr>
      <w:r>
        <w:rPr>
          <w:noProof/>
        </w:rPr>
        <w:t xml:space="preserve">4. Обменът на информация се извършва, както следва: </w:t>
      </w:r>
    </w:p>
    <w:p w:rsidR="002F45D1" w:rsidRDefault="00B75E8E">
      <w:pPr>
        <w:ind w:left="720"/>
        <w:rPr>
          <w:noProof/>
        </w:rPr>
      </w:pPr>
      <w:r>
        <w:rPr>
          <w:noProof/>
        </w:rPr>
        <w:t>а) по отношение на информацията, която се обменя съгласно параграф 1 — в срок от един месец след изтичането на тримесечието, през което предварителните трансгранични данъчни становища ил</w:t>
      </w:r>
      <w:r>
        <w:rPr>
          <w:noProof/>
        </w:rPr>
        <w:t>и предварителните споразумения за ценообразуване са предоставени или изменени.</w:t>
      </w:r>
    </w:p>
    <w:p w:rsidR="002F45D1" w:rsidRDefault="00B75E8E">
      <w:pPr>
        <w:ind w:left="720"/>
        <w:rPr>
          <w:noProof/>
        </w:rPr>
      </w:pPr>
      <w:r>
        <w:rPr>
          <w:noProof/>
        </w:rPr>
        <w:t>б) по отношение на информацията, която се обменя съгласно параграф 2 — преди 31 декември 2016 г.</w:t>
      </w:r>
    </w:p>
    <w:p w:rsidR="002F45D1" w:rsidRDefault="00B75E8E">
      <w:pPr>
        <w:ind w:left="720"/>
        <w:rPr>
          <w:noProof/>
        </w:rPr>
      </w:pPr>
      <w:r>
        <w:rPr>
          <w:noProof/>
        </w:rPr>
        <w:t xml:space="preserve">5. Информацията, съобщавана от дадена държава членка в съответствие с настоящия </w:t>
      </w:r>
      <w:r>
        <w:rPr>
          <w:noProof/>
        </w:rPr>
        <w:t xml:space="preserve">член, включва най-малко следната информация: </w:t>
      </w:r>
    </w:p>
    <w:p w:rsidR="002F45D1" w:rsidRDefault="00B75E8E">
      <w:pPr>
        <w:ind w:left="720"/>
        <w:rPr>
          <w:noProof/>
        </w:rPr>
      </w:pPr>
      <w:r>
        <w:rPr>
          <w:noProof/>
        </w:rPr>
        <w:t>a) идентификация на данъчнозадълженото лице и, когато е целесъобразно, групата от предприятия, към които то принадлежи;</w:t>
      </w:r>
    </w:p>
    <w:p w:rsidR="002F45D1" w:rsidRDefault="00B75E8E">
      <w:pPr>
        <w:ind w:left="720"/>
        <w:rPr>
          <w:noProof/>
        </w:rPr>
      </w:pPr>
      <w:r>
        <w:rPr>
          <w:noProof/>
        </w:rPr>
        <w:t>б) съдържанието на предварителното трансгранично данъчно становище или предварителното спо</w:t>
      </w:r>
      <w:r>
        <w:rPr>
          <w:noProof/>
        </w:rPr>
        <w:t xml:space="preserve">разумение за ценообразуване, включително описанието на съответната стопанска дейност или сделките или поредицата от сделки; </w:t>
      </w:r>
    </w:p>
    <w:p w:rsidR="002F45D1" w:rsidRDefault="00B75E8E">
      <w:pPr>
        <w:ind w:left="720"/>
        <w:rPr>
          <w:noProof/>
        </w:rPr>
      </w:pPr>
      <w:r>
        <w:rPr>
          <w:noProof/>
        </w:rPr>
        <w:t>в) когато е предоставено предварително споразумение за ценообразуване — описание на набора от критерии, използвани за определяне на</w:t>
      </w:r>
      <w:r>
        <w:rPr>
          <w:noProof/>
        </w:rPr>
        <w:t xml:space="preserve"> трансферното ценообразуване или самата трансферна цена; </w:t>
      </w:r>
    </w:p>
    <w:p w:rsidR="002F45D1" w:rsidRDefault="00B75E8E">
      <w:pPr>
        <w:ind w:left="720"/>
        <w:rPr>
          <w:noProof/>
        </w:rPr>
      </w:pPr>
      <w:r>
        <w:rPr>
          <w:noProof/>
        </w:rPr>
        <w:t>г) идентификация на другите държави членки, които има вероятност пряко или косвено да бъдат засегнати от предварителното трансгранично данъчно становище или предварителното споразумение за ценообраз</w:t>
      </w:r>
      <w:r>
        <w:rPr>
          <w:noProof/>
        </w:rPr>
        <w:t xml:space="preserve">уване; </w:t>
      </w:r>
    </w:p>
    <w:p w:rsidR="002F45D1" w:rsidRDefault="00B75E8E">
      <w:pPr>
        <w:ind w:left="720"/>
        <w:rPr>
          <w:noProof/>
        </w:rPr>
      </w:pPr>
      <w:r>
        <w:rPr>
          <w:noProof/>
        </w:rPr>
        <w:t>д) идентификация на всички лица, различни от физически лица, в другите държави членки, които има вероятност пряко или косвено да бъдат засегнати от предварителното трансгранично данъчно становище или предварителното споразумение за ценообразуване (</w:t>
      </w:r>
      <w:r>
        <w:rPr>
          <w:noProof/>
        </w:rPr>
        <w:t>като се посочи държавата членка, с която засегнатите лица са свързани).</w:t>
      </w:r>
    </w:p>
    <w:p w:rsidR="002F45D1" w:rsidRDefault="00B75E8E">
      <w:pPr>
        <w:ind w:left="720"/>
        <w:rPr>
          <w:noProof/>
        </w:rPr>
      </w:pPr>
      <w:r>
        <w:rPr>
          <w:noProof/>
        </w:rPr>
        <w:t>6. За да улесни обмена на информация, Комисията приема всички мерки и практически условия, необходими за прилагането на настоящия член, включително мерки за стандартизиране на съобщава</w:t>
      </w:r>
      <w:r>
        <w:rPr>
          <w:noProof/>
        </w:rPr>
        <w:t xml:space="preserve">нето на информацията, посочена в параграф 5 от настоящия член, като част от процедурата за съставяне на стандартния формуляр, предвиден в член 20, параграф 5. </w:t>
      </w:r>
    </w:p>
    <w:p w:rsidR="002F45D1" w:rsidRDefault="00B75E8E">
      <w:pPr>
        <w:ind w:left="720"/>
        <w:rPr>
          <w:noProof/>
        </w:rPr>
      </w:pPr>
      <w:r>
        <w:rPr>
          <w:noProof/>
        </w:rPr>
        <w:t>7. Компетентният орган, на когото се съобщава информацията по параграф 1, потвърждава получаване</w:t>
      </w:r>
      <w:r>
        <w:rPr>
          <w:noProof/>
        </w:rPr>
        <w:t xml:space="preserve">то ѝ на компетентния орган, предоставил информацията, ако е възможно по електронен път, като прави това незабавно и при всички случаи не по-късно от седем работни дни след датата на получаване. </w:t>
      </w:r>
    </w:p>
    <w:p w:rsidR="002F45D1" w:rsidRDefault="00B75E8E">
      <w:pPr>
        <w:ind w:left="720"/>
        <w:rPr>
          <w:noProof/>
        </w:rPr>
      </w:pPr>
      <w:r>
        <w:rPr>
          <w:noProof/>
        </w:rPr>
        <w:t>8. Държавите членки могат в съответствие с член 5 да поиска д</w:t>
      </w:r>
      <w:r>
        <w:rPr>
          <w:noProof/>
        </w:rPr>
        <w:t>опълнителна информация, включително пълния текст на предварителното трансгранично данъчно становище  или предварителното споразумение за ценообразуване, от държавата членка, която го е издала.</w:t>
      </w:r>
    </w:p>
    <w:p w:rsidR="002F45D1" w:rsidRDefault="00B75E8E">
      <w:pPr>
        <w:ind w:left="720"/>
        <w:rPr>
          <w:noProof/>
        </w:rPr>
      </w:pPr>
      <w:r>
        <w:rPr>
          <w:noProof/>
        </w:rPr>
        <w:t>9. Разпоредбите на член 17, параграф 4 не се прилагат за информ</w:t>
      </w:r>
      <w:r>
        <w:rPr>
          <w:noProof/>
        </w:rPr>
        <w:t>ацията, която се обменя в съответствие с параграфи 1 и 2 от настоящия член.</w:t>
      </w:r>
    </w:p>
    <w:p w:rsidR="002F45D1" w:rsidRDefault="00B75E8E">
      <w:pPr>
        <w:ind w:left="720"/>
        <w:rPr>
          <w:noProof/>
        </w:rPr>
      </w:pPr>
      <w:r>
        <w:rPr>
          <w:noProof/>
        </w:rPr>
        <w:t>Член 8б</w:t>
      </w:r>
    </w:p>
    <w:p w:rsidR="002F45D1" w:rsidRDefault="00B75E8E">
      <w:pPr>
        <w:ind w:left="720"/>
        <w:rPr>
          <w:b/>
          <w:noProof/>
        </w:rPr>
      </w:pPr>
      <w:r>
        <w:rPr>
          <w:b/>
          <w:noProof/>
        </w:rPr>
        <w:t>Статистически данни за автоматичния обмен на информация</w:t>
      </w:r>
    </w:p>
    <w:p w:rsidR="002F45D1" w:rsidRDefault="00B75E8E">
      <w:pPr>
        <w:ind w:left="720"/>
        <w:rPr>
          <w:noProof/>
        </w:rPr>
      </w:pPr>
      <w:r>
        <w:rPr>
          <w:noProof/>
        </w:rPr>
        <w:t xml:space="preserve">1. Преди 1 октомври 2017 г. държавите членки предоставят ежегодно на Комисията статистически данни за обема на </w:t>
      </w:r>
      <w:r>
        <w:rPr>
          <w:noProof/>
        </w:rPr>
        <w:t>автоматичния обмен съгласно членове 8 и 8а и, доколкото е възможно, информация за административните и други видове разходи и ползи за данъчните администрации и за трети страни, произтичащи от извършения обмен, както и за всякакви евентуални изменения.</w:t>
      </w:r>
    </w:p>
    <w:p w:rsidR="002F45D1" w:rsidRDefault="00B75E8E">
      <w:pPr>
        <w:ind w:left="720"/>
        <w:rPr>
          <w:noProof/>
        </w:rPr>
      </w:pPr>
      <w:r>
        <w:rPr>
          <w:noProof/>
        </w:rPr>
        <w:t>2. П</w:t>
      </w:r>
      <w:r>
        <w:rPr>
          <w:noProof/>
        </w:rPr>
        <w:t>реди 1 октомври 2018 г. Комисията представя доклад, включващ преглед и оценка на получените съгласно параграф 1 от настоящия член статистически данни и информация по въпроси, свързани например с административните и други видове разходи и ползи от автоматич</w:t>
      </w:r>
      <w:r>
        <w:rPr>
          <w:noProof/>
        </w:rPr>
        <w:t>ния обмен на информация, както и свързаните с него практически аспекти. По целесъобразност Комисията представя на Съвета предложение относно категориите доход и капитал и/или условията по член 8, параграф 1, включително изискването за наличност на информац</w:t>
      </w:r>
      <w:r>
        <w:rPr>
          <w:noProof/>
        </w:rPr>
        <w:t>ията относно лицата, установени в други държави членки.“</w:t>
      </w:r>
    </w:p>
    <w:p w:rsidR="002F45D1" w:rsidRDefault="00B75E8E">
      <w:pPr>
        <w:rPr>
          <w:b/>
          <w:noProof/>
        </w:rPr>
      </w:pPr>
      <w:r>
        <w:rPr>
          <w:noProof/>
        </w:rPr>
        <w:t>(4)</w:t>
      </w:r>
      <w:r>
        <w:rPr>
          <w:noProof/>
        </w:rPr>
        <w:tab/>
        <w:t>В член 14 се добавя следният параграф 3:</w:t>
      </w:r>
    </w:p>
    <w:p w:rsidR="002F45D1" w:rsidRDefault="00B75E8E">
      <w:pPr>
        <w:ind w:left="720"/>
        <w:rPr>
          <w:noProof/>
        </w:rPr>
      </w:pPr>
      <w:r>
        <w:rPr>
          <w:noProof/>
        </w:rPr>
        <w:t>„3. Когато държава членка използва информация, предоставена от друга държава членка в съответствие с член 8а, тя изпраща във възможно най-кратък срок обра</w:t>
      </w:r>
      <w:r>
        <w:rPr>
          <w:noProof/>
        </w:rPr>
        <w:t>тна информация за това на компетентния орган, който е предоставил информацията, но не по-късно от три месеца след като резултатът от използването на поисканата информация е известен, освен ако обратна информация вече е била предоставена съгласно параграф 1</w:t>
      </w:r>
      <w:r>
        <w:rPr>
          <w:noProof/>
        </w:rPr>
        <w:t xml:space="preserve"> от настоящия член. Комисията определя практическите условия в съответствие с процедурата, посочена в член 26, параграф 2.“</w:t>
      </w:r>
    </w:p>
    <w:p w:rsidR="002F45D1" w:rsidRDefault="00B75E8E">
      <w:pPr>
        <w:rPr>
          <w:b/>
          <w:noProof/>
        </w:rPr>
      </w:pPr>
      <w:r>
        <w:rPr>
          <w:noProof/>
        </w:rPr>
        <w:t>(5)</w:t>
      </w:r>
      <w:r>
        <w:rPr>
          <w:noProof/>
        </w:rPr>
        <w:tab/>
        <w:t>В член 20 се добавя следният параграф 5:</w:t>
      </w:r>
    </w:p>
    <w:p w:rsidR="002F45D1" w:rsidRDefault="00B75E8E">
      <w:pPr>
        <w:ind w:left="720"/>
        <w:rPr>
          <w:noProof/>
        </w:rPr>
      </w:pPr>
      <w:r>
        <w:rPr>
          <w:noProof/>
        </w:rPr>
        <w:t>5. За автоматичния обмен на информация относно предварителни трансгранични данъчни стан</w:t>
      </w:r>
      <w:r>
        <w:rPr>
          <w:noProof/>
        </w:rPr>
        <w:t>овища и предварителни споразумения за ценообразуване съгласно член 8а се използва стандартен формуляр, след като той бъде приет от Комисията в съответствие с процедурата, посочена в член 26, параграф 2.“</w:t>
      </w:r>
    </w:p>
    <w:p w:rsidR="002F45D1" w:rsidRDefault="00B75E8E">
      <w:pPr>
        <w:rPr>
          <w:b/>
          <w:noProof/>
        </w:rPr>
      </w:pPr>
      <w:r>
        <w:rPr>
          <w:noProof/>
        </w:rPr>
        <w:t>(6)</w:t>
      </w:r>
      <w:r>
        <w:rPr>
          <w:noProof/>
        </w:rPr>
        <w:tab/>
        <w:t>В член 21 се добавя следният параграф 5:</w:t>
      </w:r>
    </w:p>
    <w:p w:rsidR="002F45D1" w:rsidRDefault="00B75E8E">
      <w:pPr>
        <w:ind w:left="720"/>
        <w:rPr>
          <w:noProof/>
        </w:rPr>
      </w:pPr>
      <w:r>
        <w:rPr>
          <w:noProof/>
        </w:rPr>
        <w:t>„5. Ком</w:t>
      </w:r>
      <w:r>
        <w:rPr>
          <w:noProof/>
        </w:rPr>
        <w:t>исията създава защитен централен регистър, в който информацията, която трябва да се съобщава в рамките на член 8а от настоящата директива, може да се записва, за да се отговори на изискванията за автоматичен обмен, предвидени в член 8а, параграфи 1 и 2. Ко</w:t>
      </w:r>
      <w:r>
        <w:rPr>
          <w:noProof/>
        </w:rPr>
        <w:t>мисията има достъп до информацията, записана в този регистър. Комисията приема необходимите практически правила в съответствие с посочената в член 26, параграф 2 процедура.“</w:t>
      </w:r>
    </w:p>
    <w:p w:rsidR="002F45D1" w:rsidRDefault="00B75E8E">
      <w:pPr>
        <w:rPr>
          <w:noProof/>
        </w:rPr>
      </w:pPr>
      <w:r>
        <w:rPr>
          <w:noProof/>
        </w:rPr>
        <w:t>(7)</w:t>
      </w:r>
      <w:r>
        <w:rPr>
          <w:noProof/>
        </w:rPr>
        <w:tab/>
        <w:t>Член 23 се изменя, както следва:</w:t>
      </w:r>
    </w:p>
    <w:p w:rsidR="002F45D1" w:rsidRDefault="00B75E8E">
      <w:pPr>
        <w:ind w:firstLine="720"/>
        <w:rPr>
          <w:noProof/>
        </w:rPr>
      </w:pPr>
      <w:r>
        <w:rPr>
          <w:noProof/>
        </w:rPr>
        <w:t>а) Параграф 3 се заменя със следното:</w:t>
      </w:r>
    </w:p>
    <w:p w:rsidR="002F45D1" w:rsidRDefault="00B75E8E">
      <w:pPr>
        <w:ind w:left="720"/>
        <w:rPr>
          <w:noProof/>
        </w:rPr>
      </w:pPr>
      <w:r>
        <w:rPr>
          <w:noProof/>
        </w:rPr>
        <w:t xml:space="preserve">„3. </w:t>
      </w:r>
      <w:r>
        <w:rPr>
          <w:noProof/>
        </w:rPr>
        <w:t>Държавите членки съобщават на Комисията годишната оценка за ефективността на автоматичния обмен на информация, предвиден в членове 8 и 8а, както и постигнатите практически резултати. Комисията одобрява формата, както и реда и условията за предаването на го</w:t>
      </w:r>
      <w:r>
        <w:rPr>
          <w:noProof/>
        </w:rPr>
        <w:t>дишната оценка в съответствие с процедурата, посочена в член 26, параграф 2.“</w:t>
      </w:r>
    </w:p>
    <w:p w:rsidR="00B75E8E" w:rsidRDefault="00B75E8E">
      <w:pPr>
        <w:rPr>
          <w:noProof/>
          <w:lang w:val="fr-BE"/>
        </w:rPr>
      </w:pPr>
    </w:p>
    <w:p w:rsidR="002F45D1" w:rsidRDefault="00B75E8E">
      <w:pPr>
        <w:rPr>
          <w:b/>
          <w:noProof/>
        </w:rPr>
      </w:pPr>
      <w:r>
        <w:rPr>
          <w:noProof/>
        </w:rPr>
        <w:t>б) Параграфи 5 и 6 се заличават.</w:t>
      </w:r>
    </w:p>
    <w:p w:rsidR="002F45D1" w:rsidRDefault="00B75E8E">
      <w:pPr>
        <w:rPr>
          <w:b/>
          <w:noProof/>
        </w:rPr>
      </w:pPr>
      <w:r>
        <w:rPr>
          <w:noProof/>
        </w:rPr>
        <w:t>(8)</w:t>
      </w:r>
      <w:r>
        <w:rPr>
          <w:noProof/>
        </w:rPr>
        <w:tab/>
        <w:t>Вмъква се следният член 23a:</w:t>
      </w:r>
    </w:p>
    <w:p w:rsidR="002F45D1" w:rsidRDefault="00B75E8E">
      <w:pPr>
        <w:ind w:left="720"/>
        <w:rPr>
          <w:noProof/>
        </w:rPr>
      </w:pPr>
      <w:r>
        <w:rPr>
          <w:noProof/>
        </w:rPr>
        <w:t>„Член 23a</w:t>
      </w:r>
    </w:p>
    <w:p w:rsidR="002F45D1" w:rsidRDefault="00B75E8E">
      <w:pPr>
        <w:ind w:left="720"/>
        <w:rPr>
          <w:noProof/>
        </w:rPr>
      </w:pPr>
      <w:r>
        <w:rPr>
          <w:noProof/>
        </w:rPr>
        <w:t>Поверителност на информацията</w:t>
      </w:r>
    </w:p>
    <w:p w:rsidR="002F45D1" w:rsidRDefault="00B75E8E">
      <w:pPr>
        <w:ind w:left="720"/>
        <w:rPr>
          <w:noProof/>
        </w:rPr>
      </w:pPr>
      <w:r>
        <w:rPr>
          <w:noProof/>
        </w:rPr>
        <w:t>1. Информацията, предадена на Комисията съгласно настоящата директива, с</w:t>
      </w:r>
      <w:r>
        <w:rPr>
          <w:noProof/>
        </w:rPr>
        <w:t>е третира от Комисията като поверителна в съответствие с разпоредбите, приложими за органите на Съюза.</w:t>
      </w:r>
    </w:p>
    <w:p w:rsidR="002F45D1" w:rsidRDefault="00B75E8E">
      <w:pPr>
        <w:ind w:left="720"/>
        <w:rPr>
          <w:noProof/>
        </w:rPr>
      </w:pPr>
      <w:r>
        <w:rPr>
          <w:noProof/>
        </w:rPr>
        <w:t>2. Информацията, предадена на Комисията от държава членка съгласно член 23, както и всички доклади или документи, изготвени от Комисията въз основа на та</w:t>
      </w:r>
      <w:r>
        <w:rPr>
          <w:noProof/>
        </w:rPr>
        <w:t>зи информация, могат да бъдат предавани на останалите държави членки. Предаваната информацията представлява служебна тайна и е защитена по същия начин, както подобна информация съгласно националното законодателство на държавата членка, която я получава.</w:t>
      </w:r>
    </w:p>
    <w:p w:rsidR="002F45D1" w:rsidRDefault="00B75E8E">
      <w:pPr>
        <w:ind w:left="720"/>
        <w:rPr>
          <w:noProof/>
        </w:rPr>
      </w:pPr>
      <w:r>
        <w:rPr>
          <w:noProof/>
        </w:rPr>
        <w:t>Из</w:t>
      </w:r>
      <w:r>
        <w:rPr>
          <w:noProof/>
        </w:rPr>
        <w:t>готвените от Комисията доклади и документи, посочени в първа алинея, могат да се използват от държавите членки само за аналитични цели, но не се публикуват, нито се предоставят на други лица или органи без изричното съгласие на Комисията.“</w:t>
      </w:r>
    </w:p>
    <w:p w:rsidR="002F45D1" w:rsidRDefault="00B75E8E">
      <w:pPr>
        <w:rPr>
          <w:b/>
          <w:noProof/>
        </w:rPr>
      </w:pPr>
      <w:r>
        <w:rPr>
          <w:noProof/>
        </w:rPr>
        <w:t>(9)</w:t>
      </w:r>
      <w:r>
        <w:rPr>
          <w:noProof/>
        </w:rPr>
        <w:tab/>
        <w:t>В член 25 се</w:t>
      </w:r>
      <w:r>
        <w:rPr>
          <w:noProof/>
        </w:rPr>
        <w:t xml:space="preserve"> вмъква следният параграф 1а:</w:t>
      </w:r>
    </w:p>
    <w:p w:rsidR="002F45D1" w:rsidRDefault="00B75E8E">
      <w:pPr>
        <w:ind w:left="720"/>
        <w:rPr>
          <w:noProof/>
        </w:rPr>
      </w:pPr>
      <w:r>
        <w:rPr>
          <w:noProof/>
        </w:rPr>
        <w:t>„1а. Разпоредбите на Регламент (ЕО) № 45/2001 се прилагат по отношение на всяко обработване на лични данни съгласно настоящата директива от страна на институциите и органите на Съюза. Въпреки това за целите на правилното прила</w:t>
      </w:r>
      <w:r>
        <w:rPr>
          <w:noProof/>
        </w:rPr>
        <w:t>гане на настоящата директива обхватът на задълженията и правата, предвидени в член 11, член 12, параграф 1 и членове 13 —17 от Регламент (ЕО) № 45/2001, се ограничава до степента, необходима за запазване на интересите по член 20, параграф 1, буква б) от съ</w:t>
      </w:r>
      <w:r>
        <w:rPr>
          <w:noProof/>
        </w:rPr>
        <w:t>щия регламент.“</w:t>
      </w:r>
    </w:p>
    <w:p w:rsidR="002F45D1" w:rsidRDefault="00B75E8E">
      <w:pPr>
        <w:pStyle w:val="Titrearticle"/>
        <w:rPr>
          <w:noProof/>
        </w:rPr>
      </w:pPr>
      <w:r>
        <w:rPr>
          <w:noProof/>
        </w:rPr>
        <w:t>Член 2</w:t>
      </w:r>
    </w:p>
    <w:p w:rsidR="00B75E8E" w:rsidRDefault="00B75E8E">
      <w:pPr>
        <w:pStyle w:val="ManualNumPar1"/>
        <w:ind w:left="709" w:hanging="709"/>
        <w:rPr>
          <w:noProof/>
          <w:lang w:val="fr-BE"/>
        </w:rPr>
      </w:pPr>
    </w:p>
    <w:p w:rsidR="002F45D1" w:rsidRDefault="00B75E8E">
      <w:pPr>
        <w:pStyle w:val="ManualNumPar1"/>
        <w:ind w:left="709" w:hanging="709"/>
        <w:rPr>
          <w:noProof/>
        </w:rPr>
      </w:pPr>
      <w:r>
        <w:rPr>
          <w:noProof/>
        </w:rPr>
        <w:t>1.</w:t>
      </w:r>
      <w:r>
        <w:rPr>
          <w:noProof/>
        </w:rPr>
        <w:tab/>
        <w:t>Държавите членки приемат и публикуват не по-късно от 31 декември 2015 г. законовите, подзаконовите и административните разпоредби, необходими за спазването на настоящата директива. Те незабавно съобщават на Комисията текста на тез</w:t>
      </w:r>
      <w:r>
        <w:rPr>
          <w:noProof/>
        </w:rPr>
        <w:t>и разпоредби.</w:t>
      </w:r>
    </w:p>
    <w:p w:rsidR="002F45D1" w:rsidRDefault="00B75E8E">
      <w:pPr>
        <w:pStyle w:val="Text1"/>
        <w:ind w:left="709"/>
        <w:rPr>
          <w:noProof/>
        </w:rPr>
      </w:pPr>
      <w:r>
        <w:rPr>
          <w:noProof/>
        </w:rPr>
        <w:t>Те прилагат тези разпоредби, считано от 1 януари 2016 г.</w:t>
      </w:r>
    </w:p>
    <w:p w:rsidR="002F45D1" w:rsidRDefault="00B75E8E">
      <w:pPr>
        <w:pStyle w:val="Text1"/>
        <w:ind w:left="709"/>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w:t>
      </w:r>
      <w:r>
        <w:rPr>
          <w:noProof/>
        </w:rPr>
        <w:t>е определят от държавите членки.</w:t>
      </w:r>
    </w:p>
    <w:p w:rsidR="002F45D1" w:rsidRDefault="00B75E8E">
      <w:pPr>
        <w:pStyle w:val="ManualNumPar1"/>
        <w:ind w:left="709" w:hanging="709"/>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rsidR="002F45D1" w:rsidRDefault="00B75E8E">
      <w:pPr>
        <w:pStyle w:val="Titrearticle"/>
        <w:rPr>
          <w:noProof/>
        </w:rPr>
      </w:pPr>
      <w:r>
        <w:rPr>
          <w:noProof/>
        </w:rPr>
        <w:t>Член 3</w:t>
      </w:r>
    </w:p>
    <w:p w:rsidR="00B75E8E" w:rsidRDefault="00B75E8E">
      <w:pPr>
        <w:rPr>
          <w:noProof/>
          <w:lang w:val="fr-BE"/>
        </w:rPr>
      </w:pPr>
    </w:p>
    <w:p w:rsidR="002F45D1" w:rsidRDefault="00B75E8E">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rsidR="00B75E8E" w:rsidRDefault="00B75E8E">
      <w:pPr>
        <w:pStyle w:val="Titrearticle"/>
        <w:rPr>
          <w:noProof/>
          <w:lang w:val="fr-BE"/>
        </w:rPr>
      </w:pPr>
    </w:p>
    <w:p w:rsidR="002F45D1" w:rsidRDefault="00B75E8E">
      <w:pPr>
        <w:pStyle w:val="Titrearticle"/>
        <w:rPr>
          <w:noProof/>
        </w:rPr>
      </w:pPr>
      <w:bookmarkStart w:id="0" w:name="_GoBack"/>
      <w:bookmarkEnd w:id="0"/>
      <w:r>
        <w:rPr>
          <w:noProof/>
        </w:rPr>
        <w:t>Член 4</w:t>
      </w:r>
    </w:p>
    <w:p w:rsidR="002F45D1" w:rsidRDefault="00B75E8E">
      <w:pPr>
        <w:rPr>
          <w:noProof/>
        </w:rPr>
      </w:pPr>
      <w:r>
        <w:rPr>
          <w:noProof/>
        </w:rPr>
        <w:t>Адресати на настоящата директива са държавите членки.</w:t>
      </w:r>
    </w:p>
    <w:p w:rsidR="002F45D1" w:rsidRDefault="00B75E8E">
      <w:pPr>
        <w:pStyle w:val="Fait"/>
        <w:rPr>
          <w:noProof/>
        </w:rPr>
      </w:pPr>
      <w:r>
        <w:rPr>
          <w:noProof/>
        </w:rPr>
        <w:t>Съставено в Брюксел на  година.</w:t>
      </w:r>
    </w:p>
    <w:p w:rsidR="002F45D1" w:rsidRDefault="00B75E8E">
      <w:pPr>
        <w:pStyle w:val="Institutionquisigne"/>
        <w:rPr>
          <w:noProof/>
        </w:rPr>
      </w:pPr>
      <w:r>
        <w:rPr>
          <w:noProof/>
        </w:rPr>
        <w:tab/>
        <w:t>За Съвета</w:t>
      </w:r>
    </w:p>
    <w:p w:rsidR="002F45D1" w:rsidRDefault="00B75E8E">
      <w:pPr>
        <w:pStyle w:val="Personnequisigne"/>
        <w:rPr>
          <w:noProof/>
        </w:rPr>
      </w:pPr>
      <w:r>
        <w:rPr>
          <w:noProof/>
        </w:rPr>
        <w:tab/>
        <w:t>Председател</w:t>
      </w:r>
    </w:p>
    <w:p w:rsidR="002F45D1" w:rsidRDefault="002F45D1">
      <w:pPr>
        <w:rPr>
          <w:noProof/>
        </w:rPr>
        <w:sectPr w:rsidR="002F45D1">
          <w:pgSz w:w="11907" w:h="16839"/>
          <w:pgMar w:top="1134" w:right="1417" w:bottom="1134" w:left="1417" w:header="709" w:footer="709" w:gutter="0"/>
          <w:cols w:space="708"/>
          <w:docGrid w:linePitch="360"/>
        </w:sectPr>
      </w:pPr>
    </w:p>
    <w:p w:rsidR="002F45D1" w:rsidRDefault="00B75E8E">
      <w:pPr>
        <w:pStyle w:val="Fichefinanciretitre"/>
        <w:rPr>
          <w:noProof/>
        </w:rPr>
      </w:pPr>
      <w:r>
        <w:rPr>
          <w:noProof/>
        </w:rPr>
        <w:t>ЗАКОНОДАТЕЛНА ФИНАНСОВА ОБОСНОВКА</w:t>
      </w:r>
    </w:p>
    <w:p w:rsidR="002F45D1" w:rsidRDefault="00B75E8E">
      <w:pPr>
        <w:pStyle w:val="ManualHeading1"/>
        <w:rPr>
          <w:noProof/>
        </w:rPr>
      </w:pPr>
      <w:r>
        <w:rPr>
          <w:noProof/>
        </w:rPr>
        <w:t>1.</w:t>
      </w:r>
      <w:r>
        <w:rPr>
          <w:noProof/>
        </w:rPr>
        <w:tab/>
        <w:t xml:space="preserve">РАМКА НА ПРЕДЛОЖЕНИЕТО/ИНИЦИАТИВАТА </w:t>
      </w:r>
    </w:p>
    <w:p w:rsidR="002F45D1" w:rsidRDefault="00B75E8E">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2F45D1" w:rsidRDefault="00B75E8E">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2F45D1" w:rsidRDefault="00B75E8E">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2F45D1" w:rsidRDefault="00B75E8E">
      <w:pPr>
        <w:pStyle w:val="ManualHeading2"/>
        <w:rPr>
          <w:b w:val="0"/>
          <w:noProof/>
        </w:rPr>
      </w:pPr>
      <w:r>
        <w:rPr>
          <w:noProof/>
        </w:rPr>
        <w:tab/>
      </w:r>
      <w:r>
        <w:rPr>
          <w:b w:val="0"/>
          <w:noProof/>
        </w:rPr>
        <w:t>1.4.</w:t>
      </w:r>
      <w:r>
        <w:rPr>
          <w:noProof/>
        </w:rPr>
        <w:tab/>
      </w:r>
      <w:r>
        <w:rPr>
          <w:b w:val="0"/>
          <w:noProof/>
        </w:rPr>
        <w:t xml:space="preserve">Цели </w:t>
      </w:r>
    </w:p>
    <w:p w:rsidR="002F45D1" w:rsidRDefault="00B75E8E">
      <w:pPr>
        <w:pStyle w:val="ManualHeading2"/>
        <w:rPr>
          <w:b w:val="0"/>
          <w:noProof/>
        </w:rPr>
      </w:pPr>
      <w:r>
        <w:rPr>
          <w:noProof/>
        </w:rPr>
        <w:tab/>
      </w:r>
      <w:r>
        <w:rPr>
          <w:b w:val="0"/>
          <w:noProof/>
        </w:rPr>
        <w:t>1.5.</w:t>
      </w:r>
      <w:r>
        <w:rPr>
          <w:noProof/>
        </w:rPr>
        <w:tab/>
      </w:r>
      <w:r>
        <w:rPr>
          <w:b w:val="0"/>
          <w:noProof/>
        </w:rPr>
        <w:t>Мотиви</w:t>
      </w:r>
      <w:r>
        <w:rPr>
          <w:b w:val="0"/>
          <w:noProof/>
        </w:rPr>
        <w:t xml:space="preserve"> за предложението/инициативата </w:t>
      </w:r>
    </w:p>
    <w:p w:rsidR="002F45D1" w:rsidRDefault="00B75E8E">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2F45D1" w:rsidRDefault="00B75E8E">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2F45D1" w:rsidRDefault="00B75E8E">
      <w:pPr>
        <w:pStyle w:val="ManualHeading1"/>
        <w:rPr>
          <w:noProof/>
        </w:rPr>
      </w:pPr>
      <w:r>
        <w:rPr>
          <w:noProof/>
        </w:rPr>
        <w:t>2.</w:t>
      </w:r>
      <w:r>
        <w:rPr>
          <w:noProof/>
        </w:rPr>
        <w:tab/>
        <w:t xml:space="preserve">МЕРКИ ЗА УПРАВЛЕНИЕ </w:t>
      </w:r>
    </w:p>
    <w:p w:rsidR="002F45D1" w:rsidRDefault="00B75E8E">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2F45D1" w:rsidRDefault="00B75E8E">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2F45D1" w:rsidRDefault="00B75E8E">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2F45D1" w:rsidRDefault="00B75E8E">
      <w:pPr>
        <w:pStyle w:val="ManualHeading1"/>
        <w:rPr>
          <w:noProof/>
        </w:rPr>
      </w:pPr>
      <w:r>
        <w:rPr>
          <w:noProof/>
        </w:rPr>
        <w:t>3.</w:t>
      </w:r>
      <w:r>
        <w:rPr>
          <w:noProof/>
        </w:rPr>
        <w:tab/>
        <w:t xml:space="preserve">ОЧАКВАНО ФИНАНСОВО ОТРАЖЕНИЕ НА ПРЕДЛОЖЕНИЕТО/ИНИЦИАТИВАТА </w:t>
      </w:r>
    </w:p>
    <w:p w:rsidR="002F45D1" w:rsidRDefault="00B75E8E">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2F45D1" w:rsidRDefault="00B75E8E">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2F45D1" w:rsidRDefault="00B75E8E">
      <w:pPr>
        <w:pStyle w:val="ManualHeading3"/>
        <w:rPr>
          <w:noProof/>
        </w:rPr>
      </w:pPr>
      <w:r>
        <w:rPr>
          <w:noProof/>
        </w:rPr>
        <w:tab/>
        <w:t>3.2.1.</w:t>
      </w:r>
      <w:r>
        <w:rPr>
          <w:noProof/>
        </w:rPr>
        <w:tab/>
        <w:t>Обобщени</w:t>
      </w:r>
      <w:r>
        <w:rPr>
          <w:noProof/>
        </w:rPr>
        <w:t xml:space="preserve">е на очакваното отражение върху разходите </w:t>
      </w:r>
    </w:p>
    <w:p w:rsidR="002F45D1" w:rsidRDefault="00B75E8E">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2F45D1" w:rsidRDefault="00B75E8E">
      <w:pPr>
        <w:pStyle w:val="ManualHeading3"/>
        <w:rPr>
          <w:noProof/>
        </w:rPr>
      </w:pPr>
      <w:r>
        <w:rPr>
          <w:noProof/>
        </w:rPr>
        <w:tab/>
        <w:t>3.2.3.</w:t>
      </w:r>
      <w:r>
        <w:rPr>
          <w:noProof/>
        </w:rPr>
        <w:tab/>
        <w:t>Очаквано отражение върху бюджетните кредити за административни разходи</w:t>
      </w:r>
    </w:p>
    <w:p w:rsidR="002F45D1" w:rsidRDefault="00B75E8E">
      <w:pPr>
        <w:pStyle w:val="ManualHeading3"/>
        <w:rPr>
          <w:noProof/>
        </w:rPr>
      </w:pPr>
      <w:r>
        <w:rPr>
          <w:noProof/>
        </w:rPr>
        <w:tab/>
        <w:t>3.2.4.</w:t>
      </w:r>
      <w:r>
        <w:rPr>
          <w:noProof/>
        </w:rPr>
        <w:tab/>
        <w:t>Съвместимост с настоящата многогодишна финансова ра</w:t>
      </w:r>
      <w:r>
        <w:rPr>
          <w:noProof/>
        </w:rPr>
        <w:t>мка</w:t>
      </w:r>
    </w:p>
    <w:p w:rsidR="002F45D1" w:rsidRDefault="00B75E8E">
      <w:pPr>
        <w:pStyle w:val="ManualHeading3"/>
        <w:rPr>
          <w:noProof/>
        </w:rPr>
      </w:pPr>
      <w:r>
        <w:rPr>
          <w:noProof/>
        </w:rPr>
        <w:tab/>
        <w:t>3.2.5.</w:t>
      </w:r>
      <w:r>
        <w:rPr>
          <w:noProof/>
        </w:rPr>
        <w:tab/>
        <w:t xml:space="preserve">Участие на трети страни във финансирането </w:t>
      </w:r>
    </w:p>
    <w:p w:rsidR="002F45D1" w:rsidRDefault="00B75E8E">
      <w:pPr>
        <w:pStyle w:val="ManualHeading2"/>
        <w:jc w:val="left"/>
        <w:rPr>
          <w:b w:val="0"/>
          <w:noProof/>
        </w:rPr>
        <w:sectPr w:rsidR="002F45D1">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2F45D1" w:rsidRDefault="00B75E8E">
      <w:pPr>
        <w:jc w:val="center"/>
        <w:rPr>
          <w:noProof/>
        </w:rPr>
      </w:pPr>
      <w:r>
        <w:rPr>
          <w:b/>
          <w:noProof/>
          <w:u w:val="single"/>
        </w:rPr>
        <w:t>ЗАКОНОДАТЕЛНА ФИНАНСОВА ОБОСНОВКА</w:t>
      </w:r>
    </w:p>
    <w:p w:rsidR="002F45D1" w:rsidRDefault="00B75E8E">
      <w:pPr>
        <w:pStyle w:val="ManualHeading1"/>
        <w:rPr>
          <w:noProof/>
        </w:rPr>
      </w:pPr>
      <w:r>
        <w:t>1.</w:t>
      </w:r>
      <w:r>
        <w:tab/>
      </w:r>
      <w:r>
        <w:rPr>
          <w:noProof/>
        </w:rPr>
        <w:t xml:space="preserve">РАМКА НА ПРЕДЛОЖЕНИЕТО/ИНИЦИАТИВАТА </w:t>
      </w:r>
    </w:p>
    <w:p w:rsidR="002F45D1" w:rsidRDefault="00B75E8E">
      <w:pPr>
        <w:pStyle w:val="ManualHeading2"/>
        <w:rPr>
          <w:noProof/>
        </w:rPr>
      </w:pPr>
      <w:r>
        <w:t>1.</w:t>
      </w:r>
      <w:proofErr w:type="spellStart"/>
      <w:r>
        <w:t>1</w:t>
      </w:r>
      <w:proofErr w:type="spellEnd"/>
      <w:r>
        <w:t>.</w:t>
      </w:r>
      <w:r>
        <w:tab/>
      </w:r>
      <w:r>
        <w:rPr>
          <w:noProof/>
        </w:rPr>
        <w:t xml:space="preserve">Наименование на предложението/инициативата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 за Директива на Съвета за изменение на Директива 2011/16/ЕС </w:t>
      </w:r>
      <w:r>
        <w:rPr>
          <w:noProof/>
        </w:rPr>
        <w:tab/>
      </w:r>
      <w:r>
        <w:rPr>
          <w:noProof/>
        </w:rPr>
        <w:br/>
        <w:t>по отношение на обмена на информация в областта на данъчното облагане</w:t>
      </w:r>
    </w:p>
    <w:p w:rsidR="002F45D1" w:rsidRDefault="00B75E8E">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15"/>
      </w:r>
      <w:r>
        <w:rPr>
          <w:i/>
          <w:noProof/>
        </w:rPr>
        <w:t xml:space="preserve">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14</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14.03</w:t>
      </w:r>
    </w:p>
    <w:p w:rsidR="002F45D1" w:rsidRDefault="00B75E8E">
      <w:pPr>
        <w:pStyle w:val="ManualHeading2"/>
        <w:rPr>
          <w:bCs/>
          <w:noProof/>
          <w:szCs w:val="24"/>
        </w:rPr>
      </w:pPr>
      <w:r>
        <w:t>1.3.</w:t>
      </w:r>
      <w:r>
        <w:tab/>
      </w:r>
      <w:r>
        <w:rPr>
          <w:noProof/>
        </w:rPr>
        <w:t>Естество на предложението/инициатива</w:t>
      </w:r>
      <w:r>
        <w:rPr>
          <w:noProof/>
        </w:rPr>
        <w:t xml:space="preserve">та </w:t>
      </w:r>
    </w:p>
    <w:p w:rsidR="002F45D1" w:rsidRDefault="00B75E8E">
      <w:pPr>
        <w:pStyle w:val="Text1"/>
        <w:rPr>
          <w:b/>
          <w:noProof/>
          <w:sz w:val="22"/>
        </w:rPr>
      </w:pPr>
      <w:r>
        <w:rPr>
          <w:noProof/>
          <w:sz w:val="22"/>
        </w:rPr>
        <w:sym w:font="Wingdings" w:char="F0FD"/>
      </w:r>
      <w:r>
        <w:rPr>
          <w:noProof/>
        </w:rPr>
        <w:t xml:space="preserve">Предложението/инициативата е във връзка с </w:t>
      </w:r>
      <w:r>
        <w:rPr>
          <w:b/>
          <w:noProof/>
        </w:rPr>
        <w:t>нова дейност</w:t>
      </w:r>
      <w:r>
        <w:rPr>
          <w:b/>
          <w:noProof/>
          <w:sz w:val="22"/>
        </w:rPr>
        <w:t xml:space="preserve"> </w:t>
      </w:r>
    </w:p>
    <w:p w:rsidR="002F45D1" w:rsidRDefault="00B75E8E">
      <w:pPr>
        <w:pStyle w:val="Text1"/>
        <w:rPr>
          <w:noProof/>
          <w:sz w:val="22"/>
        </w:rPr>
      </w:pPr>
      <w:r>
        <w:rPr>
          <w:noProof/>
          <w:sz w:val="22"/>
        </w:rPr>
        <w:sym w:font="Wingdings" w:char="F0A8"/>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16"/>
      </w:r>
      <w:r>
        <w:rPr>
          <w:noProof/>
          <w:sz w:val="22"/>
        </w:rPr>
        <w:t xml:space="preserve"> </w:t>
      </w:r>
    </w:p>
    <w:p w:rsidR="002F45D1" w:rsidRDefault="00B75E8E">
      <w:pPr>
        <w:pStyle w:val="Text1"/>
        <w:rPr>
          <w:noProof/>
          <w:sz w:val="22"/>
        </w:rPr>
      </w:pPr>
      <w:r>
        <w:rPr>
          <w:noProof/>
          <w:sz w:val="22"/>
        </w:rPr>
        <w:sym w:font="Wingdings" w:char="F0A8"/>
      </w:r>
      <w:r>
        <w:rPr>
          <w:noProof/>
        </w:rPr>
        <w:t xml:space="preserve">Предложението/инициативата е във </w:t>
      </w:r>
      <w:r>
        <w:rPr>
          <w:b/>
          <w:noProof/>
        </w:rPr>
        <w:t>връзка с продължаване на съществуваща дейност</w:t>
      </w:r>
      <w:r>
        <w:rPr>
          <w:noProof/>
          <w:sz w:val="22"/>
        </w:rPr>
        <w:t xml:space="preserve"> </w:t>
      </w:r>
    </w:p>
    <w:p w:rsidR="002F45D1" w:rsidRDefault="00B75E8E">
      <w:pPr>
        <w:pStyle w:val="Text1"/>
        <w:rPr>
          <w:noProof/>
        </w:rPr>
      </w:pPr>
      <w:r>
        <w:rPr>
          <w:noProof/>
          <w:sz w:val="22"/>
        </w:rPr>
        <w:sym w:font="Wingdings" w:char="F0A8"/>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rsidR="002F45D1" w:rsidRDefault="00B75E8E">
      <w:pPr>
        <w:pStyle w:val="ManualHeading2"/>
        <w:rPr>
          <w:bCs/>
          <w:noProof/>
          <w:szCs w:val="24"/>
        </w:rPr>
      </w:pPr>
      <w:r>
        <w:t>1.4.</w:t>
      </w:r>
      <w:r>
        <w:tab/>
      </w:r>
      <w:r>
        <w:rPr>
          <w:noProof/>
        </w:rPr>
        <w:t>Цели</w:t>
      </w:r>
    </w:p>
    <w:p w:rsidR="002F45D1" w:rsidRDefault="00B75E8E">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Един от приоритетите в работната програма на Ком</w:t>
      </w:r>
      <w:r>
        <w:rPr>
          <w:noProof/>
        </w:rPr>
        <w:t>исията за 2015 г. е по-справедлив подход към данъчното облагане, включително чрез гарантиране на „автоматичен обмен на информация относно данъчните становища“, което e целта и настоящото предложение.</w:t>
      </w:r>
    </w:p>
    <w:p w:rsidR="002F45D1" w:rsidRDefault="00B75E8E">
      <w:pPr>
        <w:pStyle w:val="ManualHeading3"/>
        <w:rPr>
          <w:bCs/>
          <w:noProof/>
          <w:szCs w:val="24"/>
        </w:rPr>
      </w:pPr>
      <w:r>
        <w:t>1.4.2.</w:t>
      </w:r>
      <w:r>
        <w:tab/>
      </w:r>
      <w:r>
        <w:rPr>
          <w:noProof/>
        </w:rPr>
        <w:t xml:space="preserve">Конкретни цели и съответни дейности във връзка с </w:t>
      </w:r>
      <w:r>
        <w:rPr>
          <w:noProof/>
        </w:rPr>
        <w:t xml:space="preserve">УД/БД </w:t>
      </w:r>
    </w:p>
    <w:p w:rsidR="002F45D1" w:rsidRDefault="00B75E8E">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Специфична цел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Конкретната цел на програмата Фискалис е да се подкрепи борбата с данъчните измами, укриването на данъци и агресивното данъчно планиране и прилагането на законодателството на Съюза в областта на данъчното облагане чрез осигуряване на</w:t>
      </w:r>
      <w:r>
        <w:rPr>
          <w:noProof/>
        </w:rPr>
        <w:t xml:space="preserve"> обмен на информация, подпомагане на административното сътрудничество и, когато е необходимо и целесъобразно, подобряване на административния капацитет на участващите държави с оглед да се подпомогне намаляването на административната тежест за данъчните вл</w:t>
      </w:r>
      <w:r>
        <w:rPr>
          <w:noProof/>
        </w:rPr>
        <w:t>асти и намаляването на разходите за данъкоплатците, свързани с изпълнение на данъчните задължения.</w:t>
      </w:r>
    </w:p>
    <w:p w:rsidR="002F45D1" w:rsidRDefault="00B75E8E">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БД 3</w:t>
      </w:r>
    </w:p>
    <w:p w:rsidR="002F45D1" w:rsidRDefault="00B75E8E">
      <w:pPr>
        <w:pStyle w:val="ManualHeading3"/>
        <w:rPr>
          <w:bCs/>
          <w:noProof/>
          <w:szCs w:val="24"/>
        </w:rPr>
      </w:pPr>
      <w:r>
        <w:rPr>
          <w:noProof/>
        </w:rPr>
        <w:br w:type="page"/>
      </w:r>
      <w:r>
        <w:t>1.4.3.</w:t>
      </w:r>
      <w:r>
        <w:tab/>
      </w:r>
      <w:r>
        <w:rPr>
          <w:noProof/>
        </w:rPr>
        <w:t>Очаквани резултати и отражение</w:t>
      </w:r>
    </w:p>
    <w:p w:rsidR="002F45D1" w:rsidRDefault="00B75E8E">
      <w:pPr>
        <w:pStyle w:val="Text1"/>
        <w:rPr>
          <w:i/>
          <w:noProof/>
          <w:sz w:val="20"/>
        </w:rPr>
      </w:pPr>
      <w:r>
        <w:rPr>
          <w:i/>
          <w:noProof/>
          <w:sz w:val="20"/>
        </w:rPr>
        <w:t xml:space="preserve">Да се посочи въздействието, което предложението/инициативата следва да </w:t>
      </w:r>
      <w:r>
        <w:rPr>
          <w:i/>
          <w:noProof/>
          <w:sz w:val="20"/>
        </w:rPr>
        <w:t>окаже по отношение на бенефициерите/целевите групи.</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Първо, автоматичният обмен на информация между държавите членки относно данъчните становища ще означава, че всички държави членки ще могат правилно да преценяват дали данъчните становища на друга държава </w:t>
      </w:r>
      <w:r>
        <w:rPr>
          <w:noProof/>
        </w:rPr>
        <w:t xml:space="preserve">членка оказват (дори непреднамерено) въздействие върху тях и ще могат да реагират по подходящ начин.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Второ, по-голямата прозрачност относно данъчните становища следва да увеличи стимулите за установяването на по-справедлива конкуренция в областта на данъч</w:t>
      </w:r>
      <w:r>
        <w:rPr>
          <w:noProof/>
        </w:rPr>
        <w:t>ното облагане. Възможно е също автоматичният обмен на информация относно данъчните становища да обезкуражи дружествата да прилагат агресивното данъчно планиране въз основа на данъчните становища, тъй като другите държави членки вече ще разполагат с необход</w:t>
      </w:r>
      <w:r>
        <w:rPr>
          <w:noProof/>
        </w:rPr>
        <w:t xml:space="preserve">имата информация, за да откриват и реагират на фиктивни договорености и прехвърлянето на печалби. </w:t>
      </w:r>
    </w:p>
    <w:p w:rsidR="002F45D1" w:rsidRDefault="00B75E8E">
      <w:pPr>
        <w:pStyle w:val="ManualHeading3"/>
        <w:rPr>
          <w:bCs/>
          <w:noProof/>
          <w:szCs w:val="24"/>
        </w:rPr>
      </w:pPr>
      <w:r>
        <w:t>1.4.</w:t>
      </w:r>
      <w:proofErr w:type="spellStart"/>
      <w:r>
        <w:t>4</w:t>
      </w:r>
      <w:proofErr w:type="spellEnd"/>
      <w:r>
        <w:t>.</w:t>
      </w:r>
      <w:r>
        <w:tab/>
      </w:r>
      <w:r>
        <w:rPr>
          <w:noProof/>
        </w:rPr>
        <w:t xml:space="preserve">Показатели за резултатите и за отражението </w:t>
      </w:r>
    </w:p>
    <w:p w:rsidR="002F45D1" w:rsidRDefault="00B75E8E">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Пр</w:t>
      </w:r>
      <w:r>
        <w:rPr>
          <w:noProof/>
        </w:rPr>
        <w:t xml:space="preserve">едложението ще се ръководи от изискванията в директивата, която изменя (Директива 2011/16), по отношение на i) предоставянето от държавите членки на годишна основа на статистически данни за обмена на информация, ii) представянето от страна на Комисията на </w:t>
      </w:r>
      <w:r>
        <w:rPr>
          <w:noProof/>
        </w:rPr>
        <w:t>доклад, изготвен въз основа на тези статистически данни, и iii) предоставянето от държавите членки на годишна оценка за ефективността на автоматичния обмен на информация.</w:t>
      </w:r>
    </w:p>
    <w:p w:rsidR="002F45D1" w:rsidRDefault="00B75E8E">
      <w:pPr>
        <w:pStyle w:val="ManualHeading2"/>
        <w:rPr>
          <w:bCs/>
          <w:noProof/>
          <w:szCs w:val="24"/>
        </w:rPr>
      </w:pPr>
      <w:r>
        <w:t>1.5.</w:t>
      </w:r>
      <w:r>
        <w:tab/>
      </w:r>
      <w:r>
        <w:rPr>
          <w:noProof/>
        </w:rPr>
        <w:t xml:space="preserve">Мотиви за предложението/инициативата </w:t>
      </w:r>
    </w:p>
    <w:p w:rsidR="002F45D1" w:rsidRDefault="00B75E8E">
      <w:pPr>
        <w:pStyle w:val="ManualHeading3"/>
        <w:rPr>
          <w:noProof/>
        </w:rPr>
      </w:pPr>
      <w:r>
        <w:t>1.5.1.</w:t>
      </w:r>
      <w:r>
        <w:tab/>
      </w:r>
      <w:r>
        <w:rPr>
          <w:noProof/>
        </w:rPr>
        <w:t xml:space="preserve">Нужди, които трябва да бъдат задоволени в краткосрочен или дългосрочен план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Въпреки че по силата на Директивата относно административното сътрудничество (2011/16) съществува изискването дадена държава членка, която издава данъчно становище, да оповестява </w:t>
      </w:r>
      <w:r>
        <w:rPr>
          <w:noProof/>
        </w:rPr>
        <w:t xml:space="preserve">информация на всички други заинтересовани държави членки, държавата членка, издаваща становището, сама преценява за кои други държави членки информацията може да бъде от значение. Възможно е обаче държавата членка, която издава становището, не винаги да е </w:t>
      </w:r>
      <w:r>
        <w:rPr>
          <w:noProof/>
        </w:rPr>
        <w:t>на ясно кои други държави членки биха могли да бъдат засегнати. Освен това понастоящем съществуват няколко изключения от изискването за оповестяване. Съгласно настоящото предложение държавата членка, която издава становището, ще трябва автоматично да предо</w:t>
      </w:r>
      <w:r>
        <w:rPr>
          <w:noProof/>
        </w:rPr>
        <w:t>ставя информация на всички други държави членки. Така държавата членка, получаваща информацията — а не изпращащата информацията страна, ще прецени дали тя е от значение за нея и ще отпаднат действащите освобождавания от изискването за оповестяване.</w:t>
      </w:r>
    </w:p>
    <w:p w:rsidR="002F45D1" w:rsidRDefault="00B75E8E">
      <w:pPr>
        <w:pStyle w:val="ManualHeading3"/>
        <w:rPr>
          <w:bCs/>
          <w:noProof/>
          <w:szCs w:val="24"/>
        </w:rPr>
      </w:pPr>
      <w:r>
        <w:t>1.5.2.</w:t>
      </w:r>
      <w:r>
        <w:tab/>
      </w:r>
      <w:r>
        <w:rPr>
          <w:noProof/>
        </w:rPr>
        <w:t>Добавена стойност от намесата на ЕС</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Ако държавите членки действат самостоятелно, може да не успеят да получат пълна информация за становищата, издадени в други държави членки, дори когато тези становища се отнасят до тяхната данъчна основа. Възприемането н</w:t>
      </w:r>
      <w:r>
        <w:rPr>
          <w:noProof/>
        </w:rPr>
        <w:t>а задължителен подход на равнището на ЕС е единственият начин да се гарантира пълна прозрачност и сътрудничество по този въпрос.</w:t>
      </w:r>
    </w:p>
    <w:p w:rsidR="002F45D1" w:rsidRDefault="00B75E8E">
      <w:pPr>
        <w:pStyle w:val="ManualHeading3"/>
        <w:rPr>
          <w:bCs/>
          <w:noProof/>
          <w:szCs w:val="24"/>
        </w:rPr>
      </w:pPr>
      <w:r>
        <w:t>1.5.3.</w:t>
      </w:r>
      <w:r>
        <w:tab/>
      </w:r>
      <w:r>
        <w:rPr>
          <w:noProof/>
        </w:rPr>
        <w:t>Изводи от подобен опит в миналото</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Настоящият подход на неавтоматичен обмен на информация за данъчните становища не е дов</w:t>
      </w:r>
      <w:r>
        <w:rPr>
          <w:noProof/>
        </w:rPr>
        <w:t>ел до момента до прозрачност в тази област. Понастоящем някои данъкоплатци се възползват от липсата на прозрачност, като създават структури, които изместват печалбите към държави с ниски данъчни ставки, които може да не са държавите, в които се осъществява</w:t>
      </w:r>
      <w:r>
        <w:rPr>
          <w:noProof/>
        </w:rPr>
        <w:t>т икономическите дейности, генериращи печалбите и създаващи стойност. Автоматичният обмен на информация между данъчните администрации, който се прилага в други области на данъчното облагане, като например за доходите от спестявания, дава добри резултати. А</w:t>
      </w:r>
      <w:r>
        <w:rPr>
          <w:noProof/>
        </w:rPr>
        <w:t>втоматичният обмен се приема вече на глобално равнище като най-добрият инструмент на разположение на данъчните администрации за справят с данъчните измами и укриването на данъци.</w:t>
      </w:r>
    </w:p>
    <w:p w:rsidR="002F45D1" w:rsidRDefault="00B75E8E">
      <w:pPr>
        <w:pStyle w:val="ManualHeading3"/>
        <w:rPr>
          <w:bCs/>
          <w:noProof/>
          <w:szCs w:val="24"/>
        </w:rPr>
      </w:pPr>
      <w:r>
        <w:t>1.5.4.</w:t>
      </w:r>
      <w:r>
        <w:tab/>
      </w:r>
      <w:r>
        <w:rPr>
          <w:noProof/>
        </w:rPr>
        <w:t>Съвместимост и евентуална синергия с други подходящи инструменти</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Тъй к</w:t>
      </w:r>
      <w:r>
        <w:rPr>
          <w:noProof/>
        </w:rPr>
        <w:t>ато целта на предложението е да измени Директивата относно административното сътрудничество (2011/16), процедурите, договореностите и информационно-технологичните инструменти, които са вече създадени или са в процес на разработване по силата на тази директ</w:t>
      </w:r>
      <w:r>
        <w:rPr>
          <w:noProof/>
        </w:rPr>
        <w:t xml:space="preserve">ива, ще бъдат на разположение с цел използването им за целите на настоящото предложение. </w:t>
      </w:r>
    </w:p>
    <w:p w:rsidR="002F45D1" w:rsidRDefault="00B75E8E">
      <w:pPr>
        <w:pStyle w:val="ManualHeading2"/>
        <w:rPr>
          <w:bCs/>
          <w:noProof/>
          <w:szCs w:val="24"/>
        </w:rPr>
      </w:pPr>
      <w:r>
        <w:rPr>
          <w:noProof/>
        </w:rPr>
        <w:br w:type="page"/>
      </w:r>
      <w:r>
        <w:t>1.6.</w:t>
      </w:r>
      <w:r>
        <w:tab/>
      </w:r>
      <w:r>
        <w:rPr>
          <w:noProof/>
        </w:rPr>
        <w:t xml:space="preserve">Срок на действие и финансово отражение </w:t>
      </w:r>
    </w:p>
    <w:p w:rsidR="002F45D1" w:rsidRDefault="00B75E8E">
      <w:pPr>
        <w:pStyle w:val="Text1"/>
        <w:rPr>
          <w:noProof/>
        </w:rPr>
      </w:pPr>
      <w:r>
        <w:rPr>
          <w:noProof/>
        </w:rPr>
        <w:sym w:font="Wingdings" w:char="F0A8"/>
      </w:r>
      <w:r>
        <w:rPr>
          <w:noProof/>
        </w:rPr>
        <w:t xml:space="preserve">Предложение/инициатива с </w:t>
      </w:r>
      <w:r>
        <w:rPr>
          <w:b/>
          <w:noProof/>
        </w:rPr>
        <w:t xml:space="preserve">ограничен срок на действие </w:t>
      </w:r>
    </w:p>
    <w:p w:rsidR="002F45D1" w:rsidRDefault="00B75E8E">
      <w:pPr>
        <w:pStyle w:val="ListDash2"/>
        <w:rPr>
          <w:noProof/>
        </w:rPr>
      </w:pPr>
      <w:r>
        <w:rPr>
          <w:noProof/>
        </w:rPr>
        <w:sym w:font="Wingdings" w:char="F0A8"/>
      </w:r>
      <w:r>
        <w:rPr>
          <w:noProof/>
        </w:rPr>
        <w:t xml:space="preserve">Предложение/инициатива в сила от [ДД/ММ]ГГГГ до [ДД/ММ]ГГГГ </w:t>
      </w:r>
    </w:p>
    <w:p w:rsidR="002F45D1" w:rsidRDefault="00B75E8E">
      <w:pPr>
        <w:pStyle w:val="ListDash2"/>
        <w:rPr>
          <w:noProof/>
        </w:rPr>
      </w:pPr>
      <w:r>
        <w:rPr>
          <w:noProof/>
        </w:rPr>
        <w:sym w:font="Wingdings" w:char="F0A8"/>
      </w:r>
      <w:r>
        <w:rPr>
          <w:noProof/>
        </w:rPr>
        <w:t>Фин</w:t>
      </w:r>
      <w:r>
        <w:rPr>
          <w:noProof/>
        </w:rPr>
        <w:t xml:space="preserve">ансово отражение от ГГГГ до ГГГГ </w:t>
      </w:r>
    </w:p>
    <w:p w:rsidR="002F45D1" w:rsidRDefault="00B75E8E">
      <w:pPr>
        <w:pStyle w:val="Text1"/>
        <w:rPr>
          <w:noProof/>
        </w:rPr>
      </w:pPr>
      <w:r>
        <w:rPr>
          <w:noProof/>
        </w:rPr>
        <w:sym w:font="Wingdings" w:char="F0FD"/>
      </w:r>
      <w:r>
        <w:rPr>
          <w:noProof/>
        </w:rPr>
        <w:t xml:space="preserve">Предложение/инициатива с </w:t>
      </w:r>
      <w:r>
        <w:rPr>
          <w:b/>
          <w:noProof/>
        </w:rPr>
        <w:t>неограничен срок на действие</w:t>
      </w:r>
    </w:p>
    <w:p w:rsidR="002F45D1" w:rsidRDefault="00B75E8E">
      <w:pPr>
        <w:pStyle w:val="ListDash1"/>
        <w:rPr>
          <w:rFonts w:eastAsia="Calibri"/>
          <w:noProof/>
        </w:rPr>
      </w:pPr>
      <w:r>
        <w:rPr>
          <w:noProof/>
        </w:rPr>
        <w:t>Осъществяване с период на започване на дейност от ГГГГ до ГГГГ,</w:t>
      </w:r>
    </w:p>
    <w:p w:rsidR="002F45D1" w:rsidRDefault="00B75E8E">
      <w:pPr>
        <w:pStyle w:val="ListDash1"/>
        <w:rPr>
          <w:rFonts w:eastAsia="Calibri"/>
          <w:noProof/>
        </w:rPr>
      </w:pPr>
      <w:r>
        <w:rPr>
          <w:noProof/>
        </w:rPr>
        <w:t>Предложението ще влезе в сила от 1 януари 2016 г.,</w:t>
      </w:r>
    </w:p>
    <w:p w:rsidR="002F45D1" w:rsidRDefault="00B75E8E">
      <w:pPr>
        <w:pStyle w:val="ListDash1"/>
        <w:rPr>
          <w:noProof/>
        </w:rPr>
      </w:pPr>
      <w:r>
        <w:rPr>
          <w:noProof/>
        </w:rPr>
        <w:t>последвано от функциониране с пълен капацитет.</w:t>
      </w:r>
    </w:p>
    <w:p w:rsidR="002F45D1" w:rsidRDefault="00B75E8E">
      <w:pPr>
        <w:pStyle w:val="ManualHeading2"/>
        <w:rPr>
          <w:bCs/>
          <w:noProof/>
          <w:szCs w:val="24"/>
        </w:rPr>
      </w:pPr>
      <w:r>
        <w:t>1.7.</w:t>
      </w:r>
      <w:r>
        <w:tab/>
      </w:r>
      <w:r>
        <w:rPr>
          <w:noProof/>
        </w:rPr>
        <w:t>Планирани методи на управление</w:t>
      </w:r>
      <w:r>
        <w:rPr>
          <w:rStyle w:val="FootnoteReference"/>
          <w:noProof/>
        </w:rPr>
        <w:footnoteReference w:id="17"/>
      </w:r>
      <w:r>
        <w:rPr>
          <w:rStyle w:val="FootnoteReference"/>
          <w:noProof/>
        </w:rPr>
        <w:t xml:space="preserve"> </w:t>
      </w:r>
    </w:p>
    <w:p w:rsidR="002F45D1" w:rsidRDefault="00B75E8E">
      <w:pPr>
        <w:pStyle w:val="Text1"/>
        <w:rPr>
          <w:noProof/>
        </w:rPr>
      </w:pPr>
      <w:r>
        <w:rPr>
          <w:noProof/>
        </w:rPr>
        <w:sym w:font="Wingdings" w:char="F0FD"/>
      </w:r>
      <w:r>
        <w:rPr>
          <w:noProof/>
        </w:rPr>
        <w:t xml:space="preserve"> </w:t>
      </w:r>
      <w:r>
        <w:rPr>
          <w:b/>
          <w:noProof/>
        </w:rPr>
        <w:t>Пряко управление</w:t>
      </w:r>
      <w:r>
        <w:rPr>
          <w:noProof/>
        </w:rPr>
        <w:t xml:space="preserve"> от Комисията</w:t>
      </w:r>
    </w:p>
    <w:p w:rsidR="002F45D1" w:rsidRDefault="00B75E8E">
      <w:pPr>
        <w:pStyle w:val="ListDash2"/>
        <w:rPr>
          <w:rFonts w:cs="EUAlbertina"/>
          <w:noProof/>
        </w:rPr>
      </w:pPr>
      <w:r>
        <w:rPr>
          <w:noProof/>
        </w:rPr>
        <w:sym w:font="Wingdings" w:char="F0FD"/>
      </w:r>
      <w:r>
        <w:rPr>
          <w:noProof/>
        </w:rPr>
        <w:t xml:space="preserve"> от нейните служби, включително от нейния персонал в делегациите на Съюза; </w:t>
      </w:r>
      <w:r>
        <w:rPr>
          <w:noProof/>
        </w:rPr>
        <w:tab/>
      </w:r>
      <w:r>
        <w:rPr>
          <w:noProof/>
        </w:rPr>
        <w:br/>
        <w:t xml:space="preserve"> </w:t>
      </w:r>
      <w:r>
        <w:rPr>
          <w:noProof/>
        </w:rPr>
        <w:tab/>
        <w:t>програмата „Фискалис 2020“ се управлява директно</w:t>
      </w:r>
    </w:p>
    <w:p w:rsidR="002F45D1" w:rsidRDefault="00B75E8E">
      <w:pPr>
        <w:pStyle w:val="ListDash2"/>
        <w:rPr>
          <w:noProof/>
        </w:rPr>
      </w:pPr>
      <w:r>
        <w:rPr>
          <w:noProof/>
        </w:rPr>
        <w:sym w:font="Wingdings" w:char="F0A8"/>
      </w:r>
      <w:r>
        <w:rPr>
          <w:noProof/>
        </w:rPr>
        <w:t xml:space="preserve"> от изпълнителните агенции </w:t>
      </w:r>
    </w:p>
    <w:p w:rsidR="002F45D1" w:rsidRDefault="00B75E8E">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rsidR="002F45D1" w:rsidRDefault="00B75E8E">
      <w:pPr>
        <w:pStyle w:val="Text1"/>
        <w:rPr>
          <w:noProof/>
        </w:rPr>
      </w:pPr>
      <w:r>
        <w:rPr>
          <w:noProof/>
        </w:rPr>
        <w:sym w:font="Wingdings" w:char="F0A8"/>
      </w:r>
      <w:r>
        <w:rPr>
          <w:b/>
          <w:noProof/>
        </w:rPr>
        <w:t xml:space="preserve"> Непряко управление</w:t>
      </w:r>
      <w:r>
        <w:rPr>
          <w:noProof/>
        </w:rPr>
        <w:t xml:space="preserve"> чрез възлагане на задачи по изпълнението на бюджета на:</w:t>
      </w:r>
    </w:p>
    <w:p w:rsidR="002F45D1" w:rsidRDefault="00B75E8E">
      <w:pPr>
        <w:pStyle w:val="ListDash2"/>
        <w:rPr>
          <w:noProof/>
        </w:rPr>
      </w:pPr>
      <w:r>
        <w:rPr>
          <w:noProof/>
        </w:rPr>
        <w:sym w:font="Wingdings" w:char="F0A8"/>
      </w:r>
      <w:r>
        <w:rPr>
          <w:noProof/>
        </w:rPr>
        <w:t xml:space="preserve"> трети държави или органите, определени от тях;</w:t>
      </w:r>
    </w:p>
    <w:p w:rsidR="002F45D1" w:rsidRDefault="00B75E8E">
      <w:pPr>
        <w:pStyle w:val="ListDash2"/>
        <w:rPr>
          <w:noProof/>
        </w:rPr>
      </w:pPr>
      <w:r>
        <w:rPr>
          <w:noProof/>
        </w:rPr>
        <w:sym w:font="Wingdings" w:char="F0A8"/>
      </w:r>
      <w:r>
        <w:rPr>
          <w:noProof/>
        </w:rPr>
        <w:t xml:space="preserve"> международни организации и техните агенции (да се уточни);</w:t>
      </w:r>
    </w:p>
    <w:p w:rsidR="002F45D1" w:rsidRDefault="00B75E8E">
      <w:pPr>
        <w:pStyle w:val="ListDash2"/>
        <w:rPr>
          <w:noProof/>
        </w:rPr>
      </w:pPr>
      <w:r>
        <w:rPr>
          <w:noProof/>
        </w:rPr>
        <w:sym w:font="Wingdings" w:char="F0A8"/>
      </w:r>
      <w:r>
        <w:rPr>
          <w:noProof/>
        </w:rPr>
        <w:t xml:space="preserve"> ЕИБ и Европейския инвестиционен фонд;</w:t>
      </w:r>
    </w:p>
    <w:p w:rsidR="002F45D1" w:rsidRDefault="00B75E8E">
      <w:pPr>
        <w:pStyle w:val="ListDash2"/>
        <w:rPr>
          <w:noProof/>
        </w:rPr>
      </w:pPr>
      <w:r>
        <w:rPr>
          <w:noProof/>
        </w:rPr>
        <w:sym w:font="Wingdings" w:char="F0A8"/>
      </w:r>
      <w:r>
        <w:rPr>
          <w:noProof/>
        </w:rPr>
        <w:t xml:space="preserve"> органите, посочени в членове 208 и 209 от Финансовия регламент;</w:t>
      </w:r>
    </w:p>
    <w:p w:rsidR="002F45D1" w:rsidRDefault="00B75E8E">
      <w:pPr>
        <w:pStyle w:val="ListDash2"/>
        <w:rPr>
          <w:noProof/>
        </w:rPr>
      </w:pPr>
      <w:r>
        <w:rPr>
          <w:noProof/>
        </w:rPr>
        <w:sym w:font="Wingdings" w:char="F0A8"/>
      </w:r>
      <w:r>
        <w:rPr>
          <w:noProof/>
        </w:rPr>
        <w:t xml:space="preserve"> публичноправни органи;</w:t>
      </w:r>
    </w:p>
    <w:p w:rsidR="002F45D1" w:rsidRDefault="00B75E8E">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2F45D1" w:rsidRDefault="00B75E8E">
      <w:pPr>
        <w:pStyle w:val="ListDash2"/>
        <w:rPr>
          <w:noProof/>
        </w:rPr>
      </w:pPr>
      <w:r>
        <w:rPr>
          <w:noProof/>
        </w:rPr>
        <w:sym w:font="Wingdings" w:char="F0A8"/>
      </w:r>
      <w:r>
        <w:rPr>
          <w:noProof/>
        </w:rPr>
        <w:t xml:space="preserve"> органи, уредени в частното право на държава членка, н</w:t>
      </w:r>
      <w:r>
        <w:rPr>
          <w:noProof/>
        </w:rPr>
        <w:t>а които е възложено осъществяването на публично-частно партньорство и които предоставят подходящи финансови гаранции;</w:t>
      </w:r>
    </w:p>
    <w:p w:rsidR="002F45D1" w:rsidRDefault="00B75E8E">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w:t>
      </w:r>
      <w:r>
        <w:rPr>
          <w:noProof/>
        </w:rPr>
        <w:t>я основен акт.</w:t>
      </w:r>
    </w:p>
    <w:p w:rsidR="002F45D1" w:rsidRDefault="00B75E8E">
      <w:pPr>
        <w:pStyle w:val="ListDash2"/>
        <w:rPr>
          <w:i/>
          <w:noProof/>
          <w:sz w:val="18"/>
          <w:u w:val="single"/>
        </w:rPr>
      </w:pPr>
      <w:r>
        <w:rPr>
          <w:i/>
          <w:noProof/>
          <w:sz w:val="18"/>
        </w:rPr>
        <w:t>Ако е посочен повече от един метод на управление, пояснете в частта „Забележки“.</w:t>
      </w:r>
    </w:p>
    <w:p w:rsidR="002F45D1" w:rsidRDefault="00B75E8E">
      <w:pPr>
        <w:rPr>
          <w:noProof/>
        </w:rPr>
      </w:pPr>
      <w:r>
        <w:rPr>
          <w:noProof/>
        </w:rPr>
        <w:t xml:space="preserve">Забележки </w:t>
      </w:r>
    </w:p>
    <w:p w:rsidR="002F45D1" w:rsidRDefault="00B75E8E">
      <w:pPr>
        <w:pBdr>
          <w:top w:val="single" w:sz="4" w:space="1" w:color="auto"/>
          <w:left w:val="single" w:sz="4" w:space="4" w:color="auto"/>
          <w:bottom w:val="single" w:sz="4" w:space="1" w:color="auto"/>
          <w:right w:val="single" w:sz="4" w:space="4" w:color="auto"/>
        </w:pBdr>
        <w:rPr>
          <w:noProof/>
        </w:rPr>
      </w:pPr>
      <w:r>
        <w:rPr>
          <w:noProof/>
        </w:rPr>
        <w:t>Настоящото предложение не променя нищо по отношение на управлението. По силата на член 21 от Директива 2011/16/ЕС Комисията разработва стандартизиран</w:t>
      </w:r>
      <w:r>
        <w:rPr>
          <w:noProof/>
        </w:rPr>
        <w:t>и формуляри и формати за обмен на информация съгласно процедурата по комитология и при сътрудничество с държавите членки. Що се отнася до мрежата CCN, необходима за осъществяването на обмена на информация между държавите членки, Комисията отговаря за всичк</w:t>
      </w:r>
      <w:r>
        <w:rPr>
          <w:noProof/>
        </w:rPr>
        <w:t>и дейности по разработването на мрежата CCN, необходими за осъществяването на обмена на тази информация, докато държавите членки отговарят за разработването на своите системи, необходими извършването на обмен на информацията чрез използването на мрежата CC</w:t>
      </w:r>
      <w:r>
        <w:rPr>
          <w:noProof/>
        </w:rPr>
        <w:t>N.</w:t>
      </w:r>
    </w:p>
    <w:p w:rsidR="002F45D1" w:rsidRDefault="002F45D1">
      <w:pPr>
        <w:rPr>
          <w:noProof/>
        </w:rPr>
        <w:sectPr w:rsidR="002F45D1">
          <w:pgSz w:w="11907" w:h="16840" w:code="9"/>
          <w:pgMar w:top="1134" w:right="1418" w:bottom="1134" w:left="1418" w:header="709" w:footer="709" w:gutter="0"/>
          <w:cols w:space="708"/>
          <w:docGrid w:linePitch="360"/>
        </w:sectPr>
      </w:pPr>
    </w:p>
    <w:p w:rsidR="002F45D1" w:rsidRDefault="00B75E8E">
      <w:pPr>
        <w:pStyle w:val="ManualHeading1"/>
        <w:rPr>
          <w:bCs/>
          <w:noProof/>
          <w:szCs w:val="24"/>
        </w:rPr>
      </w:pPr>
      <w:r>
        <w:t>2.</w:t>
      </w:r>
      <w:r>
        <w:tab/>
      </w:r>
      <w:r>
        <w:rPr>
          <w:noProof/>
        </w:rPr>
        <w:t xml:space="preserve">МЕРКИ ЗА УПРАВЛЕНИЕ </w:t>
      </w:r>
    </w:p>
    <w:p w:rsidR="002F45D1" w:rsidRDefault="00B75E8E">
      <w:pPr>
        <w:pStyle w:val="ManualHeading2"/>
        <w:rPr>
          <w:noProof/>
        </w:rPr>
      </w:pPr>
      <w:r>
        <w:t>2.1.</w:t>
      </w:r>
      <w:r>
        <w:tab/>
      </w:r>
      <w:r>
        <w:rPr>
          <w:noProof/>
        </w:rPr>
        <w:t xml:space="preserve">Правила за мониторинг и докладване </w:t>
      </w:r>
    </w:p>
    <w:p w:rsidR="002F45D1" w:rsidRDefault="00B75E8E">
      <w:pPr>
        <w:pStyle w:val="Text1"/>
        <w:rPr>
          <w:i/>
          <w:noProof/>
          <w:sz w:val="20"/>
          <w:u w:val="single"/>
        </w:rPr>
      </w:pPr>
      <w:r>
        <w:rPr>
          <w:i/>
          <w:noProof/>
          <w:sz w:val="20"/>
        </w:rPr>
        <w:t>Да се посочат честотата и условията.</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В рамките на програмата „Фискалис“ мониторингът и докладването се извършват, както следва...</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Подготвителните дейности, </w:t>
      </w:r>
      <w:r>
        <w:rPr>
          <w:noProof/>
        </w:rPr>
        <w:t>необходими за тази инициатива, и другите съвместни действия и общи дейности за обучение се наблюдават редовно чрез данни, събрани от участниците и администраторите на дейностите. Данните се събират чрез стандартни формуляри и се използват за изчисляване на</w:t>
      </w:r>
      <w:r>
        <w:rPr>
          <w:noProof/>
        </w:rPr>
        <w:t xml:space="preserve"> показателите, определени в рамката за измерване на постигнатите резултати (PMF) по програмата „Фискалис 2020“. Другите разходи, свързани с обмена на информация, се следят в съответствие с механизма, описан в раздел 1.4.4, който е консолидиран по PMF.</w:t>
      </w:r>
    </w:p>
    <w:p w:rsidR="002F45D1" w:rsidRDefault="00B75E8E">
      <w:pPr>
        <w:pStyle w:val="ManualHeading2"/>
        <w:rPr>
          <w:bCs/>
          <w:noProof/>
          <w:szCs w:val="24"/>
        </w:rPr>
      </w:pPr>
      <w:r>
        <w:t>2.</w:t>
      </w:r>
      <w:proofErr w:type="spellStart"/>
      <w:r>
        <w:t>2</w:t>
      </w:r>
      <w:proofErr w:type="spellEnd"/>
      <w:r>
        <w:t>.</w:t>
      </w:r>
      <w:r>
        <w:tab/>
      </w:r>
      <w:r>
        <w:rPr>
          <w:noProof/>
        </w:rPr>
        <w:t xml:space="preserve">Система за управление и контрол </w:t>
      </w:r>
    </w:p>
    <w:p w:rsidR="002F45D1" w:rsidRDefault="00B75E8E">
      <w:pPr>
        <w:pStyle w:val="ManualHeading3"/>
        <w:rPr>
          <w:noProof/>
        </w:rPr>
      </w:pPr>
      <w:r>
        <w:t>2.</w:t>
      </w:r>
      <w:proofErr w:type="spellStart"/>
      <w:r>
        <w:t>2</w:t>
      </w:r>
      <w:proofErr w:type="spellEnd"/>
      <w:r>
        <w:t>.1.</w:t>
      </w:r>
      <w:r>
        <w:tab/>
      </w:r>
      <w:r>
        <w:rPr>
          <w:noProof/>
        </w:rPr>
        <w:t xml:space="preserve">Установени рискове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Потенциалните рискове при изпълнението на инициативата с подкрепата на програмата „Фискалис 2020“ са свързани с:</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изпълнението на споразумението за отпускане на безвъзмездни средства, подписано с </w:t>
      </w:r>
      <w:r>
        <w:rPr>
          <w:noProof/>
        </w:rPr>
        <w:t>консорциума от държавите членки и страните кандидатки.</w:t>
      </w:r>
    </w:p>
    <w:p w:rsidR="002F45D1" w:rsidRDefault="00B75E8E">
      <w:pPr>
        <w:pStyle w:val="Text1"/>
        <w:pBdr>
          <w:top w:val="single" w:sz="4" w:space="1" w:color="auto"/>
          <w:left w:val="single" w:sz="4" w:space="4" w:color="auto"/>
          <w:bottom w:val="single" w:sz="4" w:space="1" w:color="auto"/>
          <w:right w:val="single" w:sz="4" w:space="4" w:color="auto"/>
        </w:pBdr>
        <w:rPr>
          <w:noProof/>
          <w:color w:val="0000FF"/>
        </w:rPr>
      </w:pPr>
      <w:r>
        <w:rPr>
          <w:noProof/>
        </w:rPr>
        <w:t xml:space="preserve">изпълнението на договорите за възлагане на обществени поръчки, сключени в рамките на програмата. </w:t>
      </w:r>
    </w:p>
    <w:p w:rsidR="002F45D1" w:rsidRDefault="00B75E8E">
      <w:pPr>
        <w:pStyle w:val="ManualHeading3"/>
        <w:rPr>
          <w:bCs/>
          <w:noProof/>
          <w:szCs w:val="24"/>
        </w:rPr>
      </w:pPr>
      <w:r>
        <w:t>2.</w:t>
      </w:r>
      <w:proofErr w:type="spellStart"/>
      <w:r>
        <w:t>2</w:t>
      </w:r>
      <w:proofErr w:type="spellEnd"/>
      <w:r>
        <w:t>.2.</w:t>
      </w:r>
      <w:r>
        <w:tab/>
      </w:r>
      <w:r>
        <w:rPr>
          <w:noProof/>
        </w:rPr>
        <w:t>Информация за изградената система за вътрешен контрол</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Създаването на система за вътрешен контрол</w:t>
      </w:r>
      <w:r>
        <w:rPr>
          <w:noProof/>
        </w:rPr>
        <w:t xml:space="preserve"> е идентично с програмата „Фискалис 2020“, която ще обхваща всички оперативни разходи, свързани с инициативата.</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Главните елементи на прилаганата стратегия за контрол са следните:</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За договорите за възлагане на обществени поръчки: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Прилагат се процедурите за</w:t>
      </w:r>
      <w:r>
        <w:rPr>
          <w:noProof/>
        </w:rPr>
        <w:t xml:space="preserve"> контрол на възлагането на обществени поръчки, определени във Финансовия регламент. Всички договори за възлагане на обществени поръчки се сключват при спазване на установената процедура за проверка на плащането от службите на Комисията, като се вземат пред</w:t>
      </w:r>
      <w:r>
        <w:rPr>
          <w:noProof/>
        </w:rPr>
        <w:t>вид договорните задължения и доброто финансово и общо управление. Във всички договори, сключени между Комисията и бенефициерите, се предвиждат мерки за борба с измамите (проверки, доклади и др.). Изготвя се подробно задание, което формира основата на всеки</w:t>
      </w:r>
      <w:r>
        <w:rPr>
          <w:noProof/>
        </w:rPr>
        <w:t xml:space="preserve"> отделен договор. При процеса на приемане се следва точно методологията TEMPO на ГД „Данъчно облагане и митнически съюз“: резултатите се преглеждат, изменят се при необходимост и накрая изрично се приемат (или отхвърлят). Не може да се плащат фактури без „</w:t>
      </w:r>
      <w:r>
        <w:rPr>
          <w:noProof/>
        </w:rPr>
        <w:t xml:space="preserve">писмо за приемане“.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Техническа проверка при възлагането на обществена поръчка</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ГД „Данъчно облагане и митнически съюз“ извършва проверки на резултатите и осъществява надзор на операциите и услугите, извършвани от изпълнителите. Освен това тя редовно извърш</w:t>
      </w:r>
      <w:r>
        <w:rPr>
          <w:noProof/>
        </w:rPr>
        <w:t>ва одити на качеството и сигурността на изпълнителите. При одитите на качеството се проверява съответствието на реално прилаганите от изпълнителите процеси с правилата и процедурите, определени в техните планове за качество. Одитите на сигурността са насоч</w:t>
      </w:r>
      <w:r>
        <w:rPr>
          <w:noProof/>
        </w:rPr>
        <w:t xml:space="preserve">ени към специфичните процеси, процедури и структура.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В допълнение към горепосочените проверки ГД „Данъчно облагане и митнически съюз“ извършва традиционните финансови проверки: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Предварителна проверка на поетите задължения: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Всички поети задължения в ГД </w:t>
      </w:r>
      <w:r>
        <w:rPr>
          <w:noProof/>
        </w:rPr>
        <w:t xml:space="preserve">„Данъчно облагане и митнически съюз“ се проверяват от ръководителя на отдел „Човешки ресурси и финанси“. В съответствие с това 100 % от сумите, за които са поети задължения, са подложени на предварителна проверка. Тази процедура осигурява висока степен на </w:t>
      </w:r>
      <w:r>
        <w:rPr>
          <w:noProof/>
        </w:rPr>
        <w:t>гаранция по отношение на законосъобразността и редовността на операциите.</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Предварителна проверка на плащанията: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100 % от плащанията се проверяват предварително. Освен това поне едно плащане (от всички категории разходи) седмично се избира на случаен принц</w:t>
      </w:r>
      <w:r>
        <w:rPr>
          <w:noProof/>
        </w:rPr>
        <w:t>ип за допълнителна предварителна проверка, която се извършва от ръководителя на отдел „Човешки ресурси и финанси“. Няма количествена цел за обхвата, тъй като целта на тази проверка е плащанията да се проверяват „на случаен принцип“ с оглед да се удостовери</w:t>
      </w:r>
      <w:r>
        <w:rPr>
          <w:noProof/>
        </w:rPr>
        <w:t>, че всички плащания се изготвят в съответствие с изискванията. Останалите плащания се обработват ежедневно в съответствие с приложимите правила.</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Декларации на вторично оправомощените разпоредители с бюджетни кредити: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Всички вторично оправомощени разпоред</w:t>
      </w:r>
      <w:r>
        <w:rPr>
          <w:noProof/>
        </w:rPr>
        <w:t xml:space="preserve">ители с бюджетни кредити подписват декларации в подкрепа на годишния доклад за дейността за съответната година. Тези декларации обхващат операциите по програмата. Вторично оправомощените разпоредители с бюджетни кредити декларират, че операциите, свързани </w:t>
      </w:r>
      <w:r>
        <w:rPr>
          <w:noProof/>
        </w:rPr>
        <w:t>с изпълнението на бюджета, са извършени в съответствие с принципите на добро финансово управление, че въведените системи за управление и контрол осигуряват задоволителна гаранция по отношение на законосъобразността и редовността на операциите, както и че р</w:t>
      </w:r>
      <w:r>
        <w:rPr>
          <w:noProof/>
        </w:rPr>
        <w:t xml:space="preserve">исковете, свързани с тези операции, са правилно установени и докладвани, както и че са предприети действия за смекчаването им. </w:t>
      </w:r>
    </w:p>
    <w:p w:rsidR="002F45D1" w:rsidRDefault="00B75E8E">
      <w:pPr>
        <w:pStyle w:val="ManualHeading3"/>
        <w:rPr>
          <w:noProof/>
        </w:rPr>
      </w:pPr>
      <w:r>
        <w:t>2.</w:t>
      </w:r>
      <w:proofErr w:type="spellStart"/>
      <w:r>
        <w:t>2</w:t>
      </w:r>
      <w:proofErr w:type="spellEnd"/>
      <w:r>
        <w:t>.3.</w:t>
      </w:r>
      <w:r>
        <w:tab/>
      </w:r>
      <w:r>
        <w:rPr>
          <w:noProof/>
        </w:rPr>
        <w:t xml:space="preserve">Оценка на разходите и ползите от проверките и на очаквания риск от грешка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Въведените проверки осигуряват на ГД „Данъчно </w:t>
      </w:r>
      <w:r>
        <w:rPr>
          <w:noProof/>
        </w:rPr>
        <w:t>облагане и митнически съюз“ достатъчна гаранция за качеството и редовността на разходите и намаляват риска от неспазване. Горепосочените мерки в стратегията за контрол намаляват потенциалните рискове под целевото равнище от 2 % и достигат до всички бенефиц</w:t>
      </w:r>
      <w:r>
        <w:rPr>
          <w:noProof/>
        </w:rPr>
        <w:t xml:space="preserve">иери. Всякакви допълнителни мерки за по-нататъшно намаляване на риска биха довели до непропорционално големи разходи и поради това такива не се предвиждат. </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 xml:space="preserve">Общите разходи, свързани с изпълнението на горепосочената стратегия за контрол — за всички разходи </w:t>
      </w:r>
      <w:r>
        <w:rPr>
          <w:noProof/>
        </w:rPr>
        <w:t>по програмата „Фискалис 2020“ — са ограничени до 1,6 % от общата сума на извършените плащания. Очаква се това процентно съотношение да бъде в сила и за тази инициатива.</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Приема се, че стратегията за контрол на програмата е ефикасна за ограничаване практичес</w:t>
      </w:r>
      <w:r>
        <w:rPr>
          <w:noProof/>
        </w:rPr>
        <w:t>ки до нула на риска от неспазване  и е пропорционална на отчетените рискове.</w:t>
      </w:r>
    </w:p>
    <w:p w:rsidR="002F45D1" w:rsidRDefault="00B75E8E">
      <w:pPr>
        <w:pStyle w:val="ManualHeading2"/>
        <w:rPr>
          <w:bCs/>
          <w:noProof/>
          <w:szCs w:val="24"/>
        </w:rPr>
      </w:pPr>
      <w:r>
        <w:t>2.3.</w:t>
      </w:r>
      <w:r>
        <w:tab/>
      </w:r>
      <w:r>
        <w:rPr>
          <w:noProof/>
        </w:rPr>
        <w:t xml:space="preserve">Мерки за предотвратяване на измами и нередности </w:t>
      </w:r>
    </w:p>
    <w:p w:rsidR="002F45D1" w:rsidRDefault="00B75E8E">
      <w:pPr>
        <w:pStyle w:val="Text1"/>
        <w:rPr>
          <w:i/>
          <w:noProof/>
          <w:sz w:val="20"/>
        </w:rPr>
      </w:pPr>
      <w:r>
        <w:rPr>
          <w:i/>
          <w:noProof/>
          <w:sz w:val="20"/>
        </w:rPr>
        <w:t>Да се посочат съществуващите или планираните мерки за превенция и защита.</w:t>
      </w:r>
    </w:p>
    <w:p w:rsidR="002F45D1" w:rsidRDefault="00B75E8E">
      <w:pPr>
        <w:pStyle w:val="Text1"/>
        <w:pBdr>
          <w:top w:val="single" w:sz="4" w:space="1" w:color="auto"/>
          <w:left w:val="single" w:sz="4" w:space="4" w:color="auto"/>
          <w:bottom w:val="single" w:sz="4" w:space="1" w:color="auto"/>
          <w:right w:val="single" w:sz="4" w:space="4" w:color="auto"/>
        </w:pBdr>
        <w:rPr>
          <w:noProof/>
        </w:rPr>
      </w:pPr>
      <w:r>
        <w:rPr>
          <w:noProof/>
        </w:rPr>
        <w:t>Европейската служба за борба с измамите (OLAF) може</w:t>
      </w:r>
      <w:r>
        <w:rPr>
          <w:noProof/>
        </w:rPr>
        <w:t xml:space="preserve"> да извършва разследвания, включително проверки и инспекции на място в съответствие с разпоредбите и процедурите, предвидени в Регламент (ЕО) № 1073/1999 на Европейския парламент и на Съвета (1) и Регламент (Евратом, ЕО) № 2185/96 (2), за да установи дали </w:t>
      </w:r>
      <w:r>
        <w:rPr>
          <w:noProof/>
        </w:rPr>
        <w:t>е налице измама, корупция или всякаква друга незаконна дейност, накърняваща финансовите интереси на Съюза във връзка със споразумение за отпускане на безвъзмездни средства, решение за отпускане на безвъзмездни средства или договор за финансиране съгласно н</w:t>
      </w:r>
      <w:r>
        <w:rPr>
          <w:noProof/>
        </w:rPr>
        <w:t>астоящия регламент.</w:t>
      </w:r>
    </w:p>
    <w:p w:rsidR="002F45D1" w:rsidRDefault="002F45D1">
      <w:pPr>
        <w:rPr>
          <w:noProof/>
        </w:rPr>
        <w:sectPr w:rsidR="002F45D1">
          <w:pgSz w:w="11907" w:h="16840" w:code="9"/>
          <w:pgMar w:top="1134" w:right="1418" w:bottom="1134" w:left="1418" w:header="709" w:footer="709" w:gutter="0"/>
          <w:cols w:space="708"/>
          <w:docGrid w:linePitch="360"/>
        </w:sectPr>
      </w:pPr>
    </w:p>
    <w:p w:rsidR="002F45D1" w:rsidRDefault="00B75E8E">
      <w:pPr>
        <w:pStyle w:val="ManualHeading1"/>
        <w:rPr>
          <w:bCs/>
          <w:noProof/>
          <w:szCs w:val="24"/>
        </w:rPr>
      </w:pPr>
      <w:r>
        <w:t>3.</w:t>
      </w:r>
      <w:r>
        <w:tab/>
      </w:r>
      <w:r>
        <w:rPr>
          <w:noProof/>
        </w:rPr>
        <w:t xml:space="preserve">ОЧАКВАНО ФИНАНСОВО ОТРАЖЕНИЕ НА ПРЕДЛОЖЕНИЕТО/ИНИЦИАТИВАТА </w:t>
      </w:r>
    </w:p>
    <w:p w:rsidR="002F45D1" w:rsidRDefault="00B75E8E">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rsidR="002F45D1" w:rsidRDefault="00B75E8E">
      <w:pPr>
        <w:pStyle w:val="ListBullet1"/>
        <w:rPr>
          <w:noProof/>
        </w:rPr>
      </w:pPr>
      <w:r>
        <w:rPr>
          <w:noProof/>
        </w:rPr>
        <w:t>Съществуващи бюджетни редове — напълно в обхвата на програма „Фи</w:t>
      </w:r>
      <w:r>
        <w:rPr>
          <w:noProof/>
        </w:rPr>
        <w:t>скалис 2020“</w:t>
      </w:r>
    </w:p>
    <w:p w:rsidR="002F45D1" w:rsidRDefault="00B75E8E">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F45D1">
        <w:tc>
          <w:tcPr>
            <w:tcW w:w="1080" w:type="dxa"/>
            <w:vMerge w:val="restart"/>
            <w:vAlign w:val="center"/>
          </w:tcPr>
          <w:p w:rsidR="002F45D1" w:rsidRDefault="00B75E8E">
            <w:pPr>
              <w:spacing w:before="60" w:after="60"/>
              <w:jc w:val="center"/>
              <w:rPr>
                <w:noProof/>
              </w:rPr>
            </w:pPr>
            <w:r>
              <w:rPr>
                <w:noProof/>
                <w:sz w:val="18"/>
              </w:rPr>
              <w:t>Функция от многогодишната финансова рамка</w:t>
            </w:r>
          </w:p>
        </w:tc>
        <w:tc>
          <w:tcPr>
            <w:tcW w:w="3960" w:type="dxa"/>
            <w:vAlign w:val="center"/>
          </w:tcPr>
          <w:p w:rsidR="002F45D1" w:rsidRDefault="00B75E8E">
            <w:pPr>
              <w:spacing w:before="60" w:after="60"/>
              <w:jc w:val="center"/>
              <w:rPr>
                <w:noProof/>
              </w:rPr>
            </w:pPr>
            <w:r>
              <w:rPr>
                <w:noProof/>
                <w:sz w:val="20"/>
              </w:rPr>
              <w:t>Бюджетен ред</w:t>
            </w:r>
          </w:p>
        </w:tc>
        <w:tc>
          <w:tcPr>
            <w:tcW w:w="1080" w:type="dxa"/>
            <w:vAlign w:val="center"/>
          </w:tcPr>
          <w:p w:rsidR="002F45D1" w:rsidRDefault="00B75E8E">
            <w:pPr>
              <w:spacing w:before="60" w:after="60"/>
              <w:jc w:val="center"/>
              <w:rPr>
                <w:noProof/>
              </w:rPr>
            </w:pPr>
            <w:r>
              <w:rPr>
                <w:noProof/>
              </w:rPr>
              <w:t>Вид на</w:t>
            </w:r>
            <w:r>
              <w:rPr>
                <w:noProof/>
                <w:sz w:val="18"/>
              </w:rPr>
              <w:t>разхода</w:t>
            </w:r>
          </w:p>
        </w:tc>
        <w:tc>
          <w:tcPr>
            <w:tcW w:w="4440" w:type="dxa"/>
            <w:gridSpan w:val="4"/>
            <w:vAlign w:val="center"/>
          </w:tcPr>
          <w:p w:rsidR="002F45D1" w:rsidRDefault="00B75E8E">
            <w:pPr>
              <w:spacing w:before="60" w:after="60"/>
              <w:jc w:val="center"/>
              <w:rPr>
                <w:noProof/>
              </w:rPr>
            </w:pPr>
            <w:r>
              <w:rPr>
                <w:noProof/>
                <w:sz w:val="20"/>
              </w:rPr>
              <w:t xml:space="preserve">Вноска </w:t>
            </w:r>
          </w:p>
        </w:tc>
      </w:tr>
      <w:tr w:rsidR="002F45D1">
        <w:tc>
          <w:tcPr>
            <w:tcW w:w="1080" w:type="dxa"/>
            <w:vMerge/>
            <w:vAlign w:val="center"/>
          </w:tcPr>
          <w:p w:rsidR="002F45D1" w:rsidRDefault="002F45D1">
            <w:pPr>
              <w:jc w:val="center"/>
              <w:rPr>
                <w:noProof/>
              </w:rPr>
            </w:pPr>
          </w:p>
        </w:tc>
        <w:tc>
          <w:tcPr>
            <w:tcW w:w="3960" w:type="dxa"/>
            <w:vAlign w:val="center"/>
          </w:tcPr>
          <w:p w:rsidR="002F45D1" w:rsidRDefault="00B75E8E">
            <w:pPr>
              <w:rPr>
                <w:noProof/>
              </w:rPr>
            </w:pPr>
            <w:r>
              <w:rPr>
                <w:noProof/>
              </w:rPr>
              <w:t>Номер1А Конкурентоспособност за растеж и работни места</w:t>
            </w:r>
          </w:p>
        </w:tc>
        <w:tc>
          <w:tcPr>
            <w:tcW w:w="1080" w:type="dxa"/>
            <w:vAlign w:val="center"/>
          </w:tcPr>
          <w:p w:rsidR="002F45D1" w:rsidRDefault="00B75E8E">
            <w:pPr>
              <w:jc w:val="center"/>
              <w:rPr>
                <w:noProof/>
              </w:rPr>
            </w:pPr>
            <w:r>
              <w:rPr>
                <w:noProof/>
              </w:rPr>
              <w:t>Многогод./едногод.</w:t>
            </w:r>
            <w:r>
              <w:rPr>
                <w:rStyle w:val="FootnoteReference"/>
                <w:noProof/>
              </w:rPr>
              <w:footnoteReference w:id="18"/>
            </w:r>
          </w:p>
        </w:tc>
        <w:tc>
          <w:tcPr>
            <w:tcW w:w="956" w:type="dxa"/>
            <w:vAlign w:val="center"/>
          </w:tcPr>
          <w:p w:rsidR="002F45D1" w:rsidRDefault="00B75E8E">
            <w:pPr>
              <w:jc w:val="center"/>
              <w:rPr>
                <w:noProof/>
              </w:rPr>
            </w:pPr>
            <w:r>
              <w:rPr>
                <w:noProof/>
                <w:sz w:val="18"/>
              </w:rPr>
              <w:t>от държави</w:t>
            </w:r>
            <w:r>
              <w:rPr>
                <w:noProof/>
                <w:sz w:val="18"/>
              </w:rPr>
              <w:t xml:space="preserve"> от ЕАСТ</w:t>
            </w:r>
            <w:r>
              <w:rPr>
                <w:rStyle w:val="FootnoteReference"/>
                <w:noProof/>
                <w:sz w:val="18"/>
              </w:rPr>
              <w:footnoteReference w:id="19"/>
            </w:r>
          </w:p>
          <w:p w:rsidR="002F45D1" w:rsidRDefault="002F45D1">
            <w:pPr>
              <w:spacing w:before="0" w:after="0"/>
              <w:jc w:val="center"/>
              <w:rPr>
                <w:b/>
                <w:noProof/>
                <w:sz w:val="18"/>
              </w:rPr>
            </w:pPr>
          </w:p>
        </w:tc>
        <w:tc>
          <w:tcPr>
            <w:tcW w:w="1080" w:type="dxa"/>
            <w:vAlign w:val="center"/>
          </w:tcPr>
          <w:p w:rsidR="002F45D1" w:rsidRDefault="00B75E8E">
            <w:pPr>
              <w:jc w:val="center"/>
              <w:rPr>
                <w:noProof/>
              </w:rPr>
            </w:pPr>
            <w:r>
              <w:rPr>
                <w:noProof/>
                <w:sz w:val="18"/>
              </w:rPr>
              <w:t>от държави кандидатки</w:t>
            </w:r>
            <w:r>
              <w:rPr>
                <w:rStyle w:val="FootnoteReference"/>
                <w:noProof/>
                <w:sz w:val="18"/>
              </w:rPr>
              <w:footnoteReference w:id="20"/>
            </w:r>
          </w:p>
          <w:p w:rsidR="002F45D1" w:rsidRDefault="002F45D1">
            <w:pPr>
              <w:spacing w:before="0" w:after="0"/>
              <w:jc w:val="center"/>
              <w:rPr>
                <w:noProof/>
                <w:sz w:val="18"/>
              </w:rPr>
            </w:pPr>
          </w:p>
        </w:tc>
        <w:tc>
          <w:tcPr>
            <w:tcW w:w="956" w:type="dxa"/>
            <w:vAlign w:val="center"/>
          </w:tcPr>
          <w:p w:rsidR="002F45D1" w:rsidRDefault="00B75E8E">
            <w:pPr>
              <w:jc w:val="center"/>
              <w:rPr>
                <w:noProof/>
                <w:sz w:val="18"/>
              </w:rPr>
            </w:pPr>
            <w:r>
              <w:rPr>
                <w:noProof/>
                <w:sz w:val="18"/>
              </w:rPr>
              <w:t>от трети държави</w:t>
            </w:r>
          </w:p>
        </w:tc>
        <w:tc>
          <w:tcPr>
            <w:tcW w:w="1448" w:type="dxa"/>
            <w:vAlign w:val="center"/>
          </w:tcPr>
          <w:p w:rsidR="002F45D1" w:rsidRDefault="00B75E8E">
            <w:pPr>
              <w:jc w:val="center"/>
              <w:rPr>
                <w:noProof/>
              </w:rPr>
            </w:pPr>
            <w:r>
              <w:rPr>
                <w:noProof/>
                <w:sz w:val="16"/>
              </w:rPr>
              <w:t xml:space="preserve">по смисъла на член 21, параграф 2, буква б) от Финансовия регламент </w:t>
            </w:r>
          </w:p>
        </w:tc>
      </w:tr>
      <w:tr w:rsidR="002F45D1">
        <w:tc>
          <w:tcPr>
            <w:tcW w:w="1080" w:type="dxa"/>
            <w:vAlign w:val="center"/>
          </w:tcPr>
          <w:p w:rsidR="002F45D1" w:rsidRDefault="002F45D1">
            <w:pPr>
              <w:jc w:val="center"/>
              <w:rPr>
                <w:noProof/>
                <w:color w:val="0000FF"/>
              </w:rPr>
            </w:pPr>
          </w:p>
        </w:tc>
        <w:tc>
          <w:tcPr>
            <w:tcW w:w="3960" w:type="dxa"/>
            <w:vAlign w:val="center"/>
          </w:tcPr>
          <w:p w:rsidR="002F45D1" w:rsidRDefault="00B75E8E">
            <w:pPr>
              <w:spacing w:before="60"/>
              <w:rPr>
                <w:noProof/>
              </w:rPr>
            </w:pPr>
            <w:r>
              <w:rPr>
                <w:noProof/>
              </w:rPr>
              <w:t xml:space="preserve">14.0301 (Усъвършенстване на функционирането на данъчните системи) </w:t>
            </w:r>
            <w:r>
              <w:rPr>
                <w:noProof/>
              </w:rPr>
              <w:br/>
            </w:r>
          </w:p>
        </w:tc>
        <w:tc>
          <w:tcPr>
            <w:tcW w:w="1080" w:type="dxa"/>
            <w:vAlign w:val="center"/>
          </w:tcPr>
          <w:p w:rsidR="002F45D1" w:rsidRDefault="00B75E8E">
            <w:pPr>
              <w:jc w:val="center"/>
              <w:rPr>
                <w:noProof/>
                <w:color w:val="0000FF"/>
              </w:rPr>
            </w:pPr>
            <w:r>
              <w:rPr>
                <w:noProof/>
              </w:rPr>
              <w:t>многогод.</w:t>
            </w:r>
          </w:p>
        </w:tc>
        <w:tc>
          <w:tcPr>
            <w:tcW w:w="956" w:type="dxa"/>
          </w:tcPr>
          <w:p w:rsidR="002F45D1" w:rsidRDefault="00B75E8E">
            <w:pPr>
              <w:jc w:val="center"/>
              <w:rPr>
                <w:noProof/>
                <w:color w:val="0000FF"/>
              </w:rPr>
            </w:pPr>
            <w:r>
              <w:rPr>
                <w:noProof/>
              </w:rPr>
              <w:t>Не</w:t>
            </w:r>
          </w:p>
        </w:tc>
        <w:tc>
          <w:tcPr>
            <w:tcW w:w="1080" w:type="dxa"/>
          </w:tcPr>
          <w:p w:rsidR="002F45D1" w:rsidRDefault="00B75E8E">
            <w:pPr>
              <w:jc w:val="center"/>
              <w:rPr>
                <w:noProof/>
                <w:color w:val="0000FF"/>
              </w:rPr>
            </w:pPr>
            <w:r>
              <w:rPr>
                <w:noProof/>
              </w:rPr>
              <w:t>Не</w:t>
            </w:r>
          </w:p>
        </w:tc>
        <w:tc>
          <w:tcPr>
            <w:tcW w:w="956" w:type="dxa"/>
          </w:tcPr>
          <w:p w:rsidR="002F45D1" w:rsidRDefault="00B75E8E">
            <w:pPr>
              <w:jc w:val="center"/>
              <w:rPr>
                <w:noProof/>
                <w:color w:val="0000FF"/>
              </w:rPr>
            </w:pPr>
            <w:r>
              <w:rPr>
                <w:noProof/>
              </w:rPr>
              <w:t>Не</w:t>
            </w:r>
          </w:p>
        </w:tc>
        <w:tc>
          <w:tcPr>
            <w:tcW w:w="1448" w:type="dxa"/>
          </w:tcPr>
          <w:p w:rsidR="002F45D1" w:rsidRDefault="00B75E8E">
            <w:pPr>
              <w:jc w:val="center"/>
              <w:rPr>
                <w:noProof/>
                <w:color w:val="0000FF"/>
              </w:rPr>
            </w:pPr>
            <w:r>
              <w:rPr>
                <w:noProof/>
              </w:rPr>
              <w:t>Не</w:t>
            </w:r>
          </w:p>
        </w:tc>
      </w:tr>
    </w:tbl>
    <w:p w:rsidR="002F45D1" w:rsidRDefault="00B75E8E">
      <w:pPr>
        <w:pStyle w:val="ListBullet1"/>
        <w:rPr>
          <w:noProof/>
        </w:rPr>
      </w:pPr>
      <w:r>
        <w:rPr>
          <w:noProof/>
        </w:rPr>
        <w:t xml:space="preserve">Поискани нови бюджетни редове </w:t>
      </w:r>
    </w:p>
    <w:p w:rsidR="002F45D1" w:rsidRDefault="00B75E8E">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F45D1">
        <w:tc>
          <w:tcPr>
            <w:tcW w:w="1080" w:type="dxa"/>
            <w:vMerge w:val="restart"/>
            <w:vAlign w:val="center"/>
          </w:tcPr>
          <w:p w:rsidR="002F45D1" w:rsidRDefault="00B75E8E">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rsidR="002F45D1" w:rsidRDefault="00B75E8E">
            <w:pPr>
              <w:spacing w:before="60" w:after="60"/>
              <w:jc w:val="center"/>
              <w:rPr>
                <w:noProof/>
              </w:rPr>
            </w:pPr>
            <w:r>
              <w:rPr>
                <w:noProof/>
                <w:sz w:val="20"/>
              </w:rPr>
              <w:t>Бюджетен ред</w:t>
            </w:r>
          </w:p>
        </w:tc>
        <w:tc>
          <w:tcPr>
            <w:tcW w:w="1080" w:type="dxa"/>
            <w:vAlign w:val="center"/>
          </w:tcPr>
          <w:p w:rsidR="002F45D1" w:rsidRDefault="00B75E8E">
            <w:pPr>
              <w:spacing w:before="60" w:after="60"/>
              <w:jc w:val="center"/>
              <w:rPr>
                <w:noProof/>
              </w:rPr>
            </w:pPr>
            <w:r>
              <w:rPr>
                <w:noProof/>
              </w:rPr>
              <w:t>Вид на</w:t>
            </w:r>
            <w:r>
              <w:rPr>
                <w:noProof/>
                <w:sz w:val="18"/>
              </w:rPr>
              <w:t>разхода</w:t>
            </w:r>
          </w:p>
        </w:tc>
        <w:tc>
          <w:tcPr>
            <w:tcW w:w="4440" w:type="dxa"/>
            <w:gridSpan w:val="4"/>
            <w:vAlign w:val="center"/>
          </w:tcPr>
          <w:p w:rsidR="002F45D1" w:rsidRDefault="00B75E8E">
            <w:pPr>
              <w:spacing w:before="60" w:after="60"/>
              <w:jc w:val="center"/>
              <w:rPr>
                <w:noProof/>
              </w:rPr>
            </w:pPr>
            <w:r>
              <w:rPr>
                <w:noProof/>
                <w:sz w:val="20"/>
              </w:rPr>
              <w:t xml:space="preserve">Вноска </w:t>
            </w:r>
          </w:p>
        </w:tc>
      </w:tr>
      <w:tr w:rsidR="002F45D1">
        <w:tc>
          <w:tcPr>
            <w:tcW w:w="1080" w:type="dxa"/>
            <w:vMerge/>
            <w:vAlign w:val="center"/>
          </w:tcPr>
          <w:p w:rsidR="002F45D1" w:rsidRDefault="002F45D1">
            <w:pPr>
              <w:jc w:val="center"/>
              <w:rPr>
                <w:noProof/>
              </w:rPr>
            </w:pPr>
          </w:p>
        </w:tc>
        <w:tc>
          <w:tcPr>
            <w:tcW w:w="3960" w:type="dxa"/>
            <w:vAlign w:val="center"/>
          </w:tcPr>
          <w:p w:rsidR="002F45D1" w:rsidRDefault="00B75E8E">
            <w:pPr>
              <w:rPr>
                <w:noProof/>
              </w:rPr>
            </w:pPr>
            <w:r>
              <w:rPr>
                <w:noProof/>
              </w:rPr>
              <w:t>Номер</w:t>
            </w:r>
            <w:r>
              <w:rPr>
                <w:noProof/>
                <w:sz w:val="20"/>
              </w:rPr>
              <w:t>[Наименование…...….]</w:t>
            </w:r>
          </w:p>
        </w:tc>
        <w:tc>
          <w:tcPr>
            <w:tcW w:w="1080" w:type="dxa"/>
            <w:vAlign w:val="center"/>
          </w:tcPr>
          <w:p w:rsidR="002F45D1" w:rsidRDefault="00B75E8E">
            <w:pPr>
              <w:jc w:val="center"/>
              <w:rPr>
                <w:noProof/>
              </w:rPr>
            </w:pPr>
            <w:r>
              <w:rPr>
                <w:noProof/>
                <w:sz w:val="18"/>
              </w:rPr>
              <w:t>Многогод./едногод.</w:t>
            </w:r>
          </w:p>
        </w:tc>
        <w:tc>
          <w:tcPr>
            <w:tcW w:w="956" w:type="dxa"/>
            <w:vAlign w:val="center"/>
          </w:tcPr>
          <w:p w:rsidR="002F45D1" w:rsidRDefault="00B75E8E">
            <w:pPr>
              <w:jc w:val="center"/>
              <w:rPr>
                <w:noProof/>
                <w:sz w:val="18"/>
              </w:rPr>
            </w:pPr>
            <w:r>
              <w:rPr>
                <w:noProof/>
                <w:sz w:val="18"/>
              </w:rPr>
              <w:t>от държави от ЕАСТ</w:t>
            </w:r>
          </w:p>
        </w:tc>
        <w:tc>
          <w:tcPr>
            <w:tcW w:w="1080" w:type="dxa"/>
            <w:vAlign w:val="center"/>
          </w:tcPr>
          <w:p w:rsidR="002F45D1" w:rsidRDefault="00B75E8E">
            <w:pPr>
              <w:jc w:val="center"/>
              <w:rPr>
                <w:noProof/>
                <w:sz w:val="18"/>
              </w:rPr>
            </w:pPr>
            <w:r>
              <w:rPr>
                <w:noProof/>
                <w:sz w:val="18"/>
              </w:rPr>
              <w:t>от държави кандидатки</w:t>
            </w:r>
          </w:p>
        </w:tc>
        <w:tc>
          <w:tcPr>
            <w:tcW w:w="956" w:type="dxa"/>
            <w:vAlign w:val="center"/>
          </w:tcPr>
          <w:p w:rsidR="002F45D1" w:rsidRDefault="00B75E8E">
            <w:pPr>
              <w:jc w:val="center"/>
              <w:rPr>
                <w:noProof/>
                <w:sz w:val="18"/>
              </w:rPr>
            </w:pPr>
            <w:r>
              <w:rPr>
                <w:noProof/>
                <w:sz w:val="18"/>
              </w:rPr>
              <w:t>от трети държави</w:t>
            </w:r>
          </w:p>
        </w:tc>
        <w:tc>
          <w:tcPr>
            <w:tcW w:w="1448" w:type="dxa"/>
            <w:vAlign w:val="center"/>
          </w:tcPr>
          <w:p w:rsidR="002F45D1" w:rsidRDefault="00B75E8E">
            <w:pPr>
              <w:jc w:val="center"/>
              <w:rPr>
                <w:noProof/>
              </w:rPr>
            </w:pPr>
            <w:r>
              <w:rPr>
                <w:noProof/>
                <w:sz w:val="16"/>
              </w:rPr>
              <w:t xml:space="preserve">по смисъла на член 21, параграф 2, буква б) от Финансовия регламент </w:t>
            </w:r>
          </w:p>
        </w:tc>
      </w:tr>
      <w:tr w:rsidR="002F45D1">
        <w:tc>
          <w:tcPr>
            <w:tcW w:w="1080" w:type="dxa"/>
            <w:vAlign w:val="center"/>
          </w:tcPr>
          <w:p w:rsidR="002F45D1" w:rsidRDefault="002F45D1">
            <w:pPr>
              <w:jc w:val="center"/>
              <w:rPr>
                <w:noProof/>
                <w:color w:val="0000FF"/>
              </w:rPr>
            </w:pPr>
          </w:p>
        </w:tc>
        <w:tc>
          <w:tcPr>
            <w:tcW w:w="3960" w:type="dxa"/>
            <w:vAlign w:val="center"/>
          </w:tcPr>
          <w:p w:rsidR="002F45D1" w:rsidRDefault="00B75E8E">
            <w:pPr>
              <w:spacing w:before="60"/>
              <w:rPr>
                <w:noProof/>
              </w:rPr>
            </w:pPr>
            <w:r>
              <w:rPr>
                <w:noProof/>
                <w:sz w:val="22"/>
              </w:rPr>
              <w:t>[XX.YY.YY.YY]</w:t>
            </w:r>
          </w:p>
          <w:p w:rsidR="002F45D1" w:rsidRDefault="002F45D1">
            <w:pPr>
              <w:spacing w:after="60"/>
              <w:rPr>
                <w:noProof/>
                <w:color w:val="0000FF"/>
              </w:rPr>
            </w:pPr>
          </w:p>
        </w:tc>
        <w:tc>
          <w:tcPr>
            <w:tcW w:w="1080" w:type="dxa"/>
            <w:vAlign w:val="center"/>
          </w:tcPr>
          <w:p w:rsidR="002F45D1" w:rsidRDefault="002F45D1">
            <w:pPr>
              <w:jc w:val="center"/>
              <w:rPr>
                <w:noProof/>
                <w:color w:val="0000FF"/>
              </w:rPr>
            </w:pPr>
          </w:p>
        </w:tc>
        <w:tc>
          <w:tcPr>
            <w:tcW w:w="956" w:type="dxa"/>
            <w:vAlign w:val="center"/>
          </w:tcPr>
          <w:p w:rsidR="002F45D1" w:rsidRDefault="00B75E8E">
            <w:pPr>
              <w:jc w:val="center"/>
              <w:rPr>
                <w:noProof/>
              </w:rPr>
            </w:pPr>
            <w:r>
              <w:rPr>
                <w:noProof/>
                <w:sz w:val="22"/>
              </w:rPr>
              <w:t>ДА/НЕ</w:t>
            </w:r>
          </w:p>
        </w:tc>
        <w:tc>
          <w:tcPr>
            <w:tcW w:w="1080" w:type="dxa"/>
            <w:vAlign w:val="center"/>
          </w:tcPr>
          <w:p w:rsidR="002F45D1" w:rsidRDefault="00B75E8E">
            <w:pPr>
              <w:jc w:val="center"/>
              <w:rPr>
                <w:noProof/>
                <w:color w:val="0000FF"/>
                <w:sz w:val="18"/>
              </w:rPr>
            </w:pPr>
            <w:r>
              <w:rPr>
                <w:noProof/>
                <w:sz w:val="22"/>
              </w:rPr>
              <w:t>ДА/НЕ</w:t>
            </w:r>
          </w:p>
        </w:tc>
        <w:tc>
          <w:tcPr>
            <w:tcW w:w="956" w:type="dxa"/>
            <w:vAlign w:val="center"/>
          </w:tcPr>
          <w:p w:rsidR="002F45D1" w:rsidRDefault="00B75E8E">
            <w:pPr>
              <w:jc w:val="center"/>
              <w:rPr>
                <w:noProof/>
                <w:color w:val="0000FF"/>
                <w:sz w:val="18"/>
              </w:rPr>
            </w:pPr>
            <w:r>
              <w:rPr>
                <w:noProof/>
                <w:sz w:val="22"/>
              </w:rPr>
              <w:t>ДА/НЕ</w:t>
            </w:r>
          </w:p>
        </w:tc>
        <w:tc>
          <w:tcPr>
            <w:tcW w:w="1448" w:type="dxa"/>
            <w:vAlign w:val="center"/>
          </w:tcPr>
          <w:p w:rsidR="002F45D1" w:rsidRDefault="00B75E8E">
            <w:pPr>
              <w:jc w:val="center"/>
              <w:rPr>
                <w:noProof/>
              </w:rPr>
            </w:pPr>
            <w:r>
              <w:rPr>
                <w:noProof/>
                <w:sz w:val="22"/>
              </w:rPr>
              <w:t>ДА/НЕ</w:t>
            </w:r>
          </w:p>
        </w:tc>
      </w:tr>
    </w:tbl>
    <w:p w:rsidR="002F45D1" w:rsidRDefault="002F45D1">
      <w:pPr>
        <w:rPr>
          <w:noProof/>
        </w:rPr>
        <w:sectPr w:rsidR="002F45D1">
          <w:pgSz w:w="11907" w:h="16840" w:code="1"/>
          <w:pgMar w:top="1134" w:right="1418" w:bottom="1134" w:left="1418" w:header="709" w:footer="709" w:gutter="0"/>
          <w:cols w:space="708"/>
          <w:docGrid w:linePitch="360"/>
        </w:sectPr>
      </w:pPr>
    </w:p>
    <w:p w:rsidR="002F45D1" w:rsidRDefault="00B75E8E">
      <w:pPr>
        <w:pStyle w:val="ManualHeading2"/>
        <w:rPr>
          <w:bCs/>
          <w:noProof/>
          <w:szCs w:val="24"/>
        </w:rPr>
      </w:pPr>
      <w:r>
        <w:t>3.2.</w:t>
      </w:r>
      <w:r>
        <w:tab/>
      </w:r>
      <w:r>
        <w:rPr>
          <w:noProof/>
        </w:rPr>
        <w:t xml:space="preserve">Очаквано отражение върху разходите </w:t>
      </w:r>
    </w:p>
    <w:p w:rsidR="002F45D1" w:rsidRDefault="00B75E8E">
      <w:pPr>
        <w:pStyle w:val="Text1"/>
        <w:rPr>
          <w:noProof/>
        </w:rPr>
      </w:pPr>
      <w:r>
        <w:rPr>
          <w:noProof/>
        </w:rPr>
        <w:t xml:space="preserve">[Тази част следва да бъде попълнена, използвайки за целта </w:t>
      </w:r>
      <w:hyperlink r:id="rId16">
        <w:r>
          <w:rPr>
            <w:rStyle w:val="Hyperlink"/>
            <w:b/>
            <w:noProof/>
            <w:color w:val="auto"/>
            <w:highlight w:val="lightGray"/>
          </w:rPr>
          <w:t>таблицата за бюджетни данни от административно естество</w:t>
        </w:r>
      </w:hyperlink>
      <w:r>
        <w:rPr>
          <w:noProof/>
        </w:rPr>
        <w:t xml:space="preserve"> (втория документ в приложението към настоящата финансова обосновка) и качена в CISNET за провеждането на вътрешни консулта</w:t>
      </w:r>
      <w:r>
        <w:rPr>
          <w:noProof/>
        </w:rPr>
        <w:t>ции между службите.]</w:t>
      </w:r>
    </w:p>
    <w:p w:rsidR="002F45D1" w:rsidRDefault="00B75E8E">
      <w:pPr>
        <w:pStyle w:val="ManualHeading3"/>
        <w:rPr>
          <w:noProof/>
        </w:rPr>
      </w:pPr>
      <w:r>
        <w:t>3.2.1.</w:t>
      </w:r>
      <w:r>
        <w:tab/>
      </w:r>
      <w:r>
        <w:rPr>
          <w:noProof/>
        </w:rPr>
        <w:t xml:space="preserve">Обобщение на очакваното отражение върху разходите </w:t>
      </w:r>
    </w:p>
    <w:p w:rsidR="002F45D1" w:rsidRDefault="00B75E8E">
      <w:pPr>
        <w:pStyle w:val="Text1"/>
        <w:rPr>
          <w:i/>
          <w:noProof/>
        </w:rPr>
      </w:pPr>
      <w:r>
        <w:rPr>
          <w:i/>
          <w:noProof/>
        </w:rPr>
        <w:t>Заявленията, посочени по-долу, са включени във финансовия пакет на програмата „Фискалис 2020“. Не са необходими допълнителни бюджетни кредити</w:t>
      </w:r>
    </w:p>
    <w:p w:rsidR="002F45D1" w:rsidRDefault="00B75E8E">
      <w:pPr>
        <w:jc w:val="right"/>
        <w:rPr>
          <w:noProof/>
          <w:sz w:val="20"/>
        </w:rPr>
      </w:pPr>
      <w:r>
        <w:rPr>
          <w:noProof/>
          <w:sz w:val="20"/>
        </w:rPr>
        <w:t>млн. EUR (до третия знак след десет</w:t>
      </w:r>
      <w:r>
        <w:rPr>
          <w:noProof/>
          <w:sz w:val="20"/>
        </w:rPr>
        <w:t>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F45D1">
        <w:trPr>
          <w:jc w:val="center"/>
        </w:trPr>
        <w:tc>
          <w:tcPr>
            <w:tcW w:w="4744" w:type="dxa"/>
            <w:shd w:val="thinDiagStripe" w:color="C0C0C0" w:fill="auto"/>
            <w:vAlign w:val="center"/>
          </w:tcPr>
          <w:p w:rsidR="002F45D1" w:rsidRDefault="00B75E8E">
            <w:pPr>
              <w:spacing w:before="60" w:after="60"/>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rsidR="002F45D1" w:rsidRDefault="00B75E8E">
            <w:pPr>
              <w:spacing w:before="60" w:after="60"/>
              <w:jc w:val="center"/>
              <w:rPr>
                <w:noProof/>
              </w:rPr>
            </w:pPr>
            <w:r>
              <w:rPr>
                <w:noProof/>
                <w:sz w:val="22"/>
              </w:rPr>
              <w:t>Номер</w:t>
            </w:r>
          </w:p>
        </w:tc>
        <w:tc>
          <w:tcPr>
            <w:tcW w:w="7817" w:type="dxa"/>
            <w:vAlign w:val="center"/>
          </w:tcPr>
          <w:p w:rsidR="002F45D1" w:rsidRDefault="00B75E8E">
            <w:pPr>
              <w:spacing w:before="60" w:after="60"/>
              <w:rPr>
                <w:noProof/>
              </w:rPr>
            </w:pPr>
            <w:r>
              <w:rPr>
                <w:noProof/>
              </w:rPr>
              <w:t>1А Конкурентоспособност за растеж и работни места</w:t>
            </w:r>
          </w:p>
        </w:tc>
      </w:tr>
    </w:tbl>
    <w:p w:rsidR="002F45D1" w:rsidRDefault="002F45D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2F45D1">
        <w:tc>
          <w:tcPr>
            <w:tcW w:w="3960" w:type="dxa"/>
            <w:vAlign w:val="center"/>
          </w:tcPr>
          <w:p w:rsidR="002F45D1" w:rsidRDefault="00B75E8E">
            <w:pPr>
              <w:jc w:val="center"/>
              <w:rPr>
                <w:noProof/>
              </w:rPr>
            </w:pPr>
            <w:r>
              <w:rPr>
                <w:noProof/>
                <w:sz w:val="22"/>
              </w:rPr>
              <w:t xml:space="preserve">ГД: </w:t>
            </w:r>
            <w:r>
              <w:rPr>
                <w:noProof/>
              </w:rPr>
              <w:t>„Данъчно облагане и митнически съюз“</w:t>
            </w:r>
          </w:p>
        </w:tc>
        <w:tc>
          <w:tcPr>
            <w:tcW w:w="1560" w:type="dxa"/>
            <w:gridSpan w:val="2"/>
          </w:tcPr>
          <w:p w:rsidR="002F45D1" w:rsidRDefault="002F45D1">
            <w:pPr>
              <w:rPr>
                <w:noProof/>
                <w:sz w:val="20"/>
              </w:rPr>
            </w:pPr>
          </w:p>
        </w:tc>
        <w:tc>
          <w:tcPr>
            <w:tcW w:w="534" w:type="dxa"/>
          </w:tcPr>
          <w:p w:rsidR="002F45D1" w:rsidRDefault="002F45D1">
            <w:pPr>
              <w:jc w:val="center"/>
              <w:rPr>
                <w:noProof/>
                <w:sz w:val="20"/>
              </w:rPr>
            </w:pPr>
          </w:p>
        </w:tc>
        <w:tc>
          <w:tcPr>
            <w:tcW w:w="868" w:type="dxa"/>
            <w:vAlign w:val="center"/>
          </w:tcPr>
          <w:p w:rsidR="002F45D1" w:rsidRDefault="00B75E8E">
            <w:pPr>
              <w:jc w:val="center"/>
              <w:rPr>
                <w:noProof/>
                <w:sz w:val="20"/>
              </w:rPr>
            </w:pPr>
            <w:r>
              <w:rPr>
                <w:noProof/>
              </w:rPr>
              <w:t>Година</w:t>
            </w:r>
            <w:r>
              <w:rPr>
                <w:noProof/>
                <w:sz w:val="20"/>
              </w:rPr>
              <w:t>2016</w:t>
            </w:r>
            <w:r>
              <w:rPr>
                <w:rStyle w:val="FootnoteReference"/>
                <w:noProof/>
                <w:sz w:val="20"/>
              </w:rPr>
              <w:footnoteReference w:id="21"/>
            </w:r>
          </w:p>
        </w:tc>
        <w:tc>
          <w:tcPr>
            <w:tcW w:w="868" w:type="dxa"/>
            <w:vAlign w:val="center"/>
          </w:tcPr>
          <w:p w:rsidR="002F45D1" w:rsidRDefault="00B75E8E">
            <w:pPr>
              <w:jc w:val="center"/>
              <w:rPr>
                <w:noProof/>
                <w:sz w:val="20"/>
              </w:rPr>
            </w:pPr>
            <w:r>
              <w:rPr>
                <w:noProof/>
              </w:rPr>
              <w:t>Година</w:t>
            </w:r>
            <w:r>
              <w:rPr>
                <w:b/>
                <w:noProof/>
                <w:sz w:val="20"/>
              </w:rPr>
              <w:t>2017</w:t>
            </w:r>
          </w:p>
        </w:tc>
        <w:tc>
          <w:tcPr>
            <w:tcW w:w="868" w:type="dxa"/>
            <w:vAlign w:val="center"/>
          </w:tcPr>
          <w:p w:rsidR="002F45D1" w:rsidRDefault="00B75E8E">
            <w:pPr>
              <w:jc w:val="center"/>
              <w:rPr>
                <w:noProof/>
                <w:sz w:val="20"/>
              </w:rPr>
            </w:pPr>
            <w:r>
              <w:rPr>
                <w:noProof/>
              </w:rPr>
              <w:t>Година</w:t>
            </w:r>
            <w:r>
              <w:rPr>
                <w:b/>
                <w:noProof/>
                <w:sz w:val="20"/>
              </w:rPr>
              <w:t>2018</w:t>
            </w:r>
          </w:p>
        </w:tc>
        <w:tc>
          <w:tcPr>
            <w:tcW w:w="868" w:type="dxa"/>
            <w:vAlign w:val="center"/>
          </w:tcPr>
          <w:p w:rsidR="002F45D1" w:rsidRDefault="00B75E8E">
            <w:pPr>
              <w:jc w:val="center"/>
              <w:rPr>
                <w:noProof/>
                <w:sz w:val="20"/>
              </w:rPr>
            </w:pPr>
            <w:r>
              <w:rPr>
                <w:noProof/>
              </w:rPr>
              <w:t>Година</w:t>
            </w:r>
            <w:r>
              <w:rPr>
                <w:b/>
                <w:noProof/>
                <w:sz w:val="20"/>
              </w:rPr>
              <w:t>2019</w:t>
            </w:r>
          </w:p>
        </w:tc>
        <w:tc>
          <w:tcPr>
            <w:tcW w:w="2604" w:type="dxa"/>
            <w:gridSpan w:val="3"/>
            <w:vAlign w:val="center"/>
          </w:tcPr>
          <w:p w:rsidR="002F45D1" w:rsidRDefault="00B75E8E">
            <w:pPr>
              <w:jc w:val="center"/>
              <w:rPr>
                <w:b/>
                <w:noProof/>
                <w:sz w:val="18"/>
              </w:rPr>
            </w:pPr>
            <w:r>
              <w:rPr>
                <w:b/>
                <w:noProof/>
                <w:sz w:val="20"/>
              </w:rPr>
              <w:t xml:space="preserve">2020 </w:t>
            </w:r>
          </w:p>
        </w:tc>
        <w:tc>
          <w:tcPr>
            <w:tcW w:w="1777" w:type="dxa"/>
            <w:vAlign w:val="center"/>
          </w:tcPr>
          <w:p w:rsidR="002F45D1" w:rsidRDefault="00B75E8E">
            <w:pPr>
              <w:jc w:val="center"/>
              <w:rPr>
                <w:b/>
                <w:noProof/>
                <w:sz w:val="20"/>
              </w:rPr>
            </w:pPr>
            <w:r>
              <w:rPr>
                <w:b/>
                <w:noProof/>
                <w:sz w:val="20"/>
              </w:rPr>
              <w:t>ОБЩО</w:t>
            </w:r>
          </w:p>
        </w:tc>
      </w:tr>
      <w:tr w:rsidR="002F45D1">
        <w:trPr>
          <w:trHeight w:val="213"/>
        </w:trPr>
        <w:tc>
          <w:tcPr>
            <w:tcW w:w="6054" w:type="dxa"/>
            <w:gridSpan w:val="4"/>
            <w:vAlign w:val="center"/>
          </w:tcPr>
          <w:p w:rsidR="002F45D1" w:rsidRDefault="00B75E8E">
            <w:pPr>
              <w:spacing w:before="20" w:after="20"/>
              <w:rPr>
                <w:noProof/>
                <w:sz w:val="21"/>
              </w:rPr>
            </w:pPr>
            <w:r>
              <w:rPr>
                <w:noProof/>
                <w:sz w:val="21"/>
              </w:rPr>
              <w:sym w:font="Wingdings" w:char="F09F"/>
            </w:r>
            <w:r>
              <w:rPr>
                <w:noProof/>
              </w:rPr>
              <w:t>Бюджетни кредити за оперативни разходи</w:t>
            </w:r>
          </w:p>
        </w:tc>
        <w:tc>
          <w:tcPr>
            <w:tcW w:w="868" w:type="dxa"/>
            <w:vAlign w:val="center"/>
          </w:tcPr>
          <w:p w:rsidR="002F45D1" w:rsidRDefault="002F45D1">
            <w:pPr>
              <w:rPr>
                <w:noProof/>
                <w:sz w:val="20"/>
              </w:rPr>
            </w:pPr>
          </w:p>
        </w:tc>
        <w:tc>
          <w:tcPr>
            <w:tcW w:w="868" w:type="dxa"/>
            <w:vAlign w:val="center"/>
          </w:tcPr>
          <w:p w:rsidR="002F45D1" w:rsidRDefault="002F45D1">
            <w:pPr>
              <w:rPr>
                <w:noProof/>
                <w:sz w:val="20"/>
              </w:rPr>
            </w:pPr>
          </w:p>
        </w:tc>
        <w:tc>
          <w:tcPr>
            <w:tcW w:w="868" w:type="dxa"/>
            <w:vAlign w:val="center"/>
          </w:tcPr>
          <w:p w:rsidR="002F45D1" w:rsidRDefault="002F45D1">
            <w:pPr>
              <w:rPr>
                <w:noProof/>
                <w:sz w:val="20"/>
              </w:rPr>
            </w:pPr>
          </w:p>
        </w:tc>
        <w:tc>
          <w:tcPr>
            <w:tcW w:w="868" w:type="dxa"/>
            <w:vAlign w:val="center"/>
          </w:tcPr>
          <w:p w:rsidR="002F45D1" w:rsidRDefault="002F45D1">
            <w:pPr>
              <w:rPr>
                <w:noProof/>
                <w:sz w:val="20"/>
              </w:rPr>
            </w:pPr>
          </w:p>
        </w:tc>
        <w:tc>
          <w:tcPr>
            <w:tcW w:w="868" w:type="dxa"/>
            <w:vAlign w:val="center"/>
          </w:tcPr>
          <w:p w:rsidR="002F45D1" w:rsidRDefault="002F45D1">
            <w:pPr>
              <w:rPr>
                <w:noProof/>
                <w:sz w:val="20"/>
              </w:rPr>
            </w:pPr>
          </w:p>
        </w:tc>
        <w:tc>
          <w:tcPr>
            <w:tcW w:w="868" w:type="dxa"/>
            <w:vAlign w:val="center"/>
          </w:tcPr>
          <w:p w:rsidR="002F45D1" w:rsidRDefault="002F45D1">
            <w:pPr>
              <w:rPr>
                <w:noProof/>
                <w:sz w:val="20"/>
              </w:rPr>
            </w:pPr>
          </w:p>
        </w:tc>
        <w:tc>
          <w:tcPr>
            <w:tcW w:w="868" w:type="dxa"/>
            <w:vAlign w:val="center"/>
          </w:tcPr>
          <w:p w:rsidR="002F45D1" w:rsidRDefault="002F45D1">
            <w:pPr>
              <w:rPr>
                <w:b/>
                <w:noProof/>
                <w:sz w:val="20"/>
              </w:rPr>
            </w:pPr>
          </w:p>
        </w:tc>
        <w:tc>
          <w:tcPr>
            <w:tcW w:w="1777" w:type="dxa"/>
            <w:vAlign w:val="center"/>
          </w:tcPr>
          <w:p w:rsidR="002F45D1" w:rsidRDefault="002F45D1">
            <w:pPr>
              <w:rPr>
                <w:b/>
                <w:noProof/>
                <w:sz w:val="20"/>
              </w:rPr>
            </w:pPr>
          </w:p>
        </w:tc>
      </w:tr>
      <w:tr w:rsidR="002F45D1">
        <w:trPr>
          <w:trHeight w:val="277"/>
        </w:trPr>
        <w:tc>
          <w:tcPr>
            <w:tcW w:w="3960" w:type="dxa"/>
            <w:vMerge w:val="restart"/>
            <w:vAlign w:val="center"/>
          </w:tcPr>
          <w:p w:rsidR="002F45D1" w:rsidRDefault="00B75E8E">
            <w:pPr>
              <w:rPr>
                <w:noProof/>
              </w:rPr>
            </w:pPr>
            <w:r>
              <w:rPr>
                <w:noProof/>
              </w:rPr>
              <w:t>Номер на бюджетния ред 14.0301</w:t>
            </w:r>
          </w:p>
        </w:tc>
        <w:tc>
          <w:tcPr>
            <w:tcW w:w="1440" w:type="dxa"/>
            <w:vAlign w:val="center"/>
          </w:tcPr>
          <w:p w:rsidR="002F45D1" w:rsidRDefault="00B75E8E">
            <w:pPr>
              <w:spacing w:before="20" w:after="20"/>
              <w:rPr>
                <w:noProof/>
                <w:sz w:val="18"/>
              </w:rPr>
            </w:pPr>
            <w:r>
              <w:rPr>
                <w:noProof/>
                <w:sz w:val="18"/>
              </w:rPr>
              <w:t>Поети задължения</w:t>
            </w:r>
          </w:p>
        </w:tc>
        <w:tc>
          <w:tcPr>
            <w:tcW w:w="654" w:type="dxa"/>
            <w:gridSpan w:val="2"/>
            <w:vAlign w:val="center"/>
          </w:tcPr>
          <w:p w:rsidR="002F45D1" w:rsidRDefault="00B75E8E">
            <w:pPr>
              <w:spacing w:before="20" w:after="20"/>
              <w:jc w:val="center"/>
              <w:rPr>
                <w:noProof/>
                <w:sz w:val="14"/>
              </w:rPr>
            </w:pPr>
            <w:r>
              <w:rPr>
                <w:noProof/>
                <w:sz w:val="14"/>
              </w:rPr>
              <w:t>(1)</w:t>
            </w:r>
          </w:p>
        </w:tc>
        <w:tc>
          <w:tcPr>
            <w:tcW w:w="868" w:type="dxa"/>
            <w:vAlign w:val="center"/>
          </w:tcPr>
          <w:p w:rsidR="002F45D1" w:rsidRDefault="00B75E8E">
            <w:pPr>
              <w:spacing w:before="20" w:after="20"/>
              <w:jc w:val="right"/>
              <w:rPr>
                <w:noProof/>
              </w:rPr>
            </w:pPr>
            <w:r>
              <w:rPr>
                <w:noProof/>
              </w:rPr>
              <w:t>0,300</w:t>
            </w:r>
          </w:p>
        </w:tc>
        <w:tc>
          <w:tcPr>
            <w:tcW w:w="868" w:type="dxa"/>
            <w:vAlign w:val="center"/>
          </w:tcPr>
          <w:p w:rsidR="002F45D1" w:rsidRDefault="00B75E8E">
            <w:pPr>
              <w:spacing w:before="20" w:after="20"/>
              <w:jc w:val="right"/>
              <w:rPr>
                <w:noProof/>
              </w:rPr>
            </w:pPr>
            <w:r>
              <w:rPr>
                <w:noProof/>
              </w:rPr>
              <w:t>1,000</w:t>
            </w:r>
          </w:p>
        </w:tc>
        <w:tc>
          <w:tcPr>
            <w:tcW w:w="868" w:type="dxa"/>
            <w:vAlign w:val="center"/>
          </w:tcPr>
          <w:p w:rsidR="002F45D1" w:rsidRDefault="00B75E8E">
            <w:pPr>
              <w:spacing w:before="20" w:after="20"/>
              <w:jc w:val="right"/>
              <w:rPr>
                <w:noProof/>
              </w:rPr>
            </w:pPr>
            <w:r>
              <w:rPr>
                <w:noProof/>
              </w:rPr>
              <w:t>0,400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2F45D1">
            <w:pPr>
              <w:spacing w:before="20" w:after="20"/>
              <w:jc w:val="right"/>
              <w:rPr>
                <w:noProof/>
              </w:rPr>
            </w:pPr>
          </w:p>
        </w:tc>
        <w:tc>
          <w:tcPr>
            <w:tcW w:w="868" w:type="dxa"/>
            <w:vAlign w:val="center"/>
          </w:tcPr>
          <w:p w:rsidR="002F45D1" w:rsidRDefault="002F45D1">
            <w:pPr>
              <w:spacing w:before="20" w:after="20"/>
              <w:jc w:val="right"/>
              <w:rPr>
                <w:noProof/>
              </w:rPr>
            </w:pPr>
          </w:p>
        </w:tc>
        <w:tc>
          <w:tcPr>
            <w:tcW w:w="1777" w:type="dxa"/>
            <w:vAlign w:val="center"/>
          </w:tcPr>
          <w:p w:rsidR="002F45D1" w:rsidRDefault="00B75E8E">
            <w:pPr>
              <w:spacing w:before="20" w:after="20"/>
              <w:jc w:val="right"/>
              <w:rPr>
                <w:noProof/>
              </w:rPr>
            </w:pPr>
            <w:r>
              <w:rPr>
                <w:noProof/>
              </w:rPr>
              <w:t>2100</w:t>
            </w:r>
          </w:p>
        </w:tc>
      </w:tr>
      <w:tr w:rsidR="002F45D1">
        <w:tc>
          <w:tcPr>
            <w:tcW w:w="3960" w:type="dxa"/>
            <w:vMerge/>
          </w:tcPr>
          <w:p w:rsidR="002F45D1" w:rsidRDefault="002F45D1">
            <w:pPr>
              <w:jc w:val="center"/>
              <w:rPr>
                <w:noProof/>
                <w:sz w:val="20"/>
              </w:rPr>
            </w:pPr>
          </w:p>
        </w:tc>
        <w:tc>
          <w:tcPr>
            <w:tcW w:w="1440" w:type="dxa"/>
            <w:vAlign w:val="center"/>
          </w:tcPr>
          <w:p w:rsidR="002F45D1" w:rsidRDefault="00B75E8E">
            <w:pPr>
              <w:spacing w:before="20" w:after="20"/>
              <w:rPr>
                <w:noProof/>
                <w:sz w:val="18"/>
              </w:rPr>
            </w:pPr>
            <w:r>
              <w:rPr>
                <w:noProof/>
                <w:sz w:val="18"/>
              </w:rPr>
              <w:t>Плащания</w:t>
            </w:r>
          </w:p>
        </w:tc>
        <w:tc>
          <w:tcPr>
            <w:tcW w:w="654" w:type="dxa"/>
            <w:gridSpan w:val="2"/>
            <w:vAlign w:val="center"/>
          </w:tcPr>
          <w:p w:rsidR="002F45D1" w:rsidRDefault="00B75E8E">
            <w:pPr>
              <w:spacing w:before="20" w:after="20"/>
              <w:jc w:val="center"/>
              <w:rPr>
                <w:noProof/>
                <w:sz w:val="14"/>
              </w:rPr>
            </w:pPr>
            <w:r>
              <w:rPr>
                <w:noProof/>
                <w:sz w:val="14"/>
              </w:rPr>
              <w:t>(2)</w:t>
            </w:r>
          </w:p>
        </w:tc>
        <w:tc>
          <w:tcPr>
            <w:tcW w:w="868" w:type="dxa"/>
            <w:vAlign w:val="center"/>
          </w:tcPr>
          <w:p w:rsidR="002F45D1" w:rsidRDefault="00B75E8E">
            <w:pPr>
              <w:spacing w:before="20" w:after="20"/>
              <w:jc w:val="right"/>
              <w:rPr>
                <w:noProof/>
              </w:rPr>
            </w:pPr>
            <w:r>
              <w:rPr>
                <w:noProof/>
              </w:rPr>
              <w:t>0,000</w:t>
            </w:r>
          </w:p>
        </w:tc>
        <w:tc>
          <w:tcPr>
            <w:tcW w:w="868" w:type="dxa"/>
            <w:vAlign w:val="center"/>
          </w:tcPr>
          <w:p w:rsidR="002F45D1" w:rsidRDefault="00B75E8E">
            <w:pPr>
              <w:spacing w:before="20" w:after="20"/>
              <w:jc w:val="right"/>
              <w:rPr>
                <w:noProof/>
              </w:rPr>
            </w:pPr>
            <w:r>
              <w:rPr>
                <w:noProof/>
              </w:rPr>
              <w:t>0,300</w:t>
            </w:r>
          </w:p>
        </w:tc>
        <w:tc>
          <w:tcPr>
            <w:tcW w:w="868" w:type="dxa"/>
            <w:vAlign w:val="center"/>
          </w:tcPr>
          <w:p w:rsidR="002F45D1" w:rsidRDefault="00B75E8E">
            <w:pPr>
              <w:spacing w:before="20" w:after="20"/>
              <w:jc w:val="right"/>
              <w:rPr>
                <w:noProof/>
              </w:rPr>
            </w:pPr>
            <w:r>
              <w:rPr>
                <w:noProof/>
              </w:rPr>
              <w:t>1,000</w:t>
            </w:r>
          </w:p>
        </w:tc>
        <w:tc>
          <w:tcPr>
            <w:tcW w:w="868" w:type="dxa"/>
            <w:vAlign w:val="center"/>
          </w:tcPr>
          <w:p w:rsidR="002F45D1" w:rsidRDefault="00B75E8E">
            <w:pPr>
              <w:spacing w:before="20" w:after="20"/>
              <w:jc w:val="right"/>
              <w:rPr>
                <w:noProof/>
              </w:rPr>
            </w:pPr>
            <w:r>
              <w:rPr>
                <w:noProof/>
              </w:rPr>
              <w:t>0,400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2F45D1">
            <w:pPr>
              <w:spacing w:before="20" w:after="20"/>
              <w:jc w:val="right"/>
              <w:rPr>
                <w:noProof/>
              </w:rPr>
            </w:pPr>
          </w:p>
        </w:tc>
        <w:tc>
          <w:tcPr>
            <w:tcW w:w="1777" w:type="dxa"/>
            <w:vAlign w:val="center"/>
          </w:tcPr>
          <w:p w:rsidR="002F45D1" w:rsidRDefault="00B75E8E">
            <w:pPr>
              <w:spacing w:before="20" w:after="20"/>
              <w:jc w:val="right"/>
              <w:rPr>
                <w:noProof/>
              </w:rPr>
            </w:pPr>
            <w:r>
              <w:rPr>
                <w:noProof/>
              </w:rPr>
              <w:t>2100</w:t>
            </w:r>
          </w:p>
        </w:tc>
      </w:tr>
      <w:tr w:rsidR="002F45D1">
        <w:tc>
          <w:tcPr>
            <w:tcW w:w="3960" w:type="dxa"/>
            <w:vMerge w:val="restart"/>
            <w:vAlign w:val="center"/>
          </w:tcPr>
          <w:p w:rsidR="002F45D1" w:rsidRDefault="00B75E8E">
            <w:pPr>
              <w:rPr>
                <w:noProof/>
              </w:rPr>
            </w:pPr>
            <w:r>
              <w:rPr>
                <w:noProof/>
                <w:sz w:val="20"/>
              </w:rPr>
              <w:t>Номер на бюджетния ред</w:t>
            </w:r>
          </w:p>
        </w:tc>
        <w:tc>
          <w:tcPr>
            <w:tcW w:w="1440" w:type="dxa"/>
            <w:vAlign w:val="center"/>
          </w:tcPr>
          <w:p w:rsidR="002F45D1" w:rsidRDefault="00B75E8E">
            <w:pPr>
              <w:spacing w:before="20" w:after="20"/>
              <w:rPr>
                <w:noProof/>
                <w:sz w:val="18"/>
              </w:rPr>
            </w:pPr>
            <w:r>
              <w:rPr>
                <w:noProof/>
                <w:sz w:val="18"/>
              </w:rPr>
              <w:t>Поети задължения</w:t>
            </w:r>
          </w:p>
        </w:tc>
        <w:tc>
          <w:tcPr>
            <w:tcW w:w="654" w:type="dxa"/>
            <w:gridSpan w:val="2"/>
            <w:vAlign w:val="center"/>
          </w:tcPr>
          <w:p w:rsidR="002F45D1" w:rsidRDefault="00B75E8E">
            <w:pPr>
              <w:spacing w:before="20" w:after="20"/>
              <w:jc w:val="center"/>
              <w:rPr>
                <w:noProof/>
                <w:sz w:val="14"/>
              </w:rPr>
            </w:pPr>
            <w:r>
              <w:rPr>
                <w:noProof/>
                <w:sz w:val="14"/>
              </w:rPr>
              <w:t>(1a)</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1777" w:type="dxa"/>
            <w:vAlign w:val="center"/>
          </w:tcPr>
          <w:p w:rsidR="002F45D1" w:rsidRDefault="002F45D1">
            <w:pPr>
              <w:spacing w:before="20" w:after="20"/>
              <w:jc w:val="right"/>
              <w:rPr>
                <w:noProof/>
              </w:rPr>
            </w:pPr>
          </w:p>
        </w:tc>
      </w:tr>
      <w:tr w:rsidR="002F45D1">
        <w:tc>
          <w:tcPr>
            <w:tcW w:w="3960" w:type="dxa"/>
            <w:vMerge/>
          </w:tcPr>
          <w:p w:rsidR="002F45D1" w:rsidRDefault="002F45D1">
            <w:pPr>
              <w:jc w:val="center"/>
              <w:rPr>
                <w:noProof/>
                <w:sz w:val="20"/>
              </w:rPr>
            </w:pPr>
          </w:p>
        </w:tc>
        <w:tc>
          <w:tcPr>
            <w:tcW w:w="1440" w:type="dxa"/>
            <w:vAlign w:val="center"/>
          </w:tcPr>
          <w:p w:rsidR="002F45D1" w:rsidRDefault="00B75E8E">
            <w:pPr>
              <w:spacing w:before="20" w:after="20"/>
              <w:rPr>
                <w:noProof/>
                <w:sz w:val="18"/>
              </w:rPr>
            </w:pPr>
            <w:r>
              <w:rPr>
                <w:noProof/>
                <w:sz w:val="18"/>
              </w:rPr>
              <w:t>Плащания</w:t>
            </w:r>
          </w:p>
        </w:tc>
        <w:tc>
          <w:tcPr>
            <w:tcW w:w="654" w:type="dxa"/>
            <w:gridSpan w:val="2"/>
            <w:vAlign w:val="center"/>
          </w:tcPr>
          <w:p w:rsidR="002F45D1" w:rsidRDefault="00B75E8E">
            <w:pPr>
              <w:spacing w:before="20" w:after="20"/>
              <w:jc w:val="center"/>
              <w:rPr>
                <w:noProof/>
                <w:sz w:val="14"/>
              </w:rPr>
            </w:pPr>
            <w:r>
              <w:rPr>
                <w:noProof/>
                <w:sz w:val="14"/>
              </w:rPr>
              <w:t>(2 a)</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1777" w:type="dxa"/>
            <w:vAlign w:val="center"/>
          </w:tcPr>
          <w:p w:rsidR="002F45D1" w:rsidRDefault="002F45D1">
            <w:pPr>
              <w:spacing w:before="20" w:after="20"/>
              <w:jc w:val="right"/>
              <w:rPr>
                <w:noProof/>
              </w:rPr>
            </w:pPr>
          </w:p>
        </w:tc>
      </w:tr>
      <w:tr w:rsidR="002F45D1">
        <w:trPr>
          <w:trHeight w:val="231"/>
        </w:trPr>
        <w:tc>
          <w:tcPr>
            <w:tcW w:w="6054" w:type="dxa"/>
            <w:gridSpan w:val="4"/>
            <w:vAlign w:val="center"/>
          </w:tcPr>
          <w:p w:rsidR="002F45D1" w:rsidRDefault="00B75E8E">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22"/>
            </w:r>
            <w:r>
              <w:rPr>
                <w:noProof/>
                <w:sz w:val="21"/>
              </w:rPr>
              <w:t xml:space="preserve"> </w:t>
            </w:r>
          </w:p>
          <w:p w:rsidR="002F45D1" w:rsidRDefault="002F45D1">
            <w:pPr>
              <w:spacing w:before="0" w:after="0"/>
              <w:rPr>
                <w:noProof/>
              </w:rPr>
            </w:pP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1777" w:type="dxa"/>
            <w:vAlign w:val="center"/>
          </w:tcPr>
          <w:p w:rsidR="002F45D1" w:rsidRDefault="002F45D1">
            <w:pPr>
              <w:rPr>
                <w:noProof/>
              </w:rPr>
            </w:pPr>
          </w:p>
        </w:tc>
      </w:tr>
      <w:tr w:rsidR="002F45D1">
        <w:trPr>
          <w:trHeight w:val="319"/>
        </w:trPr>
        <w:tc>
          <w:tcPr>
            <w:tcW w:w="3960" w:type="dxa"/>
            <w:vAlign w:val="center"/>
          </w:tcPr>
          <w:p w:rsidR="002F45D1" w:rsidRDefault="00B75E8E">
            <w:pPr>
              <w:spacing w:before="60" w:after="60"/>
              <w:rPr>
                <w:noProof/>
              </w:rPr>
            </w:pPr>
            <w:r>
              <w:rPr>
                <w:noProof/>
                <w:sz w:val="20"/>
              </w:rPr>
              <w:t>Номер на бюджетния ред</w:t>
            </w:r>
          </w:p>
        </w:tc>
        <w:tc>
          <w:tcPr>
            <w:tcW w:w="1440" w:type="dxa"/>
            <w:vAlign w:val="center"/>
          </w:tcPr>
          <w:p w:rsidR="002F45D1" w:rsidRDefault="002F45D1">
            <w:pPr>
              <w:spacing w:before="40" w:after="40"/>
              <w:jc w:val="right"/>
              <w:rPr>
                <w:noProof/>
                <w:sz w:val="18"/>
              </w:rPr>
            </w:pPr>
          </w:p>
        </w:tc>
        <w:tc>
          <w:tcPr>
            <w:tcW w:w="654" w:type="dxa"/>
            <w:gridSpan w:val="2"/>
            <w:vAlign w:val="center"/>
          </w:tcPr>
          <w:p w:rsidR="002F45D1" w:rsidRDefault="00B75E8E">
            <w:pPr>
              <w:spacing w:before="40" w:after="40"/>
              <w:jc w:val="center"/>
              <w:rPr>
                <w:noProof/>
                <w:sz w:val="14"/>
              </w:rPr>
            </w:pPr>
            <w:r>
              <w:rPr>
                <w:noProof/>
                <w:sz w:val="14"/>
              </w:rPr>
              <w:t>(3)</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1777" w:type="dxa"/>
            <w:vAlign w:val="center"/>
          </w:tcPr>
          <w:p w:rsidR="002F45D1" w:rsidRDefault="002F45D1">
            <w:pPr>
              <w:spacing w:before="40" w:after="40"/>
              <w:jc w:val="right"/>
              <w:rPr>
                <w:noProof/>
              </w:rPr>
            </w:pPr>
          </w:p>
        </w:tc>
      </w:tr>
      <w:tr w:rsidR="002F45D1">
        <w:tc>
          <w:tcPr>
            <w:tcW w:w="3960" w:type="dxa"/>
            <w:vMerge w:val="restart"/>
            <w:vAlign w:val="center"/>
          </w:tcPr>
          <w:p w:rsidR="002F45D1" w:rsidRDefault="00B75E8E">
            <w:pPr>
              <w:jc w:val="center"/>
              <w:rPr>
                <w:b/>
                <w:noProof/>
              </w:rPr>
            </w:pPr>
            <w:r>
              <w:rPr>
                <w:b/>
                <w:noProof/>
              </w:rPr>
              <w:t>ОБЩО бюджетни кредити</w:t>
            </w:r>
            <w:r>
              <w:rPr>
                <w:noProof/>
              </w:rPr>
              <w:t xml:space="preserve">за </w:t>
            </w:r>
            <w:r>
              <w:rPr>
                <w:noProof/>
              </w:rPr>
              <w:t>ГД „Данъчно облагане и митнически съюз“</w:t>
            </w:r>
          </w:p>
        </w:tc>
        <w:tc>
          <w:tcPr>
            <w:tcW w:w="1440" w:type="dxa"/>
            <w:vAlign w:val="center"/>
          </w:tcPr>
          <w:p w:rsidR="002F45D1" w:rsidRDefault="00B75E8E">
            <w:pPr>
              <w:rPr>
                <w:noProof/>
                <w:sz w:val="18"/>
              </w:rPr>
            </w:pPr>
            <w:r>
              <w:rPr>
                <w:noProof/>
                <w:sz w:val="18"/>
              </w:rPr>
              <w:t>Поети задължения</w:t>
            </w:r>
          </w:p>
        </w:tc>
        <w:tc>
          <w:tcPr>
            <w:tcW w:w="654" w:type="dxa"/>
            <w:gridSpan w:val="2"/>
            <w:vAlign w:val="center"/>
          </w:tcPr>
          <w:p w:rsidR="002F45D1" w:rsidRDefault="00B75E8E">
            <w:pPr>
              <w:jc w:val="center"/>
              <w:rPr>
                <w:noProof/>
                <w:sz w:val="14"/>
              </w:rPr>
            </w:pPr>
            <w:r>
              <w:rPr>
                <w:noProof/>
                <w:sz w:val="14"/>
              </w:rPr>
              <w:t>= 1 + 1а + 3</w:t>
            </w:r>
          </w:p>
        </w:tc>
        <w:tc>
          <w:tcPr>
            <w:tcW w:w="868" w:type="dxa"/>
            <w:vAlign w:val="center"/>
          </w:tcPr>
          <w:p w:rsidR="002F45D1" w:rsidRDefault="00B75E8E">
            <w:pPr>
              <w:spacing w:before="20" w:after="20"/>
              <w:jc w:val="right"/>
              <w:rPr>
                <w:noProof/>
              </w:rPr>
            </w:pPr>
            <w:r>
              <w:rPr>
                <w:noProof/>
              </w:rPr>
              <w:t>0,300</w:t>
            </w:r>
          </w:p>
        </w:tc>
        <w:tc>
          <w:tcPr>
            <w:tcW w:w="868" w:type="dxa"/>
            <w:vAlign w:val="center"/>
          </w:tcPr>
          <w:p w:rsidR="002F45D1" w:rsidRDefault="00B75E8E">
            <w:pPr>
              <w:spacing w:before="20" w:after="20"/>
              <w:jc w:val="right"/>
              <w:rPr>
                <w:noProof/>
              </w:rPr>
            </w:pPr>
            <w:r>
              <w:rPr>
                <w:noProof/>
              </w:rPr>
              <w:t>1,000</w:t>
            </w:r>
          </w:p>
        </w:tc>
        <w:tc>
          <w:tcPr>
            <w:tcW w:w="868" w:type="dxa"/>
            <w:vAlign w:val="center"/>
          </w:tcPr>
          <w:p w:rsidR="002F45D1" w:rsidRDefault="00B75E8E">
            <w:pPr>
              <w:spacing w:before="20" w:after="20"/>
              <w:jc w:val="right"/>
              <w:rPr>
                <w:noProof/>
              </w:rPr>
            </w:pPr>
            <w:r>
              <w:rPr>
                <w:noProof/>
              </w:rPr>
              <w:t>0,400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2F45D1">
            <w:pPr>
              <w:spacing w:before="20" w:after="20"/>
              <w:jc w:val="right"/>
              <w:rPr>
                <w:noProof/>
              </w:rPr>
            </w:pPr>
          </w:p>
        </w:tc>
        <w:tc>
          <w:tcPr>
            <w:tcW w:w="868" w:type="dxa"/>
            <w:vAlign w:val="center"/>
          </w:tcPr>
          <w:p w:rsidR="002F45D1" w:rsidRDefault="002F45D1">
            <w:pPr>
              <w:spacing w:before="20" w:after="20"/>
              <w:jc w:val="right"/>
              <w:rPr>
                <w:noProof/>
              </w:rPr>
            </w:pPr>
          </w:p>
        </w:tc>
        <w:tc>
          <w:tcPr>
            <w:tcW w:w="1777" w:type="dxa"/>
            <w:vAlign w:val="center"/>
          </w:tcPr>
          <w:p w:rsidR="002F45D1" w:rsidRDefault="00B75E8E">
            <w:pPr>
              <w:spacing w:before="20" w:after="20"/>
              <w:jc w:val="right"/>
              <w:rPr>
                <w:noProof/>
              </w:rPr>
            </w:pPr>
            <w:r>
              <w:rPr>
                <w:noProof/>
              </w:rPr>
              <w:t>2100</w:t>
            </w:r>
          </w:p>
        </w:tc>
      </w:tr>
      <w:tr w:rsidR="002F45D1">
        <w:tc>
          <w:tcPr>
            <w:tcW w:w="3960" w:type="dxa"/>
            <w:vMerge/>
          </w:tcPr>
          <w:p w:rsidR="002F45D1" w:rsidRDefault="002F45D1">
            <w:pPr>
              <w:rPr>
                <w:noProof/>
                <w:sz w:val="20"/>
              </w:rPr>
            </w:pPr>
          </w:p>
        </w:tc>
        <w:tc>
          <w:tcPr>
            <w:tcW w:w="1440" w:type="dxa"/>
            <w:vAlign w:val="center"/>
          </w:tcPr>
          <w:p w:rsidR="002F45D1" w:rsidRDefault="00B75E8E">
            <w:pPr>
              <w:rPr>
                <w:noProof/>
                <w:sz w:val="18"/>
              </w:rPr>
            </w:pPr>
            <w:r>
              <w:rPr>
                <w:noProof/>
                <w:sz w:val="18"/>
              </w:rPr>
              <w:t>Плащания</w:t>
            </w:r>
          </w:p>
        </w:tc>
        <w:tc>
          <w:tcPr>
            <w:tcW w:w="654" w:type="dxa"/>
            <w:gridSpan w:val="2"/>
            <w:vAlign w:val="center"/>
          </w:tcPr>
          <w:p w:rsidR="002F45D1" w:rsidRDefault="00B75E8E">
            <w:pPr>
              <w:jc w:val="center"/>
              <w:rPr>
                <w:noProof/>
                <w:sz w:val="14"/>
              </w:rPr>
            </w:pPr>
            <w:r>
              <w:rPr>
                <w:noProof/>
                <w:sz w:val="14"/>
              </w:rPr>
              <w:t>=2+2a</w:t>
            </w:r>
          </w:p>
          <w:p w:rsidR="002F45D1" w:rsidRDefault="00B75E8E">
            <w:pPr>
              <w:jc w:val="center"/>
              <w:rPr>
                <w:noProof/>
                <w:sz w:val="14"/>
              </w:rPr>
            </w:pPr>
            <w:r>
              <w:rPr>
                <w:noProof/>
                <w:sz w:val="14"/>
              </w:rPr>
              <w:t>+3</w:t>
            </w:r>
          </w:p>
        </w:tc>
        <w:tc>
          <w:tcPr>
            <w:tcW w:w="868" w:type="dxa"/>
            <w:vAlign w:val="center"/>
          </w:tcPr>
          <w:p w:rsidR="002F45D1" w:rsidRDefault="00B75E8E">
            <w:pPr>
              <w:spacing w:before="20" w:after="20"/>
              <w:jc w:val="right"/>
              <w:rPr>
                <w:noProof/>
              </w:rPr>
            </w:pPr>
            <w:r>
              <w:rPr>
                <w:noProof/>
              </w:rPr>
              <w:t>0,000</w:t>
            </w:r>
          </w:p>
        </w:tc>
        <w:tc>
          <w:tcPr>
            <w:tcW w:w="868" w:type="dxa"/>
            <w:vAlign w:val="center"/>
          </w:tcPr>
          <w:p w:rsidR="002F45D1" w:rsidRDefault="00B75E8E">
            <w:pPr>
              <w:spacing w:before="20" w:after="20"/>
              <w:jc w:val="right"/>
              <w:rPr>
                <w:noProof/>
              </w:rPr>
            </w:pPr>
            <w:r>
              <w:rPr>
                <w:noProof/>
              </w:rPr>
              <w:t>0,300</w:t>
            </w:r>
          </w:p>
        </w:tc>
        <w:tc>
          <w:tcPr>
            <w:tcW w:w="868" w:type="dxa"/>
            <w:vAlign w:val="center"/>
          </w:tcPr>
          <w:p w:rsidR="002F45D1" w:rsidRDefault="00B75E8E">
            <w:pPr>
              <w:spacing w:before="20" w:after="20"/>
              <w:jc w:val="right"/>
              <w:rPr>
                <w:noProof/>
              </w:rPr>
            </w:pPr>
            <w:r>
              <w:rPr>
                <w:noProof/>
              </w:rPr>
              <w:t>1,000</w:t>
            </w:r>
          </w:p>
        </w:tc>
        <w:tc>
          <w:tcPr>
            <w:tcW w:w="868" w:type="dxa"/>
            <w:vAlign w:val="center"/>
          </w:tcPr>
          <w:p w:rsidR="002F45D1" w:rsidRDefault="00B75E8E">
            <w:pPr>
              <w:spacing w:before="20" w:after="20"/>
              <w:jc w:val="right"/>
              <w:rPr>
                <w:noProof/>
              </w:rPr>
            </w:pPr>
            <w:r>
              <w:rPr>
                <w:noProof/>
              </w:rPr>
              <w:t>0,400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2F45D1">
            <w:pPr>
              <w:spacing w:before="20" w:after="20"/>
              <w:jc w:val="right"/>
              <w:rPr>
                <w:noProof/>
              </w:rPr>
            </w:pPr>
          </w:p>
        </w:tc>
        <w:tc>
          <w:tcPr>
            <w:tcW w:w="1777" w:type="dxa"/>
            <w:vAlign w:val="center"/>
          </w:tcPr>
          <w:p w:rsidR="002F45D1" w:rsidRDefault="00B75E8E">
            <w:pPr>
              <w:spacing w:before="20" w:after="20"/>
              <w:jc w:val="right"/>
              <w:rPr>
                <w:noProof/>
              </w:rPr>
            </w:pPr>
            <w:r>
              <w:rPr>
                <w:noProof/>
              </w:rPr>
              <w:t>2100</w:t>
            </w:r>
          </w:p>
        </w:tc>
      </w:tr>
    </w:tbl>
    <w:p w:rsidR="002F45D1" w:rsidRDefault="00B75E8E">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2F45D1">
        <w:trPr>
          <w:trHeight w:val="277"/>
        </w:trPr>
        <w:tc>
          <w:tcPr>
            <w:tcW w:w="3960" w:type="dxa"/>
            <w:vMerge w:val="restart"/>
            <w:vAlign w:val="center"/>
          </w:tcPr>
          <w:p w:rsidR="002F45D1" w:rsidRDefault="00B75E8E">
            <w:pPr>
              <w:spacing w:before="20" w:after="20"/>
              <w:rPr>
                <w:noProof/>
              </w:rPr>
            </w:pPr>
            <w:r>
              <w:rPr>
                <w:noProof/>
              </w:rPr>
              <w:br w:type="page"/>
            </w:r>
            <w:r>
              <w:rPr>
                <w:noProof/>
                <w:sz w:val="21"/>
              </w:rPr>
              <w:sym w:font="Wingdings" w:char="F09F"/>
            </w:r>
            <w:r>
              <w:rPr>
                <w:noProof/>
              </w:rPr>
              <w:t>ОБЩО бюджетни кредити за оперативни разходи</w:t>
            </w:r>
          </w:p>
        </w:tc>
        <w:tc>
          <w:tcPr>
            <w:tcW w:w="1440" w:type="dxa"/>
            <w:vAlign w:val="center"/>
          </w:tcPr>
          <w:p w:rsidR="002F45D1" w:rsidRDefault="00B75E8E">
            <w:pPr>
              <w:spacing w:beforeLines="20" w:before="48" w:afterLines="20" w:after="48"/>
              <w:rPr>
                <w:noProof/>
                <w:sz w:val="18"/>
              </w:rPr>
            </w:pPr>
            <w:r>
              <w:rPr>
                <w:noProof/>
                <w:sz w:val="18"/>
              </w:rPr>
              <w:t>Поети задължения</w:t>
            </w:r>
          </w:p>
        </w:tc>
        <w:tc>
          <w:tcPr>
            <w:tcW w:w="654" w:type="dxa"/>
            <w:vAlign w:val="center"/>
          </w:tcPr>
          <w:p w:rsidR="002F45D1" w:rsidRDefault="00B75E8E">
            <w:pPr>
              <w:spacing w:beforeLines="20" w:before="48" w:afterLines="20" w:after="48"/>
              <w:jc w:val="center"/>
              <w:rPr>
                <w:noProof/>
                <w:sz w:val="14"/>
              </w:rPr>
            </w:pPr>
            <w:r>
              <w:rPr>
                <w:noProof/>
                <w:sz w:val="14"/>
              </w:rPr>
              <w:t>(4)</w:t>
            </w:r>
          </w:p>
        </w:tc>
        <w:tc>
          <w:tcPr>
            <w:tcW w:w="868" w:type="dxa"/>
            <w:vAlign w:val="center"/>
          </w:tcPr>
          <w:p w:rsidR="002F45D1" w:rsidRDefault="00B75E8E">
            <w:pPr>
              <w:spacing w:before="20" w:after="20"/>
              <w:jc w:val="right"/>
              <w:rPr>
                <w:noProof/>
              </w:rPr>
            </w:pPr>
            <w:r>
              <w:rPr>
                <w:noProof/>
              </w:rPr>
              <w:t>0,300</w:t>
            </w:r>
          </w:p>
        </w:tc>
        <w:tc>
          <w:tcPr>
            <w:tcW w:w="868" w:type="dxa"/>
            <w:vAlign w:val="center"/>
          </w:tcPr>
          <w:p w:rsidR="002F45D1" w:rsidRDefault="00B75E8E">
            <w:pPr>
              <w:spacing w:before="20" w:after="20"/>
              <w:jc w:val="right"/>
              <w:rPr>
                <w:noProof/>
              </w:rPr>
            </w:pPr>
            <w:r>
              <w:rPr>
                <w:noProof/>
              </w:rPr>
              <w:t>1,000</w:t>
            </w:r>
          </w:p>
        </w:tc>
        <w:tc>
          <w:tcPr>
            <w:tcW w:w="868" w:type="dxa"/>
            <w:vAlign w:val="center"/>
          </w:tcPr>
          <w:p w:rsidR="002F45D1" w:rsidRDefault="00B75E8E">
            <w:pPr>
              <w:spacing w:before="20" w:after="20"/>
              <w:jc w:val="right"/>
              <w:rPr>
                <w:noProof/>
              </w:rPr>
            </w:pPr>
            <w:r>
              <w:rPr>
                <w:noProof/>
              </w:rPr>
              <w:t>0,400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2F45D1">
            <w:pPr>
              <w:spacing w:before="20" w:after="20"/>
              <w:jc w:val="right"/>
              <w:rPr>
                <w:noProof/>
              </w:rPr>
            </w:pPr>
          </w:p>
        </w:tc>
        <w:tc>
          <w:tcPr>
            <w:tcW w:w="868" w:type="dxa"/>
            <w:vAlign w:val="center"/>
          </w:tcPr>
          <w:p w:rsidR="002F45D1" w:rsidRDefault="002F45D1">
            <w:pPr>
              <w:spacing w:before="20" w:after="20"/>
              <w:jc w:val="right"/>
              <w:rPr>
                <w:noProof/>
              </w:rPr>
            </w:pPr>
          </w:p>
        </w:tc>
        <w:tc>
          <w:tcPr>
            <w:tcW w:w="1777" w:type="dxa"/>
            <w:vAlign w:val="center"/>
          </w:tcPr>
          <w:p w:rsidR="002F45D1" w:rsidRDefault="00B75E8E">
            <w:pPr>
              <w:spacing w:before="20" w:after="20"/>
              <w:jc w:val="right"/>
              <w:rPr>
                <w:noProof/>
              </w:rPr>
            </w:pPr>
            <w:r>
              <w:rPr>
                <w:noProof/>
              </w:rPr>
              <w:t>2100</w:t>
            </w:r>
          </w:p>
        </w:tc>
      </w:tr>
      <w:tr w:rsidR="002F45D1">
        <w:tc>
          <w:tcPr>
            <w:tcW w:w="3960" w:type="dxa"/>
            <w:vMerge/>
          </w:tcPr>
          <w:p w:rsidR="002F45D1" w:rsidRDefault="002F45D1">
            <w:pPr>
              <w:jc w:val="center"/>
              <w:rPr>
                <w:noProof/>
                <w:sz w:val="20"/>
              </w:rPr>
            </w:pPr>
          </w:p>
        </w:tc>
        <w:tc>
          <w:tcPr>
            <w:tcW w:w="1440" w:type="dxa"/>
            <w:vAlign w:val="center"/>
          </w:tcPr>
          <w:p w:rsidR="002F45D1" w:rsidRDefault="00B75E8E">
            <w:pPr>
              <w:spacing w:beforeLines="20" w:before="48" w:afterLines="20" w:after="48"/>
              <w:rPr>
                <w:noProof/>
                <w:sz w:val="18"/>
              </w:rPr>
            </w:pPr>
            <w:r>
              <w:rPr>
                <w:noProof/>
                <w:sz w:val="18"/>
              </w:rPr>
              <w:t>Плащания</w:t>
            </w:r>
          </w:p>
        </w:tc>
        <w:tc>
          <w:tcPr>
            <w:tcW w:w="654" w:type="dxa"/>
            <w:vAlign w:val="center"/>
          </w:tcPr>
          <w:p w:rsidR="002F45D1" w:rsidRDefault="00B75E8E">
            <w:pPr>
              <w:spacing w:beforeLines="20" w:before="48" w:afterLines="20" w:after="48"/>
              <w:jc w:val="center"/>
              <w:rPr>
                <w:noProof/>
                <w:sz w:val="14"/>
              </w:rPr>
            </w:pPr>
            <w:r>
              <w:rPr>
                <w:noProof/>
                <w:sz w:val="14"/>
              </w:rPr>
              <w:t>(5)</w:t>
            </w:r>
          </w:p>
        </w:tc>
        <w:tc>
          <w:tcPr>
            <w:tcW w:w="868" w:type="dxa"/>
            <w:vAlign w:val="center"/>
          </w:tcPr>
          <w:p w:rsidR="002F45D1" w:rsidRDefault="00B75E8E">
            <w:pPr>
              <w:spacing w:before="20" w:after="20"/>
              <w:jc w:val="right"/>
              <w:rPr>
                <w:noProof/>
              </w:rPr>
            </w:pPr>
            <w:r>
              <w:rPr>
                <w:noProof/>
              </w:rPr>
              <w:t>0,000</w:t>
            </w:r>
          </w:p>
        </w:tc>
        <w:tc>
          <w:tcPr>
            <w:tcW w:w="868" w:type="dxa"/>
            <w:vAlign w:val="center"/>
          </w:tcPr>
          <w:p w:rsidR="002F45D1" w:rsidRDefault="00B75E8E">
            <w:pPr>
              <w:spacing w:before="20" w:after="20"/>
              <w:jc w:val="right"/>
              <w:rPr>
                <w:noProof/>
              </w:rPr>
            </w:pPr>
            <w:r>
              <w:rPr>
                <w:noProof/>
              </w:rPr>
              <w:t>0,300</w:t>
            </w:r>
          </w:p>
        </w:tc>
        <w:tc>
          <w:tcPr>
            <w:tcW w:w="868" w:type="dxa"/>
            <w:vAlign w:val="center"/>
          </w:tcPr>
          <w:p w:rsidR="002F45D1" w:rsidRDefault="00B75E8E">
            <w:pPr>
              <w:spacing w:before="20" w:after="20"/>
              <w:jc w:val="right"/>
              <w:rPr>
                <w:noProof/>
              </w:rPr>
            </w:pPr>
            <w:r>
              <w:rPr>
                <w:noProof/>
              </w:rPr>
              <w:t>1,000</w:t>
            </w:r>
          </w:p>
        </w:tc>
        <w:tc>
          <w:tcPr>
            <w:tcW w:w="868" w:type="dxa"/>
            <w:vAlign w:val="center"/>
          </w:tcPr>
          <w:p w:rsidR="002F45D1" w:rsidRDefault="00B75E8E">
            <w:pPr>
              <w:spacing w:before="20" w:after="20"/>
              <w:jc w:val="right"/>
              <w:rPr>
                <w:noProof/>
              </w:rPr>
            </w:pPr>
            <w:r>
              <w:rPr>
                <w:noProof/>
              </w:rPr>
              <w:t>0,400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2F45D1">
            <w:pPr>
              <w:spacing w:before="20" w:after="20"/>
              <w:jc w:val="right"/>
              <w:rPr>
                <w:noProof/>
              </w:rPr>
            </w:pPr>
          </w:p>
        </w:tc>
        <w:tc>
          <w:tcPr>
            <w:tcW w:w="1777" w:type="dxa"/>
            <w:vAlign w:val="center"/>
          </w:tcPr>
          <w:p w:rsidR="002F45D1" w:rsidRDefault="00B75E8E">
            <w:pPr>
              <w:spacing w:before="20" w:after="20"/>
              <w:jc w:val="right"/>
              <w:rPr>
                <w:noProof/>
              </w:rPr>
            </w:pPr>
            <w:r>
              <w:rPr>
                <w:noProof/>
              </w:rPr>
              <w:t>2100</w:t>
            </w:r>
          </w:p>
        </w:tc>
      </w:tr>
      <w:tr w:rsidR="002F45D1">
        <w:trPr>
          <w:trHeight w:val="533"/>
        </w:trPr>
        <w:tc>
          <w:tcPr>
            <w:tcW w:w="5400" w:type="dxa"/>
            <w:gridSpan w:val="2"/>
            <w:vAlign w:val="center"/>
          </w:tcPr>
          <w:p w:rsidR="002F45D1" w:rsidRDefault="00B75E8E">
            <w:pPr>
              <w:spacing w:beforeLines="20" w:before="48" w:afterLines="20" w:after="48"/>
              <w:rPr>
                <w:noProof/>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vAlign w:val="center"/>
          </w:tcPr>
          <w:p w:rsidR="002F45D1" w:rsidRDefault="00B75E8E">
            <w:pPr>
              <w:spacing w:beforeLines="20" w:before="48" w:afterLines="20" w:after="48"/>
              <w:jc w:val="center"/>
              <w:rPr>
                <w:noProof/>
                <w:sz w:val="14"/>
              </w:rPr>
            </w:pPr>
            <w:r>
              <w:rPr>
                <w:noProof/>
                <w:sz w:val="14"/>
              </w:rPr>
              <w:t>(6)</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1777" w:type="dxa"/>
            <w:vAlign w:val="center"/>
          </w:tcPr>
          <w:p w:rsidR="002F45D1" w:rsidRDefault="002F45D1">
            <w:pPr>
              <w:spacing w:before="20" w:after="20"/>
              <w:jc w:val="right"/>
              <w:rPr>
                <w:b/>
                <w:noProof/>
                <w:sz w:val="20"/>
              </w:rPr>
            </w:pPr>
          </w:p>
        </w:tc>
      </w:tr>
      <w:tr w:rsidR="002F45D1">
        <w:tc>
          <w:tcPr>
            <w:tcW w:w="3960" w:type="dxa"/>
            <w:vMerge w:val="restart"/>
            <w:shd w:val="thinDiagStripe" w:color="C0C0C0" w:fill="auto"/>
            <w:vAlign w:val="center"/>
          </w:tcPr>
          <w:p w:rsidR="002F45D1" w:rsidRDefault="00B75E8E">
            <w:pPr>
              <w:jc w:val="center"/>
              <w:rPr>
                <w:b/>
                <w:noProof/>
              </w:rPr>
            </w:pPr>
            <w:r>
              <w:rPr>
                <w:b/>
                <w:noProof/>
              </w:rPr>
              <w:t>ОБЩО бюджетни кредитипо ФУНКЦИЯ</w:t>
            </w:r>
            <w:r>
              <w:rPr>
                <w:noProof/>
              </w:rPr>
              <w:t> 1А</w:t>
            </w:r>
            <w:r>
              <w:rPr>
                <w:noProof/>
              </w:rPr>
              <w:br/>
            </w:r>
            <w:r>
              <w:rPr>
                <w:noProof/>
                <w:sz w:val="22"/>
              </w:rPr>
              <w:t>от многогодишната финансова рамка</w:t>
            </w:r>
          </w:p>
        </w:tc>
        <w:tc>
          <w:tcPr>
            <w:tcW w:w="1440" w:type="dxa"/>
            <w:vAlign w:val="center"/>
          </w:tcPr>
          <w:p w:rsidR="002F45D1" w:rsidRDefault="00B75E8E">
            <w:pPr>
              <w:rPr>
                <w:noProof/>
                <w:sz w:val="18"/>
              </w:rPr>
            </w:pPr>
            <w:r>
              <w:rPr>
                <w:noProof/>
                <w:sz w:val="18"/>
              </w:rPr>
              <w:t>Поети задължения</w:t>
            </w:r>
          </w:p>
        </w:tc>
        <w:tc>
          <w:tcPr>
            <w:tcW w:w="654" w:type="dxa"/>
            <w:vAlign w:val="center"/>
          </w:tcPr>
          <w:p w:rsidR="002F45D1" w:rsidRDefault="00B75E8E">
            <w:pPr>
              <w:jc w:val="center"/>
              <w:rPr>
                <w:noProof/>
                <w:sz w:val="14"/>
              </w:rPr>
            </w:pPr>
            <w:r>
              <w:rPr>
                <w:noProof/>
                <w:sz w:val="14"/>
              </w:rPr>
              <w:t>=4+ 6</w:t>
            </w:r>
          </w:p>
        </w:tc>
        <w:tc>
          <w:tcPr>
            <w:tcW w:w="868" w:type="dxa"/>
            <w:vAlign w:val="center"/>
          </w:tcPr>
          <w:p w:rsidR="002F45D1" w:rsidRDefault="00B75E8E">
            <w:pPr>
              <w:spacing w:before="20" w:after="20"/>
              <w:jc w:val="right"/>
              <w:rPr>
                <w:noProof/>
              </w:rPr>
            </w:pPr>
            <w:r>
              <w:rPr>
                <w:noProof/>
              </w:rPr>
              <w:t>0,300</w:t>
            </w:r>
          </w:p>
        </w:tc>
        <w:tc>
          <w:tcPr>
            <w:tcW w:w="868" w:type="dxa"/>
            <w:vAlign w:val="center"/>
          </w:tcPr>
          <w:p w:rsidR="002F45D1" w:rsidRDefault="00B75E8E">
            <w:pPr>
              <w:spacing w:before="20" w:after="20"/>
              <w:jc w:val="right"/>
              <w:rPr>
                <w:noProof/>
              </w:rPr>
            </w:pPr>
            <w:r>
              <w:rPr>
                <w:noProof/>
              </w:rPr>
              <w:t>1,000</w:t>
            </w:r>
          </w:p>
        </w:tc>
        <w:tc>
          <w:tcPr>
            <w:tcW w:w="868" w:type="dxa"/>
            <w:vAlign w:val="center"/>
          </w:tcPr>
          <w:p w:rsidR="002F45D1" w:rsidRDefault="00B75E8E">
            <w:pPr>
              <w:spacing w:before="20" w:after="20"/>
              <w:jc w:val="right"/>
              <w:rPr>
                <w:noProof/>
              </w:rPr>
            </w:pPr>
            <w:r>
              <w:rPr>
                <w:noProof/>
              </w:rPr>
              <w:t>0,400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2F45D1">
            <w:pPr>
              <w:spacing w:before="20" w:after="20"/>
              <w:jc w:val="right"/>
              <w:rPr>
                <w:noProof/>
              </w:rPr>
            </w:pPr>
          </w:p>
        </w:tc>
        <w:tc>
          <w:tcPr>
            <w:tcW w:w="868" w:type="dxa"/>
            <w:vAlign w:val="center"/>
          </w:tcPr>
          <w:p w:rsidR="002F45D1" w:rsidRDefault="002F45D1">
            <w:pPr>
              <w:spacing w:before="20" w:after="20"/>
              <w:jc w:val="right"/>
              <w:rPr>
                <w:noProof/>
              </w:rPr>
            </w:pPr>
          </w:p>
        </w:tc>
        <w:tc>
          <w:tcPr>
            <w:tcW w:w="1777" w:type="dxa"/>
            <w:vAlign w:val="center"/>
          </w:tcPr>
          <w:p w:rsidR="002F45D1" w:rsidRDefault="00B75E8E">
            <w:pPr>
              <w:spacing w:before="20" w:after="20"/>
              <w:jc w:val="right"/>
              <w:rPr>
                <w:noProof/>
              </w:rPr>
            </w:pPr>
            <w:r>
              <w:rPr>
                <w:noProof/>
              </w:rPr>
              <w:t>2100</w:t>
            </w:r>
          </w:p>
        </w:tc>
      </w:tr>
      <w:tr w:rsidR="002F45D1">
        <w:tc>
          <w:tcPr>
            <w:tcW w:w="3960" w:type="dxa"/>
            <w:vMerge/>
            <w:shd w:val="thinDiagStripe" w:color="C0C0C0" w:fill="auto"/>
          </w:tcPr>
          <w:p w:rsidR="002F45D1" w:rsidRDefault="002F45D1">
            <w:pPr>
              <w:rPr>
                <w:noProof/>
                <w:sz w:val="20"/>
              </w:rPr>
            </w:pPr>
          </w:p>
        </w:tc>
        <w:tc>
          <w:tcPr>
            <w:tcW w:w="1440" w:type="dxa"/>
            <w:vAlign w:val="center"/>
          </w:tcPr>
          <w:p w:rsidR="002F45D1" w:rsidRDefault="00B75E8E">
            <w:pPr>
              <w:rPr>
                <w:noProof/>
                <w:sz w:val="18"/>
              </w:rPr>
            </w:pPr>
            <w:r>
              <w:rPr>
                <w:noProof/>
                <w:sz w:val="18"/>
              </w:rPr>
              <w:t>Плащания</w:t>
            </w:r>
          </w:p>
        </w:tc>
        <w:tc>
          <w:tcPr>
            <w:tcW w:w="654" w:type="dxa"/>
            <w:vAlign w:val="center"/>
          </w:tcPr>
          <w:p w:rsidR="002F45D1" w:rsidRDefault="00B75E8E">
            <w:pPr>
              <w:jc w:val="center"/>
              <w:rPr>
                <w:noProof/>
                <w:sz w:val="14"/>
              </w:rPr>
            </w:pPr>
            <w:r>
              <w:rPr>
                <w:noProof/>
                <w:sz w:val="14"/>
              </w:rPr>
              <w:t>=5+ 6</w:t>
            </w:r>
          </w:p>
        </w:tc>
        <w:tc>
          <w:tcPr>
            <w:tcW w:w="868" w:type="dxa"/>
            <w:vAlign w:val="center"/>
          </w:tcPr>
          <w:p w:rsidR="002F45D1" w:rsidRDefault="00B75E8E">
            <w:pPr>
              <w:spacing w:before="20" w:after="20"/>
              <w:jc w:val="right"/>
              <w:rPr>
                <w:noProof/>
              </w:rPr>
            </w:pPr>
            <w:r>
              <w:rPr>
                <w:noProof/>
              </w:rPr>
              <w:t>0,000</w:t>
            </w:r>
          </w:p>
        </w:tc>
        <w:tc>
          <w:tcPr>
            <w:tcW w:w="868" w:type="dxa"/>
            <w:vAlign w:val="center"/>
          </w:tcPr>
          <w:p w:rsidR="002F45D1" w:rsidRDefault="00B75E8E">
            <w:pPr>
              <w:spacing w:before="20" w:after="20"/>
              <w:jc w:val="right"/>
              <w:rPr>
                <w:noProof/>
              </w:rPr>
            </w:pPr>
            <w:r>
              <w:rPr>
                <w:noProof/>
              </w:rPr>
              <w:t>0,300</w:t>
            </w:r>
          </w:p>
        </w:tc>
        <w:tc>
          <w:tcPr>
            <w:tcW w:w="868" w:type="dxa"/>
            <w:vAlign w:val="center"/>
          </w:tcPr>
          <w:p w:rsidR="002F45D1" w:rsidRDefault="00B75E8E">
            <w:pPr>
              <w:spacing w:before="20" w:after="20"/>
              <w:jc w:val="right"/>
              <w:rPr>
                <w:noProof/>
              </w:rPr>
            </w:pPr>
            <w:r>
              <w:rPr>
                <w:noProof/>
              </w:rPr>
              <w:t>1,000</w:t>
            </w:r>
          </w:p>
        </w:tc>
        <w:tc>
          <w:tcPr>
            <w:tcW w:w="868" w:type="dxa"/>
            <w:vAlign w:val="center"/>
          </w:tcPr>
          <w:p w:rsidR="002F45D1" w:rsidRDefault="00B75E8E">
            <w:pPr>
              <w:spacing w:before="20" w:after="20"/>
              <w:jc w:val="right"/>
              <w:rPr>
                <w:noProof/>
              </w:rPr>
            </w:pPr>
            <w:r>
              <w:rPr>
                <w:noProof/>
              </w:rPr>
              <w:t>0,400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B75E8E">
            <w:pPr>
              <w:spacing w:before="20" w:after="20"/>
              <w:jc w:val="right"/>
              <w:rPr>
                <w:noProof/>
              </w:rPr>
            </w:pPr>
            <w:r>
              <w:rPr>
                <w:noProof/>
              </w:rPr>
              <w:t>0,200</w:t>
            </w:r>
          </w:p>
        </w:tc>
        <w:tc>
          <w:tcPr>
            <w:tcW w:w="868" w:type="dxa"/>
            <w:vAlign w:val="center"/>
          </w:tcPr>
          <w:p w:rsidR="002F45D1" w:rsidRDefault="002F45D1">
            <w:pPr>
              <w:spacing w:before="20" w:after="20"/>
              <w:jc w:val="right"/>
              <w:rPr>
                <w:noProof/>
              </w:rPr>
            </w:pPr>
          </w:p>
        </w:tc>
        <w:tc>
          <w:tcPr>
            <w:tcW w:w="1777" w:type="dxa"/>
            <w:vAlign w:val="center"/>
          </w:tcPr>
          <w:p w:rsidR="002F45D1" w:rsidRDefault="00B75E8E">
            <w:pPr>
              <w:spacing w:before="20" w:after="20"/>
              <w:jc w:val="right"/>
              <w:rPr>
                <w:noProof/>
              </w:rPr>
            </w:pPr>
            <w:r>
              <w:rPr>
                <w:noProof/>
              </w:rPr>
              <w:t>2100</w:t>
            </w:r>
          </w:p>
        </w:tc>
      </w:tr>
    </w:tbl>
    <w:p w:rsidR="002F45D1" w:rsidRDefault="00B75E8E">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2F45D1">
        <w:trPr>
          <w:trHeight w:val="277"/>
        </w:trPr>
        <w:tc>
          <w:tcPr>
            <w:tcW w:w="3960" w:type="dxa"/>
            <w:vMerge w:val="restart"/>
            <w:tcBorders>
              <w:top w:val="single" w:sz="4" w:space="0" w:color="FF0000"/>
              <w:left w:val="single" w:sz="4" w:space="0" w:color="auto"/>
              <w:bottom w:val="single" w:sz="4" w:space="0" w:color="FF0000"/>
            </w:tcBorders>
            <w:vAlign w:val="center"/>
          </w:tcPr>
          <w:p w:rsidR="002F45D1" w:rsidRDefault="00B75E8E">
            <w:pPr>
              <w:spacing w:before="20" w:after="20"/>
              <w:rPr>
                <w:noProof/>
              </w:rPr>
            </w:pPr>
            <w:r>
              <w:rPr>
                <w:noProof/>
                <w:sz w:val="21"/>
              </w:rPr>
              <w:sym w:font="Wingdings" w:char="F09F"/>
            </w:r>
            <w:r>
              <w:rPr>
                <w:noProof/>
              </w:rPr>
              <w:t xml:space="preserve">ОБЩО бюджетни кредити за </w:t>
            </w:r>
            <w:r>
              <w:rPr>
                <w:noProof/>
              </w:rPr>
              <w:t>оперативни разходи</w:t>
            </w:r>
          </w:p>
        </w:tc>
        <w:tc>
          <w:tcPr>
            <w:tcW w:w="1440" w:type="dxa"/>
            <w:tcBorders>
              <w:top w:val="single" w:sz="4" w:space="0" w:color="FF0000"/>
            </w:tcBorders>
            <w:vAlign w:val="center"/>
          </w:tcPr>
          <w:p w:rsidR="002F45D1" w:rsidRDefault="00B75E8E">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2F45D1" w:rsidRDefault="00B75E8E">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2F45D1" w:rsidRDefault="00B75E8E">
            <w:pPr>
              <w:spacing w:before="20" w:after="20"/>
              <w:jc w:val="right"/>
              <w:rPr>
                <w:noProof/>
              </w:rPr>
            </w:pPr>
            <w:r>
              <w:rPr>
                <w:noProof/>
              </w:rPr>
              <w:t>p.m.</w:t>
            </w:r>
          </w:p>
        </w:tc>
        <w:tc>
          <w:tcPr>
            <w:tcW w:w="868" w:type="dxa"/>
            <w:tcBorders>
              <w:top w:val="single" w:sz="4" w:space="0" w:color="FF0000"/>
            </w:tcBorders>
            <w:vAlign w:val="center"/>
          </w:tcPr>
          <w:p w:rsidR="002F45D1" w:rsidRDefault="00B75E8E">
            <w:pPr>
              <w:spacing w:before="20" w:after="20"/>
              <w:jc w:val="right"/>
              <w:rPr>
                <w:noProof/>
              </w:rPr>
            </w:pPr>
            <w:r>
              <w:rPr>
                <w:noProof/>
              </w:rPr>
              <w:t>p.m.</w:t>
            </w:r>
          </w:p>
        </w:tc>
        <w:tc>
          <w:tcPr>
            <w:tcW w:w="868" w:type="dxa"/>
            <w:tcBorders>
              <w:top w:val="single" w:sz="4" w:space="0" w:color="FF0000"/>
            </w:tcBorders>
            <w:vAlign w:val="center"/>
          </w:tcPr>
          <w:p w:rsidR="002F45D1" w:rsidRDefault="00B75E8E">
            <w:pPr>
              <w:spacing w:before="20" w:after="20"/>
              <w:jc w:val="right"/>
              <w:rPr>
                <w:noProof/>
              </w:rPr>
            </w:pPr>
            <w:r>
              <w:rPr>
                <w:noProof/>
              </w:rPr>
              <w:t>p.m.</w:t>
            </w:r>
          </w:p>
        </w:tc>
        <w:tc>
          <w:tcPr>
            <w:tcW w:w="868" w:type="dxa"/>
            <w:tcBorders>
              <w:top w:val="single" w:sz="4" w:space="0" w:color="FF0000"/>
            </w:tcBorders>
            <w:vAlign w:val="center"/>
          </w:tcPr>
          <w:p w:rsidR="002F45D1" w:rsidRDefault="00B75E8E">
            <w:pPr>
              <w:spacing w:before="20" w:after="20"/>
              <w:jc w:val="right"/>
              <w:rPr>
                <w:noProof/>
              </w:rPr>
            </w:pPr>
            <w:r>
              <w:rPr>
                <w:noProof/>
              </w:rPr>
              <w:t>p.m.</w:t>
            </w:r>
          </w:p>
        </w:tc>
        <w:tc>
          <w:tcPr>
            <w:tcW w:w="868" w:type="dxa"/>
            <w:tcBorders>
              <w:top w:val="single" w:sz="4" w:space="0" w:color="FF0000"/>
            </w:tcBorders>
            <w:vAlign w:val="center"/>
          </w:tcPr>
          <w:p w:rsidR="002F45D1" w:rsidRDefault="00B75E8E">
            <w:pPr>
              <w:spacing w:before="20" w:after="20"/>
              <w:jc w:val="right"/>
              <w:rPr>
                <w:noProof/>
              </w:rPr>
            </w:pPr>
            <w:r>
              <w:rPr>
                <w:noProof/>
              </w:rPr>
              <w:t>p.m.</w:t>
            </w:r>
          </w:p>
        </w:tc>
        <w:tc>
          <w:tcPr>
            <w:tcW w:w="868" w:type="dxa"/>
            <w:tcBorders>
              <w:top w:val="single" w:sz="4" w:space="0" w:color="FF0000"/>
            </w:tcBorders>
            <w:vAlign w:val="center"/>
          </w:tcPr>
          <w:p w:rsidR="002F45D1" w:rsidRDefault="00B75E8E">
            <w:pPr>
              <w:spacing w:before="20" w:after="20"/>
              <w:jc w:val="right"/>
              <w:rPr>
                <w:noProof/>
              </w:rPr>
            </w:pPr>
            <w:r>
              <w:rPr>
                <w:noProof/>
              </w:rPr>
              <w:t>p.m.</w:t>
            </w:r>
          </w:p>
        </w:tc>
        <w:tc>
          <w:tcPr>
            <w:tcW w:w="868" w:type="dxa"/>
            <w:tcBorders>
              <w:top w:val="single" w:sz="4" w:space="0" w:color="FF0000"/>
            </w:tcBorders>
            <w:vAlign w:val="center"/>
          </w:tcPr>
          <w:p w:rsidR="002F45D1" w:rsidRDefault="00B75E8E">
            <w:pPr>
              <w:spacing w:before="20" w:after="20"/>
              <w:jc w:val="right"/>
              <w:rPr>
                <w:noProof/>
              </w:rPr>
            </w:pPr>
            <w:r>
              <w:rPr>
                <w:noProof/>
              </w:rPr>
              <w:t>p.m.</w:t>
            </w:r>
          </w:p>
        </w:tc>
        <w:tc>
          <w:tcPr>
            <w:tcW w:w="1777" w:type="dxa"/>
            <w:tcBorders>
              <w:top w:val="single" w:sz="4" w:space="0" w:color="FF0000"/>
              <w:right w:val="single" w:sz="4" w:space="0" w:color="auto"/>
            </w:tcBorders>
            <w:vAlign w:val="center"/>
          </w:tcPr>
          <w:p w:rsidR="002F45D1" w:rsidRDefault="002F45D1">
            <w:pPr>
              <w:spacing w:before="20" w:after="20"/>
              <w:jc w:val="right"/>
              <w:rPr>
                <w:b/>
                <w:noProof/>
                <w:sz w:val="20"/>
              </w:rPr>
            </w:pPr>
          </w:p>
        </w:tc>
      </w:tr>
      <w:tr w:rsidR="002F45D1">
        <w:tc>
          <w:tcPr>
            <w:tcW w:w="3960" w:type="dxa"/>
            <w:vMerge/>
            <w:tcBorders>
              <w:top w:val="single" w:sz="4" w:space="0" w:color="FF0000"/>
              <w:left w:val="single" w:sz="4" w:space="0" w:color="auto"/>
              <w:bottom w:val="single" w:sz="4" w:space="0" w:color="FF0000"/>
            </w:tcBorders>
          </w:tcPr>
          <w:p w:rsidR="002F45D1" w:rsidRDefault="002F45D1">
            <w:pPr>
              <w:jc w:val="center"/>
              <w:rPr>
                <w:noProof/>
                <w:sz w:val="20"/>
              </w:rPr>
            </w:pPr>
          </w:p>
        </w:tc>
        <w:tc>
          <w:tcPr>
            <w:tcW w:w="1440" w:type="dxa"/>
            <w:vAlign w:val="center"/>
          </w:tcPr>
          <w:p w:rsidR="002F45D1" w:rsidRDefault="00B75E8E">
            <w:pPr>
              <w:spacing w:beforeLines="20" w:before="48" w:afterLines="20" w:after="48"/>
              <w:rPr>
                <w:noProof/>
                <w:sz w:val="18"/>
              </w:rPr>
            </w:pPr>
            <w:r>
              <w:rPr>
                <w:noProof/>
                <w:sz w:val="18"/>
              </w:rPr>
              <w:t>Плащания</w:t>
            </w:r>
          </w:p>
        </w:tc>
        <w:tc>
          <w:tcPr>
            <w:tcW w:w="654" w:type="dxa"/>
            <w:vAlign w:val="center"/>
          </w:tcPr>
          <w:p w:rsidR="002F45D1" w:rsidRDefault="00B75E8E">
            <w:pPr>
              <w:spacing w:beforeLines="20" w:before="48" w:afterLines="20" w:after="48"/>
              <w:jc w:val="center"/>
              <w:rPr>
                <w:noProof/>
                <w:sz w:val="14"/>
              </w:rPr>
            </w:pPr>
            <w:r>
              <w:rPr>
                <w:noProof/>
                <w:sz w:val="14"/>
              </w:rPr>
              <w:t>(5)</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1777" w:type="dxa"/>
            <w:tcBorders>
              <w:right w:val="single" w:sz="4" w:space="0" w:color="auto"/>
            </w:tcBorders>
            <w:vAlign w:val="center"/>
          </w:tcPr>
          <w:p w:rsidR="002F45D1" w:rsidRDefault="002F45D1">
            <w:pPr>
              <w:spacing w:before="20" w:after="20"/>
              <w:jc w:val="right"/>
              <w:rPr>
                <w:b/>
                <w:noProof/>
                <w:sz w:val="20"/>
              </w:rPr>
            </w:pPr>
          </w:p>
        </w:tc>
      </w:tr>
      <w:tr w:rsidR="002F45D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2F45D1" w:rsidRDefault="00B75E8E">
            <w:pPr>
              <w:spacing w:beforeLines="20" w:before="48" w:afterLines="20" w:after="48"/>
              <w:rPr>
                <w:noProof/>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vAlign w:val="center"/>
          </w:tcPr>
          <w:p w:rsidR="002F45D1" w:rsidRDefault="00B75E8E">
            <w:pPr>
              <w:spacing w:beforeLines="20" w:before="48" w:afterLines="20" w:after="48"/>
              <w:jc w:val="center"/>
              <w:rPr>
                <w:noProof/>
                <w:sz w:val="14"/>
              </w:rPr>
            </w:pPr>
            <w:r>
              <w:rPr>
                <w:noProof/>
                <w:sz w:val="14"/>
              </w:rPr>
              <w:t>(6)</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1777" w:type="dxa"/>
            <w:vAlign w:val="center"/>
          </w:tcPr>
          <w:p w:rsidR="002F45D1" w:rsidRDefault="002F45D1">
            <w:pPr>
              <w:spacing w:before="20" w:after="20"/>
              <w:jc w:val="right"/>
              <w:rPr>
                <w:b/>
                <w:noProof/>
                <w:sz w:val="20"/>
              </w:rPr>
            </w:pPr>
          </w:p>
        </w:tc>
      </w:tr>
      <w:tr w:rsidR="002F45D1">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2F45D1" w:rsidRDefault="00B75E8E">
            <w:pPr>
              <w:jc w:val="center"/>
              <w:rPr>
                <w:b/>
                <w:noProof/>
              </w:rPr>
            </w:pPr>
            <w:r>
              <w:rPr>
                <w:b/>
                <w:noProof/>
              </w:rPr>
              <w:t>ОБЩО бюджетни кредитипо ФУНКЦИИ 1—4</w:t>
            </w:r>
            <w:r>
              <w:rPr>
                <w:noProof/>
              </w:rPr>
              <w:br/>
            </w:r>
            <w:r>
              <w:rPr>
                <w:noProof/>
                <w:sz w:val="22"/>
              </w:rPr>
              <w:t>от многогодишната финансова рамка</w:t>
            </w:r>
            <w:r>
              <w:rPr>
                <w:noProof/>
                <w:sz w:val="22"/>
              </w:rPr>
              <w:br/>
            </w:r>
            <w:r>
              <w:rPr>
                <w:noProof/>
                <w:sz w:val="20"/>
              </w:rPr>
              <w:t>(Референтна стойност)</w:t>
            </w:r>
          </w:p>
        </w:tc>
        <w:tc>
          <w:tcPr>
            <w:tcW w:w="1440" w:type="dxa"/>
            <w:vAlign w:val="center"/>
          </w:tcPr>
          <w:p w:rsidR="002F45D1" w:rsidRDefault="00B75E8E">
            <w:pPr>
              <w:rPr>
                <w:noProof/>
                <w:sz w:val="18"/>
              </w:rPr>
            </w:pPr>
            <w:r>
              <w:rPr>
                <w:noProof/>
                <w:sz w:val="18"/>
              </w:rPr>
              <w:t>Поети задължения</w:t>
            </w:r>
          </w:p>
        </w:tc>
        <w:tc>
          <w:tcPr>
            <w:tcW w:w="654" w:type="dxa"/>
            <w:vAlign w:val="center"/>
          </w:tcPr>
          <w:p w:rsidR="002F45D1" w:rsidRDefault="00B75E8E">
            <w:pPr>
              <w:jc w:val="center"/>
              <w:rPr>
                <w:noProof/>
                <w:sz w:val="14"/>
              </w:rPr>
            </w:pPr>
            <w:r>
              <w:rPr>
                <w:noProof/>
                <w:sz w:val="14"/>
              </w:rPr>
              <w:t>=4+ 6</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868" w:type="dxa"/>
            <w:vAlign w:val="center"/>
          </w:tcPr>
          <w:p w:rsidR="002F45D1" w:rsidRDefault="00B75E8E">
            <w:pPr>
              <w:spacing w:before="20" w:after="20"/>
              <w:jc w:val="right"/>
              <w:rPr>
                <w:noProof/>
              </w:rPr>
            </w:pPr>
            <w:r>
              <w:rPr>
                <w:noProof/>
              </w:rPr>
              <w:t>p.m.</w:t>
            </w:r>
          </w:p>
        </w:tc>
        <w:tc>
          <w:tcPr>
            <w:tcW w:w="1777" w:type="dxa"/>
            <w:tcBorders>
              <w:right w:val="single" w:sz="4" w:space="0" w:color="auto"/>
            </w:tcBorders>
            <w:vAlign w:val="center"/>
          </w:tcPr>
          <w:p w:rsidR="002F45D1" w:rsidRDefault="002F45D1">
            <w:pPr>
              <w:spacing w:before="20" w:after="20"/>
              <w:jc w:val="right"/>
              <w:rPr>
                <w:b/>
                <w:noProof/>
                <w:sz w:val="20"/>
              </w:rPr>
            </w:pPr>
          </w:p>
        </w:tc>
      </w:tr>
      <w:tr w:rsidR="002F45D1">
        <w:tc>
          <w:tcPr>
            <w:tcW w:w="3960" w:type="dxa"/>
            <w:vMerge/>
            <w:tcBorders>
              <w:top w:val="single" w:sz="4" w:space="0" w:color="FF0000"/>
              <w:left w:val="single" w:sz="4" w:space="0" w:color="auto"/>
              <w:bottom w:val="single" w:sz="4" w:space="0" w:color="FF0000"/>
            </w:tcBorders>
            <w:shd w:val="thinDiagStripe" w:color="C0C0C0" w:fill="auto"/>
          </w:tcPr>
          <w:p w:rsidR="002F45D1" w:rsidRDefault="002F45D1">
            <w:pPr>
              <w:rPr>
                <w:noProof/>
                <w:sz w:val="20"/>
              </w:rPr>
            </w:pPr>
          </w:p>
        </w:tc>
        <w:tc>
          <w:tcPr>
            <w:tcW w:w="1440" w:type="dxa"/>
            <w:tcBorders>
              <w:bottom w:val="single" w:sz="4" w:space="0" w:color="FF0000"/>
            </w:tcBorders>
            <w:vAlign w:val="center"/>
          </w:tcPr>
          <w:p w:rsidR="002F45D1" w:rsidRDefault="00B75E8E">
            <w:pPr>
              <w:rPr>
                <w:noProof/>
                <w:sz w:val="18"/>
              </w:rPr>
            </w:pPr>
            <w:r>
              <w:rPr>
                <w:noProof/>
                <w:sz w:val="18"/>
              </w:rPr>
              <w:t>Плащания</w:t>
            </w:r>
          </w:p>
        </w:tc>
        <w:tc>
          <w:tcPr>
            <w:tcW w:w="654" w:type="dxa"/>
            <w:tcBorders>
              <w:bottom w:val="single" w:sz="4" w:space="0" w:color="FF0000"/>
            </w:tcBorders>
            <w:vAlign w:val="center"/>
          </w:tcPr>
          <w:p w:rsidR="002F45D1" w:rsidRDefault="00B75E8E">
            <w:pPr>
              <w:jc w:val="center"/>
              <w:rPr>
                <w:noProof/>
                <w:sz w:val="14"/>
              </w:rPr>
            </w:pPr>
            <w:r>
              <w:rPr>
                <w:noProof/>
                <w:sz w:val="14"/>
              </w:rPr>
              <w:t>=5+ 6</w:t>
            </w:r>
          </w:p>
        </w:tc>
        <w:tc>
          <w:tcPr>
            <w:tcW w:w="868" w:type="dxa"/>
            <w:tcBorders>
              <w:bottom w:val="single" w:sz="4" w:space="0" w:color="FF0000"/>
            </w:tcBorders>
            <w:vAlign w:val="center"/>
          </w:tcPr>
          <w:p w:rsidR="002F45D1" w:rsidRDefault="00B75E8E">
            <w:pPr>
              <w:spacing w:before="20" w:after="20"/>
              <w:jc w:val="right"/>
              <w:rPr>
                <w:noProof/>
              </w:rPr>
            </w:pPr>
            <w:r>
              <w:rPr>
                <w:noProof/>
              </w:rPr>
              <w:t>p.m.</w:t>
            </w:r>
          </w:p>
        </w:tc>
        <w:tc>
          <w:tcPr>
            <w:tcW w:w="868" w:type="dxa"/>
            <w:tcBorders>
              <w:bottom w:val="single" w:sz="4" w:space="0" w:color="FF0000"/>
            </w:tcBorders>
            <w:vAlign w:val="center"/>
          </w:tcPr>
          <w:p w:rsidR="002F45D1" w:rsidRDefault="00B75E8E">
            <w:pPr>
              <w:spacing w:before="20" w:after="20"/>
              <w:jc w:val="right"/>
              <w:rPr>
                <w:noProof/>
              </w:rPr>
            </w:pPr>
            <w:r>
              <w:rPr>
                <w:noProof/>
              </w:rPr>
              <w:t>p.m.</w:t>
            </w:r>
          </w:p>
        </w:tc>
        <w:tc>
          <w:tcPr>
            <w:tcW w:w="868" w:type="dxa"/>
            <w:tcBorders>
              <w:bottom w:val="single" w:sz="4" w:space="0" w:color="FF0000"/>
            </w:tcBorders>
            <w:vAlign w:val="center"/>
          </w:tcPr>
          <w:p w:rsidR="002F45D1" w:rsidRDefault="00B75E8E">
            <w:pPr>
              <w:spacing w:before="20" w:after="20"/>
              <w:jc w:val="right"/>
              <w:rPr>
                <w:noProof/>
              </w:rPr>
            </w:pPr>
            <w:r>
              <w:rPr>
                <w:noProof/>
              </w:rPr>
              <w:t>p.m.</w:t>
            </w:r>
          </w:p>
        </w:tc>
        <w:tc>
          <w:tcPr>
            <w:tcW w:w="868" w:type="dxa"/>
            <w:tcBorders>
              <w:bottom w:val="single" w:sz="4" w:space="0" w:color="FF0000"/>
            </w:tcBorders>
            <w:vAlign w:val="center"/>
          </w:tcPr>
          <w:p w:rsidR="002F45D1" w:rsidRDefault="00B75E8E">
            <w:pPr>
              <w:spacing w:before="20" w:after="20"/>
              <w:jc w:val="right"/>
              <w:rPr>
                <w:noProof/>
              </w:rPr>
            </w:pPr>
            <w:r>
              <w:rPr>
                <w:noProof/>
              </w:rPr>
              <w:t>p.m.</w:t>
            </w:r>
          </w:p>
        </w:tc>
        <w:tc>
          <w:tcPr>
            <w:tcW w:w="868" w:type="dxa"/>
            <w:tcBorders>
              <w:bottom w:val="single" w:sz="4" w:space="0" w:color="FF0000"/>
            </w:tcBorders>
            <w:vAlign w:val="center"/>
          </w:tcPr>
          <w:p w:rsidR="002F45D1" w:rsidRDefault="00B75E8E">
            <w:pPr>
              <w:spacing w:before="20" w:after="20"/>
              <w:jc w:val="right"/>
              <w:rPr>
                <w:noProof/>
              </w:rPr>
            </w:pPr>
            <w:r>
              <w:rPr>
                <w:noProof/>
              </w:rPr>
              <w:t>p.m.</w:t>
            </w:r>
          </w:p>
        </w:tc>
        <w:tc>
          <w:tcPr>
            <w:tcW w:w="868" w:type="dxa"/>
            <w:tcBorders>
              <w:bottom w:val="single" w:sz="4" w:space="0" w:color="FF0000"/>
            </w:tcBorders>
            <w:vAlign w:val="center"/>
          </w:tcPr>
          <w:p w:rsidR="002F45D1" w:rsidRDefault="00B75E8E">
            <w:pPr>
              <w:spacing w:before="20" w:after="20"/>
              <w:jc w:val="right"/>
              <w:rPr>
                <w:noProof/>
              </w:rPr>
            </w:pPr>
            <w:r>
              <w:rPr>
                <w:noProof/>
              </w:rPr>
              <w:t>p.m.</w:t>
            </w:r>
          </w:p>
        </w:tc>
        <w:tc>
          <w:tcPr>
            <w:tcW w:w="868" w:type="dxa"/>
            <w:tcBorders>
              <w:bottom w:val="single" w:sz="4" w:space="0" w:color="FF0000"/>
            </w:tcBorders>
            <w:vAlign w:val="center"/>
          </w:tcPr>
          <w:p w:rsidR="002F45D1" w:rsidRDefault="00B75E8E">
            <w:pPr>
              <w:spacing w:before="20" w:after="20"/>
              <w:jc w:val="right"/>
              <w:rPr>
                <w:noProof/>
              </w:rPr>
            </w:pPr>
            <w:r>
              <w:rPr>
                <w:noProof/>
              </w:rPr>
              <w:t>p.m.</w:t>
            </w:r>
          </w:p>
        </w:tc>
        <w:tc>
          <w:tcPr>
            <w:tcW w:w="1777" w:type="dxa"/>
            <w:tcBorders>
              <w:bottom w:val="single" w:sz="4" w:space="0" w:color="FF0000"/>
              <w:right w:val="single" w:sz="4" w:space="0" w:color="auto"/>
            </w:tcBorders>
            <w:vAlign w:val="center"/>
          </w:tcPr>
          <w:p w:rsidR="002F45D1" w:rsidRDefault="002F45D1">
            <w:pPr>
              <w:spacing w:before="20" w:after="20"/>
              <w:jc w:val="right"/>
              <w:rPr>
                <w:b/>
                <w:noProof/>
                <w:sz w:val="20"/>
              </w:rPr>
            </w:pPr>
          </w:p>
        </w:tc>
      </w:tr>
    </w:tbl>
    <w:p w:rsidR="002F45D1" w:rsidRDefault="002F45D1">
      <w:pPr>
        <w:rPr>
          <w:noProof/>
        </w:rPr>
      </w:pPr>
    </w:p>
    <w:p w:rsidR="002F45D1" w:rsidRDefault="00B75E8E">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F45D1">
        <w:trPr>
          <w:jc w:val="center"/>
        </w:trPr>
        <w:tc>
          <w:tcPr>
            <w:tcW w:w="4744" w:type="dxa"/>
            <w:shd w:val="thinDiagStripe" w:color="C0C0C0" w:fill="auto"/>
            <w:vAlign w:val="center"/>
          </w:tcPr>
          <w:p w:rsidR="002F45D1" w:rsidRDefault="00B75E8E">
            <w:pPr>
              <w:spacing w:before="60" w:after="60"/>
              <w:jc w:val="center"/>
              <w:rPr>
                <w:b/>
                <w:noProof/>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2F45D1" w:rsidRDefault="00B75E8E">
            <w:pPr>
              <w:spacing w:before="60" w:after="60"/>
              <w:jc w:val="center"/>
              <w:rPr>
                <w:noProof/>
              </w:rPr>
            </w:pPr>
            <w:r>
              <w:rPr>
                <w:b/>
                <w:noProof/>
                <w:sz w:val="22"/>
              </w:rPr>
              <w:t>5</w:t>
            </w:r>
          </w:p>
        </w:tc>
        <w:tc>
          <w:tcPr>
            <w:tcW w:w="7817" w:type="dxa"/>
            <w:vAlign w:val="center"/>
          </w:tcPr>
          <w:p w:rsidR="002F45D1" w:rsidRDefault="00B75E8E">
            <w:pPr>
              <w:spacing w:before="60" w:after="60"/>
              <w:rPr>
                <w:noProof/>
              </w:rPr>
            </w:pPr>
            <w:r>
              <w:rPr>
                <w:noProof/>
                <w:sz w:val="22"/>
              </w:rPr>
              <w:t>„Административни разходи“</w:t>
            </w:r>
          </w:p>
        </w:tc>
      </w:tr>
    </w:tbl>
    <w:p w:rsidR="002F45D1" w:rsidRDefault="00B75E8E">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2F45D1">
        <w:tc>
          <w:tcPr>
            <w:tcW w:w="3960" w:type="dxa"/>
            <w:tcBorders>
              <w:top w:val="nil"/>
              <w:left w:val="nil"/>
              <w:right w:val="nil"/>
            </w:tcBorders>
            <w:vAlign w:val="center"/>
          </w:tcPr>
          <w:p w:rsidR="002F45D1" w:rsidRDefault="002F45D1">
            <w:pPr>
              <w:jc w:val="center"/>
              <w:rPr>
                <w:noProof/>
              </w:rPr>
            </w:pPr>
          </w:p>
        </w:tc>
        <w:tc>
          <w:tcPr>
            <w:tcW w:w="1560" w:type="dxa"/>
            <w:tcBorders>
              <w:top w:val="nil"/>
              <w:left w:val="nil"/>
              <w:right w:val="nil"/>
            </w:tcBorders>
          </w:tcPr>
          <w:p w:rsidR="002F45D1" w:rsidRDefault="002F45D1">
            <w:pPr>
              <w:rPr>
                <w:noProof/>
                <w:sz w:val="20"/>
              </w:rPr>
            </w:pPr>
          </w:p>
        </w:tc>
        <w:tc>
          <w:tcPr>
            <w:tcW w:w="534" w:type="dxa"/>
            <w:tcBorders>
              <w:top w:val="nil"/>
              <w:left w:val="nil"/>
            </w:tcBorders>
          </w:tcPr>
          <w:p w:rsidR="002F45D1" w:rsidRDefault="002F45D1">
            <w:pPr>
              <w:jc w:val="center"/>
              <w:rPr>
                <w:noProof/>
                <w:sz w:val="20"/>
              </w:rPr>
            </w:pPr>
          </w:p>
        </w:tc>
        <w:tc>
          <w:tcPr>
            <w:tcW w:w="868" w:type="dxa"/>
            <w:vAlign w:val="center"/>
          </w:tcPr>
          <w:p w:rsidR="002F45D1" w:rsidRDefault="00B75E8E">
            <w:pPr>
              <w:jc w:val="center"/>
              <w:rPr>
                <w:noProof/>
                <w:sz w:val="20"/>
              </w:rPr>
            </w:pPr>
            <w:r>
              <w:rPr>
                <w:noProof/>
              </w:rPr>
              <w:t>Година</w:t>
            </w:r>
            <w:r>
              <w:rPr>
                <w:b/>
                <w:noProof/>
                <w:sz w:val="20"/>
              </w:rPr>
              <w:t>2016</w:t>
            </w:r>
          </w:p>
        </w:tc>
        <w:tc>
          <w:tcPr>
            <w:tcW w:w="868" w:type="dxa"/>
            <w:vAlign w:val="center"/>
          </w:tcPr>
          <w:p w:rsidR="002F45D1" w:rsidRDefault="00B75E8E">
            <w:pPr>
              <w:jc w:val="center"/>
              <w:rPr>
                <w:noProof/>
                <w:sz w:val="20"/>
              </w:rPr>
            </w:pPr>
            <w:r>
              <w:rPr>
                <w:noProof/>
              </w:rPr>
              <w:t>Година</w:t>
            </w:r>
            <w:r>
              <w:rPr>
                <w:b/>
                <w:noProof/>
                <w:sz w:val="20"/>
              </w:rPr>
              <w:t>2017</w:t>
            </w:r>
          </w:p>
        </w:tc>
        <w:tc>
          <w:tcPr>
            <w:tcW w:w="868" w:type="dxa"/>
            <w:vAlign w:val="center"/>
          </w:tcPr>
          <w:p w:rsidR="002F45D1" w:rsidRDefault="00B75E8E">
            <w:pPr>
              <w:jc w:val="center"/>
              <w:rPr>
                <w:noProof/>
                <w:sz w:val="20"/>
              </w:rPr>
            </w:pPr>
            <w:r>
              <w:rPr>
                <w:noProof/>
              </w:rPr>
              <w:t>Година</w:t>
            </w:r>
            <w:r>
              <w:rPr>
                <w:b/>
                <w:noProof/>
                <w:sz w:val="20"/>
              </w:rPr>
              <w:t>2018</w:t>
            </w:r>
          </w:p>
        </w:tc>
        <w:tc>
          <w:tcPr>
            <w:tcW w:w="868" w:type="dxa"/>
            <w:vAlign w:val="center"/>
          </w:tcPr>
          <w:p w:rsidR="002F45D1" w:rsidRDefault="00B75E8E">
            <w:pPr>
              <w:jc w:val="center"/>
              <w:rPr>
                <w:noProof/>
                <w:sz w:val="20"/>
              </w:rPr>
            </w:pPr>
            <w:r>
              <w:rPr>
                <w:noProof/>
              </w:rPr>
              <w:t>Година</w:t>
            </w:r>
            <w:r>
              <w:rPr>
                <w:b/>
                <w:noProof/>
                <w:sz w:val="20"/>
              </w:rPr>
              <w:t>2019</w:t>
            </w:r>
          </w:p>
        </w:tc>
        <w:tc>
          <w:tcPr>
            <w:tcW w:w="2604" w:type="dxa"/>
            <w:gridSpan w:val="3"/>
            <w:vAlign w:val="center"/>
          </w:tcPr>
          <w:p w:rsidR="002F45D1" w:rsidRDefault="00B75E8E">
            <w:pPr>
              <w:jc w:val="center"/>
              <w:rPr>
                <w:b/>
                <w:noProof/>
                <w:sz w:val="18"/>
              </w:rPr>
            </w:pPr>
            <w:r>
              <w:rPr>
                <w:noProof/>
                <w:sz w:val="20"/>
              </w:rPr>
              <w:t xml:space="preserve">Година </w:t>
            </w:r>
            <w:r>
              <w:rPr>
                <w:b/>
                <w:noProof/>
                <w:sz w:val="20"/>
              </w:rPr>
              <w:t>2020</w:t>
            </w:r>
          </w:p>
        </w:tc>
        <w:tc>
          <w:tcPr>
            <w:tcW w:w="1777" w:type="dxa"/>
            <w:vAlign w:val="center"/>
          </w:tcPr>
          <w:p w:rsidR="002F45D1" w:rsidRDefault="00B75E8E">
            <w:pPr>
              <w:jc w:val="center"/>
              <w:rPr>
                <w:b/>
                <w:noProof/>
                <w:sz w:val="20"/>
              </w:rPr>
            </w:pPr>
            <w:r>
              <w:rPr>
                <w:b/>
                <w:noProof/>
                <w:sz w:val="20"/>
              </w:rPr>
              <w:t>ОБЩО</w:t>
            </w:r>
          </w:p>
        </w:tc>
      </w:tr>
      <w:tr w:rsidR="002F45D1">
        <w:trPr>
          <w:gridAfter w:val="10"/>
          <w:wAfter w:w="9947" w:type="dxa"/>
        </w:trPr>
        <w:tc>
          <w:tcPr>
            <w:tcW w:w="3960" w:type="dxa"/>
            <w:vAlign w:val="center"/>
          </w:tcPr>
          <w:p w:rsidR="002F45D1" w:rsidRDefault="00B75E8E">
            <w:pPr>
              <w:spacing w:before="60" w:after="60"/>
              <w:jc w:val="center"/>
              <w:rPr>
                <w:noProof/>
              </w:rPr>
            </w:pPr>
            <w:r>
              <w:rPr>
                <w:noProof/>
                <w:sz w:val="22"/>
              </w:rPr>
              <w:t xml:space="preserve">ГД: </w:t>
            </w:r>
            <w:r>
              <w:rPr>
                <w:noProof/>
              </w:rPr>
              <w:t>„Данъчно облагане и митнически съюз“</w:t>
            </w:r>
          </w:p>
        </w:tc>
      </w:tr>
      <w:tr w:rsidR="002F45D1">
        <w:trPr>
          <w:trHeight w:val="313"/>
        </w:trPr>
        <w:tc>
          <w:tcPr>
            <w:tcW w:w="6054" w:type="dxa"/>
            <w:gridSpan w:val="3"/>
            <w:vAlign w:val="center"/>
          </w:tcPr>
          <w:p w:rsidR="002F45D1" w:rsidRDefault="00B75E8E">
            <w:pPr>
              <w:spacing w:before="20" w:after="20"/>
              <w:rPr>
                <w:noProof/>
              </w:rPr>
            </w:pPr>
            <w:r>
              <w:rPr>
                <w:noProof/>
                <w:sz w:val="22"/>
              </w:rPr>
              <w:sym w:font="Wingdings" w:char="F09F"/>
            </w:r>
            <w:r>
              <w:rPr>
                <w:noProof/>
              </w:rPr>
              <w:t>Човешки ресурси</w:t>
            </w:r>
          </w:p>
        </w:tc>
        <w:tc>
          <w:tcPr>
            <w:tcW w:w="868" w:type="dxa"/>
            <w:vAlign w:val="center"/>
          </w:tcPr>
          <w:p w:rsidR="002F45D1" w:rsidRDefault="00B75E8E">
            <w:pPr>
              <w:spacing w:before="20" w:after="20"/>
              <w:jc w:val="right"/>
              <w:rPr>
                <w:noProof/>
              </w:rPr>
            </w:pPr>
            <w:r>
              <w:rPr>
                <w:noProof/>
              </w:rPr>
              <w:t>0,528</w:t>
            </w:r>
          </w:p>
        </w:tc>
        <w:tc>
          <w:tcPr>
            <w:tcW w:w="868" w:type="dxa"/>
            <w:vAlign w:val="center"/>
          </w:tcPr>
          <w:p w:rsidR="002F45D1" w:rsidRDefault="00B75E8E">
            <w:pPr>
              <w:spacing w:before="20" w:after="20"/>
              <w:jc w:val="right"/>
              <w:rPr>
                <w:noProof/>
              </w:rPr>
            </w:pPr>
            <w:r>
              <w:rPr>
                <w:noProof/>
              </w:rPr>
              <w:t>0,528</w:t>
            </w:r>
          </w:p>
        </w:tc>
        <w:tc>
          <w:tcPr>
            <w:tcW w:w="868" w:type="dxa"/>
            <w:vAlign w:val="center"/>
          </w:tcPr>
          <w:p w:rsidR="002F45D1" w:rsidRDefault="00B75E8E">
            <w:pPr>
              <w:spacing w:before="20" w:after="20"/>
              <w:jc w:val="right"/>
              <w:rPr>
                <w:noProof/>
              </w:rPr>
            </w:pPr>
            <w:r>
              <w:rPr>
                <w:noProof/>
              </w:rPr>
              <w:t>0,528</w:t>
            </w:r>
          </w:p>
        </w:tc>
        <w:tc>
          <w:tcPr>
            <w:tcW w:w="868" w:type="dxa"/>
            <w:vAlign w:val="center"/>
          </w:tcPr>
          <w:p w:rsidR="002F45D1" w:rsidRDefault="00B75E8E">
            <w:pPr>
              <w:spacing w:before="20" w:after="20"/>
              <w:jc w:val="right"/>
              <w:rPr>
                <w:noProof/>
              </w:rPr>
            </w:pPr>
            <w:r>
              <w:rPr>
                <w:noProof/>
              </w:rPr>
              <w:t>0,528</w:t>
            </w:r>
          </w:p>
        </w:tc>
        <w:tc>
          <w:tcPr>
            <w:tcW w:w="868" w:type="dxa"/>
            <w:vAlign w:val="center"/>
          </w:tcPr>
          <w:p w:rsidR="002F45D1" w:rsidRDefault="00B75E8E">
            <w:pPr>
              <w:spacing w:before="20" w:after="20"/>
              <w:jc w:val="right"/>
              <w:rPr>
                <w:noProof/>
              </w:rPr>
            </w:pPr>
            <w:r>
              <w:rPr>
                <w:noProof/>
              </w:rPr>
              <w:t>0,528</w:t>
            </w:r>
          </w:p>
        </w:tc>
        <w:tc>
          <w:tcPr>
            <w:tcW w:w="868" w:type="dxa"/>
            <w:vAlign w:val="center"/>
          </w:tcPr>
          <w:p w:rsidR="002F45D1" w:rsidRDefault="002F45D1">
            <w:pPr>
              <w:spacing w:before="20" w:after="20"/>
              <w:jc w:val="right"/>
              <w:rPr>
                <w:noProof/>
              </w:rPr>
            </w:pPr>
          </w:p>
        </w:tc>
        <w:tc>
          <w:tcPr>
            <w:tcW w:w="868" w:type="dxa"/>
            <w:vAlign w:val="center"/>
          </w:tcPr>
          <w:p w:rsidR="002F45D1" w:rsidRDefault="002F45D1">
            <w:pPr>
              <w:spacing w:before="20" w:after="20"/>
              <w:jc w:val="right"/>
              <w:rPr>
                <w:noProof/>
              </w:rPr>
            </w:pPr>
          </w:p>
        </w:tc>
        <w:tc>
          <w:tcPr>
            <w:tcW w:w="1777" w:type="dxa"/>
            <w:vAlign w:val="center"/>
          </w:tcPr>
          <w:p w:rsidR="002F45D1" w:rsidRDefault="002F45D1">
            <w:pPr>
              <w:spacing w:before="20" w:after="20"/>
              <w:jc w:val="right"/>
              <w:rPr>
                <w:noProof/>
              </w:rPr>
            </w:pPr>
          </w:p>
        </w:tc>
      </w:tr>
      <w:tr w:rsidR="002F45D1">
        <w:trPr>
          <w:trHeight w:val="351"/>
        </w:trPr>
        <w:tc>
          <w:tcPr>
            <w:tcW w:w="6054" w:type="dxa"/>
            <w:gridSpan w:val="3"/>
            <w:vAlign w:val="center"/>
          </w:tcPr>
          <w:p w:rsidR="002F45D1" w:rsidRDefault="00B75E8E">
            <w:pPr>
              <w:spacing w:before="20" w:after="20"/>
              <w:rPr>
                <w:noProof/>
              </w:rPr>
            </w:pPr>
            <w:r>
              <w:rPr>
                <w:noProof/>
                <w:sz w:val="22"/>
              </w:rPr>
              <w:sym w:font="Wingdings" w:char="F09F"/>
            </w:r>
            <w:r>
              <w:rPr>
                <w:noProof/>
              </w:rPr>
              <w:t xml:space="preserve">Други </w:t>
            </w:r>
            <w:r>
              <w:rPr>
                <w:noProof/>
              </w:rPr>
              <w:t>административни разходи</w:t>
            </w:r>
          </w:p>
        </w:tc>
        <w:tc>
          <w:tcPr>
            <w:tcW w:w="868" w:type="dxa"/>
            <w:vAlign w:val="center"/>
          </w:tcPr>
          <w:p w:rsidR="002F45D1" w:rsidRDefault="00B75E8E">
            <w:pPr>
              <w:spacing w:before="20" w:after="20"/>
              <w:jc w:val="right"/>
              <w:rPr>
                <w:noProof/>
              </w:rPr>
            </w:pPr>
            <w:r>
              <w:rPr>
                <w:noProof/>
              </w:rPr>
              <w:t>0,030</w:t>
            </w:r>
          </w:p>
        </w:tc>
        <w:tc>
          <w:tcPr>
            <w:tcW w:w="868" w:type="dxa"/>
            <w:vAlign w:val="center"/>
          </w:tcPr>
          <w:p w:rsidR="002F45D1" w:rsidRDefault="00B75E8E">
            <w:pPr>
              <w:spacing w:before="20" w:after="20"/>
              <w:jc w:val="right"/>
              <w:rPr>
                <w:noProof/>
              </w:rPr>
            </w:pPr>
            <w:r>
              <w:rPr>
                <w:noProof/>
              </w:rPr>
              <w:t>0,030</w:t>
            </w:r>
          </w:p>
        </w:tc>
        <w:tc>
          <w:tcPr>
            <w:tcW w:w="868" w:type="dxa"/>
            <w:vAlign w:val="center"/>
          </w:tcPr>
          <w:p w:rsidR="002F45D1" w:rsidRDefault="00B75E8E">
            <w:pPr>
              <w:spacing w:before="20" w:after="20"/>
              <w:jc w:val="right"/>
              <w:rPr>
                <w:noProof/>
              </w:rPr>
            </w:pPr>
            <w:r>
              <w:rPr>
                <w:noProof/>
              </w:rPr>
              <w:t>0,030</w:t>
            </w:r>
          </w:p>
        </w:tc>
        <w:tc>
          <w:tcPr>
            <w:tcW w:w="868" w:type="dxa"/>
            <w:vAlign w:val="center"/>
          </w:tcPr>
          <w:p w:rsidR="002F45D1" w:rsidRDefault="00B75E8E">
            <w:pPr>
              <w:spacing w:before="20" w:after="20"/>
              <w:jc w:val="right"/>
              <w:rPr>
                <w:noProof/>
              </w:rPr>
            </w:pPr>
            <w:r>
              <w:rPr>
                <w:noProof/>
              </w:rPr>
              <w:t>0,030</w:t>
            </w:r>
          </w:p>
        </w:tc>
        <w:tc>
          <w:tcPr>
            <w:tcW w:w="868" w:type="dxa"/>
            <w:vAlign w:val="center"/>
          </w:tcPr>
          <w:p w:rsidR="002F45D1" w:rsidRDefault="00B75E8E">
            <w:pPr>
              <w:spacing w:before="20" w:after="20"/>
              <w:jc w:val="right"/>
              <w:rPr>
                <w:noProof/>
              </w:rPr>
            </w:pPr>
            <w:r>
              <w:rPr>
                <w:noProof/>
              </w:rPr>
              <w:t>0,030</w:t>
            </w:r>
          </w:p>
        </w:tc>
        <w:tc>
          <w:tcPr>
            <w:tcW w:w="868" w:type="dxa"/>
            <w:vAlign w:val="center"/>
          </w:tcPr>
          <w:p w:rsidR="002F45D1" w:rsidRDefault="002F45D1">
            <w:pPr>
              <w:spacing w:before="20" w:after="20"/>
              <w:jc w:val="right"/>
              <w:rPr>
                <w:noProof/>
              </w:rPr>
            </w:pPr>
          </w:p>
        </w:tc>
        <w:tc>
          <w:tcPr>
            <w:tcW w:w="868" w:type="dxa"/>
            <w:vAlign w:val="center"/>
          </w:tcPr>
          <w:p w:rsidR="002F45D1" w:rsidRDefault="002F45D1">
            <w:pPr>
              <w:spacing w:before="20" w:after="20"/>
              <w:jc w:val="right"/>
              <w:rPr>
                <w:noProof/>
              </w:rPr>
            </w:pPr>
          </w:p>
        </w:tc>
        <w:tc>
          <w:tcPr>
            <w:tcW w:w="1777" w:type="dxa"/>
            <w:vAlign w:val="center"/>
          </w:tcPr>
          <w:p w:rsidR="002F45D1" w:rsidRDefault="002F45D1">
            <w:pPr>
              <w:spacing w:before="20" w:after="20"/>
              <w:jc w:val="right"/>
              <w:rPr>
                <w:noProof/>
              </w:rPr>
            </w:pPr>
          </w:p>
        </w:tc>
      </w:tr>
      <w:tr w:rsidR="002F45D1">
        <w:tc>
          <w:tcPr>
            <w:tcW w:w="3960" w:type="dxa"/>
            <w:vAlign w:val="center"/>
          </w:tcPr>
          <w:p w:rsidR="002F45D1" w:rsidRDefault="00B75E8E">
            <w:pPr>
              <w:jc w:val="center"/>
              <w:rPr>
                <w:b/>
                <w:noProof/>
              </w:rPr>
            </w:pPr>
            <w:r>
              <w:rPr>
                <w:b/>
                <w:noProof/>
              </w:rPr>
              <w:t>ОБЩО</w:t>
            </w:r>
            <w:r>
              <w:rPr>
                <w:noProof/>
              </w:rPr>
              <w:t xml:space="preserve"> ГД „Данъчно облагане и митнически съюз“</w:t>
            </w:r>
          </w:p>
        </w:tc>
        <w:tc>
          <w:tcPr>
            <w:tcW w:w="2094" w:type="dxa"/>
            <w:gridSpan w:val="2"/>
            <w:vAlign w:val="center"/>
          </w:tcPr>
          <w:p w:rsidR="002F45D1" w:rsidRDefault="00B75E8E">
            <w:pPr>
              <w:rPr>
                <w:noProof/>
                <w:sz w:val="14"/>
              </w:rPr>
            </w:pPr>
            <w:r>
              <w:rPr>
                <w:noProof/>
                <w:sz w:val="18"/>
              </w:rPr>
              <w:t xml:space="preserve">Бюджетни кредити </w:t>
            </w:r>
          </w:p>
        </w:tc>
        <w:tc>
          <w:tcPr>
            <w:tcW w:w="868" w:type="dxa"/>
            <w:vAlign w:val="center"/>
          </w:tcPr>
          <w:p w:rsidR="002F45D1" w:rsidRDefault="00B75E8E">
            <w:pPr>
              <w:spacing w:before="20" w:after="20"/>
              <w:jc w:val="right"/>
              <w:rPr>
                <w:noProof/>
              </w:rPr>
            </w:pPr>
            <w:r>
              <w:rPr>
                <w:noProof/>
              </w:rPr>
              <w:t>0,558</w:t>
            </w:r>
          </w:p>
        </w:tc>
        <w:tc>
          <w:tcPr>
            <w:tcW w:w="868" w:type="dxa"/>
            <w:vAlign w:val="center"/>
          </w:tcPr>
          <w:p w:rsidR="002F45D1" w:rsidRDefault="00B75E8E">
            <w:pPr>
              <w:spacing w:before="20" w:after="20"/>
              <w:jc w:val="right"/>
              <w:rPr>
                <w:noProof/>
              </w:rPr>
            </w:pPr>
            <w:r>
              <w:rPr>
                <w:noProof/>
              </w:rPr>
              <w:t>0,558</w:t>
            </w:r>
          </w:p>
        </w:tc>
        <w:tc>
          <w:tcPr>
            <w:tcW w:w="868" w:type="dxa"/>
            <w:vAlign w:val="center"/>
          </w:tcPr>
          <w:p w:rsidR="002F45D1" w:rsidRDefault="00B75E8E">
            <w:pPr>
              <w:spacing w:before="20" w:after="20"/>
              <w:jc w:val="right"/>
              <w:rPr>
                <w:noProof/>
              </w:rPr>
            </w:pPr>
            <w:r>
              <w:rPr>
                <w:noProof/>
              </w:rPr>
              <w:t>0,558</w:t>
            </w:r>
          </w:p>
        </w:tc>
        <w:tc>
          <w:tcPr>
            <w:tcW w:w="868" w:type="dxa"/>
            <w:vAlign w:val="center"/>
          </w:tcPr>
          <w:p w:rsidR="002F45D1" w:rsidRDefault="00B75E8E">
            <w:pPr>
              <w:spacing w:before="20" w:after="20"/>
              <w:jc w:val="right"/>
              <w:rPr>
                <w:noProof/>
              </w:rPr>
            </w:pPr>
            <w:r>
              <w:rPr>
                <w:noProof/>
              </w:rPr>
              <w:t>0,558</w:t>
            </w:r>
          </w:p>
        </w:tc>
        <w:tc>
          <w:tcPr>
            <w:tcW w:w="868" w:type="dxa"/>
            <w:vAlign w:val="center"/>
          </w:tcPr>
          <w:p w:rsidR="002F45D1" w:rsidRDefault="00B75E8E">
            <w:pPr>
              <w:spacing w:before="20" w:after="20"/>
              <w:jc w:val="right"/>
              <w:rPr>
                <w:noProof/>
              </w:rPr>
            </w:pPr>
            <w:r>
              <w:rPr>
                <w:noProof/>
              </w:rPr>
              <w:t>0,558</w:t>
            </w:r>
          </w:p>
        </w:tc>
        <w:tc>
          <w:tcPr>
            <w:tcW w:w="868" w:type="dxa"/>
            <w:vAlign w:val="center"/>
          </w:tcPr>
          <w:p w:rsidR="002F45D1" w:rsidRDefault="002F45D1">
            <w:pPr>
              <w:spacing w:before="20" w:after="20"/>
              <w:jc w:val="right"/>
              <w:rPr>
                <w:noProof/>
              </w:rPr>
            </w:pPr>
          </w:p>
        </w:tc>
        <w:tc>
          <w:tcPr>
            <w:tcW w:w="868" w:type="dxa"/>
            <w:vAlign w:val="center"/>
          </w:tcPr>
          <w:p w:rsidR="002F45D1" w:rsidRDefault="002F45D1">
            <w:pPr>
              <w:spacing w:before="20" w:after="20"/>
              <w:jc w:val="right"/>
              <w:rPr>
                <w:noProof/>
              </w:rPr>
            </w:pPr>
          </w:p>
        </w:tc>
        <w:tc>
          <w:tcPr>
            <w:tcW w:w="1777" w:type="dxa"/>
            <w:vAlign w:val="center"/>
          </w:tcPr>
          <w:p w:rsidR="002F45D1" w:rsidRDefault="002F45D1">
            <w:pPr>
              <w:spacing w:before="20" w:after="20"/>
              <w:jc w:val="right"/>
              <w:rPr>
                <w:noProof/>
              </w:rPr>
            </w:pPr>
          </w:p>
        </w:tc>
      </w:tr>
    </w:tbl>
    <w:p w:rsidR="002F45D1" w:rsidRDefault="002F45D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2F45D1">
        <w:tc>
          <w:tcPr>
            <w:tcW w:w="3960" w:type="dxa"/>
            <w:shd w:val="thinDiagStripe" w:color="C0C0C0" w:fill="auto"/>
            <w:vAlign w:val="center"/>
          </w:tcPr>
          <w:p w:rsidR="002F45D1" w:rsidRDefault="00B75E8E">
            <w:pPr>
              <w:jc w:val="center"/>
              <w:rPr>
                <w:b/>
                <w:noProof/>
              </w:rPr>
            </w:pPr>
            <w:r>
              <w:rPr>
                <w:b/>
                <w:noProof/>
              </w:rPr>
              <w:t>ОБЩО бюджетни кредитипо ФУНКЦИЯ 5</w:t>
            </w:r>
            <w:r>
              <w:rPr>
                <w:noProof/>
              </w:rPr>
              <w:br/>
            </w:r>
            <w:r>
              <w:rPr>
                <w:noProof/>
                <w:sz w:val="22"/>
              </w:rPr>
              <w:t>от многогодишната финансова рамка</w:t>
            </w:r>
            <w:r>
              <w:rPr>
                <w:b/>
                <w:noProof/>
                <w:sz w:val="22"/>
              </w:rPr>
              <w:t xml:space="preserve"> </w:t>
            </w:r>
          </w:p>
        </w:tc>
        <w:tc>
          <w:tcPr>
            <w:tcW w:w="2094" w:type="dxa"/>
            <w:vAlign w:val="center"/>
          </w:tcPr>
          <w:p w:rsidR="002F45D1" w:rsidRDefault="00B75E8E">
            <w:pPr>
              <w:spacing w:before="40" w:after="40"/>
              <w:rPr>
                <w:noProof/>
              </w:rPr>
            </w:pPr>
            <w:r>
              <w:rPr>
                <w:noProof/>
                <w:sz w:val="18"/>
              </w:rPr>
              <w:t xml:space="preserve">(Общо поети задължения = Общо </w:t>
            </w:r>
            <w:r>
              <w:rPr>
                <w:noProof/>
                <w:sz w:val="18"/>
              </w:rPr>
              <w:t>плащания)</w:t>
            </w:r>
          </w:p>
        </w:tc>
        <w:tc>
          <w:tcPr>
            <w:tcW w:w="868" w:type="dxa"/>
            <w:vAlign w:val="center"/>
          </w:tcPr>
          <w:p w:rsidR="002F45D1" w:rsidRDefault="00B75E8E">
            <w:pPr>
              <w:spacing w:before="20" w:after="20"/>
              <w:jc w:val="right"/>
              <w:rPr>
                <w:noProof/>
                <w:sz w:val="20"/>
              </w:rPr>
            </w:pPr>
            <w:r>
              <w:rPr>
                <w:noProof/>
              </w:rPr>
              <w:t>0,558</w:t>
            </w:r>
          </w:p>
        </w:tc>
        <w:tc>
          <w:tcPr>
            <w:tcW w:w="868" w:type="dxa"/>
            <w:vAlign w:val="center"/>
          </w:tcPr>
          <w:p w:rsidR="002F45D1" w:rsidRDefault="00B75E8E">
            <w:pPr>
              <w:spacing w:before="20" w:after="20"/>
              <w:jc w:val="right"/>
              <w:rPr>
                <w:noProof/>
                <w:sz w:val="20"/>
              </w:rPr>
            </w:pPr>
            <w:r>
              <w:rPr>
                <w:noProof/>
              </w:rPr>
              <w:t>0,558</w:t>
            </w:r>
          </w:p>
        </w:tc>
        <w:tc>
          <w:tcPr>
            <w:tcW w:w="868" w:type="dxa"/>
            <w:vAlign w:val="center"/>
          </w:tcPr>
          <w:p w:rsidR="002F45D1" w:rsidRDefault="00B75E8E">
            <w:pPr>
              <w:spacing w:before="20" w:after="20"/>
              <w:jc w:val="right"/>
              <w:rPr>
                <w:noProof/>
                <w:sz w:val="20"/>
              </w:rPr>
            </w:pPr>
            <w:r>
              <w:rPr>
                <w:noProof/>
              </w:rPr>
              <w:t>0,558</w:t>
            </w:r>
          </w:p>
        </w:tc>
        <w:tc>
          <w:tcPr>
            <w:tcW w:w="868" w:type="dxa"/>
            <w:vAlign w:val="center"/>
          </w:tcPr>
          <w:p w:rsidR="002F45D1" w:rsidRDefault="00B75E8E">
            <w:pPr>
              <w:spacing w:before="20" w:after="20"/>
              <w:jc w:val="right"/>
              <w:rPr>
                <w:noProof/>
                <w:sz w:val="20"/>
              </w:rPr>
            </w:pPr>
            <w:r>
              <w:rPr>
                <w:noProof/>
              </w:rPr>
              <w:t>0,558</w:t>
            </w:r>
          </w:p>
        </w:tc>
        <w:tc>
          <w:tcPr>
            <w:tcW w:w="868" w:type="dxa"/>
            <w:vAlign w:val="center"/>
          </w:tcPr>
          <w:p w:rsidR="002F45D1" w:rsidRDefault="00B75E8E">
            <w:pPr>
              <w:spacing w:before="20" w:after="20"/>
              <w:jc w:val="right"/>
              <w:rPr>
                <w:noProof/>
                <w:sz w:val="20"/>
              </w:rPr>
            </w:pPr>
            <w:r>
              <w:rPr>
                <w:noProof/>
              </w:rPr>
              <w:t>0,558</w:t>
            </w:r>
          </w:p>
        </w:tc>
        <w:tc>
          <w:tcPr>
            <w:tcW w:w="868" w:type="dxa"/>
            <w:vAlign w:val="center"/>
          </w:tcPr>
          <w:p w:rsidR="002F45D1" w:rsidRDefault="002F45D1">
            <w:pPr>
              <w:spacing w:before="20" w:after="20"/>
              <w:jc w:val="right"/>
              <w:rPr>
                <w:noProof/>
                <w:sz w:val="20"/>
              </w:rPr>
            </w:pPr>
          </w:p>
        </w:tc>
        <w:tc>
          <w:tcPr>
            <w:tcW w:w="868" w:type="dxa"/>
            <w:vAlign w:val="center"/>
          </w:tcPr>
          <w:p w:rsidR="002F45D1" w:rsidRDefault="002F45D1">
            <w:pPr>
              <w:spacing w:before="20" w:after="20"/>
              <w:jc w:val="right"/>
              <w:rPr>
                <w:b/>
                <w:noProof/>
                <w:sz w:val="20"/>
              </w:rPr>
            </w:pPr>
          </w:p>
        </w:tc>
        <w:tc>
          <w:tcPr>
            <w:tcW w:w="1777" w:type="dxa"/>
            <w:vAlign w:val="center"/>
          </w:tcPr>
          <w:p w:rsidR="002F45D1" w:rsidRDefault="002F45D1">
            <w:pPr>
              <w:spacing w:before="20" w:after="20"/>
              <w:jc w:val="right"/>
              <w:rPr>
                <w:b/>
                <w:noProof/>
                <w:sz w:val="20"/>
              </w:rPr>
            </w:pPr>
          </w:p>
        </w:tc>
      </w:tr>
    </w:tbl>
    <w:p w:rsidR="002F45D1" w:rsidRDefault="00B75E8E">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2F45D1">
        <w:tc>
          <w:tcPr>
            <w:tcW w:w="3960" w:type="dxa"/>
            <w:tcBorders>
              <w:top w:val="nil"/>
              <w:left w:val="nil"/>
              <w:right w:val="nil"/>
            </w:tcBorders>
            <w:vAlign w:val="center"/>
          </w:tcPr>
          <w:p w:rsidR="002F45D1" w:rsidRDefault="002F45D1">
            <w:pPr>
              <w:jc w:val="center"/>
              <w:rPr>
                <w:noProof/>
              </w:rPr>
            </w:pPr>
          </w:p>
        </w:tc>
        <w:tc>
          <w:tcPr>
            <w:tcW w:w="1560" w:type="dxa"/>
            <w:tcBorders>
              <w:top w:val="nil"/>
              <w:left w:val="nil"/>
              <w:right w:val="nil"/>
            </w:tcBorders>
          </w:tcPr>
          <w:p w:rsidR="002F45D1" w:rsidRDefault="002F45D1">
            <w:pPr>
              <w:rPr>
                <w:noProof/>
                <w:sz w:val="20"/>
              </w:rPr>
            </w:pPr>
          </w:p>
        </w:tc>
        <w:tc>
          <w:tcPr>
            <w:tcW w:w="534" w:type="dxa"/>
            <w:tcBorders>
              <w:top w:val="nil"/>
              <w:left w:val="nil"/>
            </w:tcBorders>
          </w:tcPr>
          <w:p w:rsidR="002F45D1" w:rsidRDefault="002F45D1">
            <w:pPr>
              <w:jc w:val="center"/>
              <w:rPr>
                <w:noProof/>
                <w:sz w:val="20"/>
              </w:rPr>
            </w:pPr>
          </w:p>
        </w:tc>
        <w:tc>
          <w:tcPr>
            <w:tcW w:w="868" w:type="dxa"/>
            <w:vAlign w:val="center"/>
          </w:tcPr>
          <w:p w:rsidR="002F45D1" w:rsidRDefault="00B75E8E">
            <w:pPr>
              <w:jc w:val="center"/>
              <w:rPr>
                <w:noProof/>
                <w:sz w:val="20"/>
              </w:rPr>
            </w:pPr>
            <w:r>
              <w:rPr>
                <w:noProof/>
              </w:rPr>
              <w:t>Година</w:t>
            </w:r>
            <w:r>
              <w:rPr>
                <w:b/>
                <w:noProof/>
                <w:sz w:val="20"/>
              </w:rPr>
              <w:t>2016</w:t>
            </w:r>
            <w:r>
              <w:rPr>
                <w:rStyle w:val="FootnoteReference"/>
                <w:b/>
                <w:noProof/>
                <w:sz w:val="20"/>
              </w:rPr>
              <w:footnoteReference w:id="23"/>
            </w:r>
          </w:p>
        </w:tc>
        <w:tc>
          <w:tcPr>
            <w:tcW w:w="868" w:type="dxa"/>
            <w:vAlign w:val="center"/>
          </w:tcPr>
          <w:p w:rsidR="002F45D1" w:rsidRDefault="00B75E8E">
            <w:pPr>
              <w:jc w:val="center"/>
              <w:rPr>
                <w:noProof/>
                <w:sz w:val="20"/>
              </w:rPr>
            </w:pPr>
            <w:r>
              <w:rPr>
                <w:noProof/>
              </w:rPr>
              <w:t>Година</w:t>
            </w:r>
            <w:r>
              <w:rPr>
                <w:b/>
                <w:noProof/>
                <w:sz w:val="20"/>
              </w:rPr>
              <w:t>2017</w:t>
            </w:r>
          </w:p>
        </w:tc>
        <w:tc>
          <w:tcPr>
            <w:tcW w:w="868" w:type="dxa"/>
            <w:vAlign w:val="center"/>
          </w:tcPr>
          <w:p w:rsidR="002F45D1" w:rsidRDefault="00B75E8E">
            <w:pPr>
              <w:jc w:val="center"/>
              <w:rPr>
                <w:noProof/>
                <w:sz w:val="20"/>
              </w:rPr>
            </w:pPr>
            <w:r>
              <w:rPr>
                <w:noProof/>
              </w:rPr>
              <w:t>Година</w:t>
            </w:r>
            <w:r>
              <w:rPr>
                <w:b/>
                <w:noProof/>
                <w:sz w:val="20"/>
              </w:rPr>
              <w:t>2018</w:t>
            </w:r>
          </w:p>
        </w:tc>
        <w:tc>
          <w:tcPr>
            <w:tcW w:w="868" w:type="dxa"/>
            <w:vAlign w:val="center"/>
          </w:tcPr>
          <w:p w:rsidR="002F45D1" w:rsidRDefault="00B75E8E">
            <w:pPr>
              <w:jc w:val="center"/>
              <w:rPr>
                <w:noProof/>
                <w:sz w:val="20"/>
              </w:rPr>
            </w:pPr>
            <w:r>
              <w:rPr>
                <w:noProof/>
              </w:rPr>
              <w:t>Година</w:t>
            </w:r>
            <w:r>
              <w:rPr>
                <w:b/>
                <w:noProof/>
                <w:sz w:val="20"/>
              </w:rPr>
              <w:t>2019</w:t>
            </w:r>
          </w:p>
        </w:tc>
        <w:tc>
          <w:tcPr>
            <w:tcW w:w="2604" w:type="dxa"/>
            <w:gridSpan w:val="3"/>
            <w:vAlign w:val="center"/>
          </w:tcPr>
          <w:p w:rsidR="002F45D1" w:rsidRDefault="00B75E8E">
            <w:pPr>
              <w:jc w:val="center"/>
              <w:rPr>
                <w:b/>
                <w:noProof/>
                <w:sz w:val="18"/>
              </w:rPr>
            </w:pPr>
            <w:r>
              <w:rPr>
                <w:noProof/>
              </w:rPr>
              <w:t>Година 2020</w:t>
            </w:r>
          </w:p>
        </w:tc>
        <w:tc>
          <w:tcPr>
            <w:tcW w:w="1777" w:type="dxa"/>
            <w:vAlign w:val="center"/>
          </w:tcPr>
          <w:p w:rsidR="002F45D1" w:rsidRDefault="00B75E8E">
            <w:pPr>
              <w:jc w:val="center"/>
              <w:rPr>
                <w:b/>
                <w:noProof/>
                <w:sz w:val="20"/>
              </w:rPr>
            </w:pPr>
            <w:r>
              <w:rPr>
                <w:b/>
                <w:noProof/>
                <w:sz w:val="20"/>
              </w:rPr>
              <w:t>ОБЩО</w:t>
            </w:r>
          </w:p>
        </w:tc>
      </w:tr>
      <w:tr w:rsidR="002F45D1">
        <w:tc>
          <w:tcPr>
            <w:tcW w:w="3960" w:type="dxa"/>
            <w:vMerge w:val="restart"/>
            <w:shd w:val="clear" w:color="auto" w:fill="C0C0C0"/>
            <w:vAlign w:val="center"/>
          </w:tcPr>
          <w:p w:rsidR="002F45D1" w:rsidRDefault="00B75E8E">
            <w:pPr>
              <w:jc w:val="center"/>
              <w:rPr>
                <w:b/>
                <w:noProof/>
              </w:rPr>
            </w:pPr>
            <w:r>
              <w:rPr>
                <w:b/>
                <w:noProof/>
              </w:rPr>
              <w:t>ОБЩО бюджетни кредитипо ФУНКЦИИ 1—5</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rsidR="002F45D1" w:rsidRDefault="00B75E8E">
            <w:pPr>
              <w:rPr>
                <w:noProof/>
                <w:sz w:val="14"/>
              </w:rPr>
            </w:pPr>
            <w:r>
              <w:rPr>
                <w:noProof/>
                <w:sz w:val="18"/>
              </w:rPr>
              <w:t>Поети задължения</w:t>
            </w:r>
          </w:p>
        </w:tc>
        <w:tc>
          <w:tcPr>
            <w:tcW w:w="868" w:type="dxa"/>
            <w:vAlign w:val="center"/>
          </w:tcPr>
          <w:p w:rsidR="002F45D1" w:rsidRDefault="00B75E8E">
            <w:pPr>
              <w:spacing w:before="20" w:after="20"/>
              <w:jc w:val="right"/>
              <w:rPr>
                <w:noProof/>
              </w:rPr>
            </w:pPr>
            <w:r>
              <w:rPr>
                <w:noProof/>
              </w:rPr>
              <w:t>0,858</w:t>
            </w:r>
          </w:p>
        </w:tc>
        <w:tc>
          <w:tcPr>
            <w:tcW w:w="868" w:type="dxa"/>
            <w:vAlign w:val="center"/>
          </w:tcPr>
          <w:p w:rsidR="002F45D1" w:rsidRDefault="00B75E8E">
            <w:pPr>
              <w:spacing w:before="20" w:after="20"/>
              <w:jc w:val="right"/>
              <w:rPr>
                <w:noProof/>
              </w:rPr>
            </w:pPr>
            <w:r>
              <w:rPr>
                <w:noProof/>
              </w:rPr>
              <w:t>1,558</w:t>
            </w:r>
          </w:p>
        </w:tc>
        <w:tc>
          <w:tcPr>
            <w:tcW w:w="868" w:type="dxa"/>
            <w:vAlign w:val="center"/>
          </w:tcPr>
          <w:p w:rsidR="002F45D1" w:rsidRDefault="00B75E8E">
            <w:pPr>
              <w:spacing w:before="20" w:after="20"/>
              <w:jc w:val="right"/>
              <w:rPr>
                <w:noProof/>
              </w:rPr>
            </w:pPr>
            <w:r>
              <w:rPr>
                <w:noProof/>
              </w:rPr>
              <w:t>0,958</w:t>
            </w:r>
          </w:p>
        </w:tc>
        <w:tc>
          <w:tcPr>
            <w:tcW w:w="868" w:type="dxa"/>
            <w:vAlign w:val="center"/>
          </w:tcPr>
          <w:p w:rsidR="002F45D1" w:rsidRDefault="00B75E8E">
            <w:pPr>
              <w:spacing w:before="20" w:after="20"/>
              <w:jc w:val="right"/>
              <w:rPr>
                <w:noProof/>
              </w:rPr>
            </w:pPr>
            <w:r>
              <w:rPr>
                <w:noProof/>
              </w:rPr>
              <w:t>0,758</w:t>
            </w:r>
          </w:p>
        </w:tc>
        <w:tc>
          <w:tcPr>
            <w:tcW w:w="868" w:type="dxa"/>
            <w:vAlign w:val="center"/>
          </w:tcPr>
          <w:p w:rsidR="002F45D1" w:rsidRDefault="00B75E8E">
            <w:pPr>
              <w:spacing w:before="20" w:after="20"/>
              <w:jc w:val="right"/>
              <w:rPr>
                <w:noProof/>
              </w:rPr>
            </w:pPr>
            <w:r>
              <w:rPr>
                <w:noProof/>
              </w:rPr>
              <w:t>0,758</w:t>
            </w:r>
          </w:p>
        </w:tc>
        <w:tc>
          <w:tcPr>
            <w:tcW w:w="868" w:type="dxa"/>
            <w:vAlign w:val="center"/>
          </w:tcPr>
          <w:p w:rsidR="002F45D1" w:rsidRDefault="002F45D1">
            <w:pPr>
              <w:spacing w:before="20" w:after="20"/>
              <w:jc w:val="right"/>
              <w:rPr>
                <w:noProof/>
              </w:rPr>
            </w:pPr>
          </w:p>
        </w:tc>
        <w:tc>
          <w:tcPr>
            <w:tcW w:w="868" w:type="dxa"/>
            <w:vAlign w:val="center"/>
          </w:tcPr>
          <w:p w:rsidR="002F45D1" w:rsidRDefault="002F45D1">
            <w:pPr>
              <w:spacing w:before="20" w:after="20"/>
              <w:jc w:val="right"/>
              <w:rPr>
                <w:noProof/>
              </w:rPr>
            </w:pPr>
          </w:p>
        </w:tc>
        <w:tc>
          <w:tcPr>
            <w:tcW w:w="1777" w:type="dxa"/>
            <w:vAlign w:val="center"/>
          </w:tcPr>
          <w:p w:rsidR="002F45D1" w:rsidRDefault="002F45D1">
            <w:pPr>
              <w:spacing w:before="20" w:after="20"/>
              <w:jc w:val="right"/>
              <w:rPr>
                <w:noProof/>
              </w:rPr>
            </w:pPr>
          </w:p>
        </w:tc>
      </w:tr>
      <w:tr w:rsidR="002F45D1">
        <w:tc>
          <w:tcPr>
            <w:tcW w:w="3960" w:type="dxa"/>
            <w:vMerge/>
            <w:shd w:val="clear" w:color="auto" w:fill="C0C0C0"/>
          </w:tcPr>
          <w:p w:rsidR="002F45D1" w:rsidRDefault="002F45D1">
            <w:pPr>
              <w:rPr>
                <w:noProof/>
                <w:sz w:val="20"/>
              </w:rPr>
            </w:pPr>
          </w:p>
        </w:tc>
        <w:tc>
          <w:tcPr>
            <w:tcW w:w="2094" w:type="dxa"/>
            <w:gridSpan w:val="2"/>
            <w:vAlign w:val="center"/>
          </w:tcPr>
          <w:p w:rsidR="002F45D1" w:rsidRDefault="00B75E8E">
            <w:pPr>
              <w:rPr>
                <w:noProof/>
                <w:sz w:val="14"/>
              </w:rPr>
            </w:pPr>
            <w:r>
              <w:rPr>
                <w:noProof/>
                <w:sz w:val="18"/>
              </w:rPr>
              <w:t>Плащания</w:t>
            </w:r>
          </w:p>
        </w:tc>
        <w:tc>
          <w:tcPr>
            <w:tcW w:w="868" w:type="dxa"/>
            <w:vAlign w:val="center"/>
          </w:tcPr>
          <w:p w:rsidR="002F45D1" w:rsidRDefault="00B75E8E">
            <w:pPr>
              <w:spacing w:before="20" w:after="20"/>
              <w:jc w:val="right"/>
              <w:rPr>
                <w:noProof/>
              </w:rPr>
            </w:pPr>
            <w:r>
              <w:rPr>
                <w:noProof/>
              </w:rPr>
              <w:t>0,558</w:t>
            </w:r>
          </w:p>
        </w:tc>
        <w:tc>
          <w:tcPr>
            <w:tcW w:w="868" w:type="dxa"/>
            <w:vAlign w:val="center"/>
          </w:tcPr>
          <w:p w:rsidR="002F45D1" w:rsidRDefault="00B75E8E">
            <w:pPr>
              <w:spacing w:before="20" w:after="20"/>
              <w:jc w:val="right"/>
              <w:rPr>
                <w:noProof/>
              </w:rPr>
            </w:pPr>
            <w:r>
              <w:rPr>
                <w:noProof/>
              </w:rPr>
              <w:t>0,858</w:t>
            </w:r>
          </w:p>
        </w:tc>
        <w:tc>
          <w:tcPr>
            <w:tcW w:w="868" w:type="dxa"/>
            <w:vAlign w:val="center"/>
          </w:tcPr>
          <w:p w:rsidR="002F45D1" w:rsidRDefault="00B75E8E">
            <w:pPr>
              <w:spacing w:before="20" w:after="20"/>
              <w:jc w:val="right"/>
              <w:rPr>
                <w:noProof/>
              </w:rPr>
            </w:pPr>
            <w:r>
              <w:rPr>
                <w:noProof/>
              </w:rPr>
              <w:t>1,558</w:t>
            </w:r>
          </w:p>
        </w:tc>
        <w:tc>
          <w:tcPr>
            <w:tcW w:w="868" w:type="dxa"/>
            <w:vAlign w:val="center"/>
          </w:tcPr>
          <w:p w:rsidR="002F45D1" w:rsidRDefault="00B75E8E">
            <w:pPr>
              <w:spacing w:before="20" w:after="20"/>
              <w:jc w:val="right"/>
              <w:rPr>
                <w:noProof/>
              </w:rPr>
            </w:pPr>
            <w:r>
              <w:rPr>
                <w:noProof/>
              </w:rPr>
              <w:t>0,958</w:t>
            </w:r>
          </w:p>
        </w:tc>
        <w:tc>
          <w:tcPr>
            <w:tcW w:w="868" w:type="dxa"/>
            <w:vAlign w:val="center"/>
          </w:tcPr>
          <w:p w:rsidR="002F45D1" w:rsidRDefault="00B75E8E">
            <w:pPr>
              <w:spacing w:before="20" w:after="20"/>
              <w:jc w:val="right"/>
              <w:rPr>
                <w:noProof/>
              </w:rPr>
            </w:pPr>
            <w:r>
              <w:rPr>
                <w:noProof/>
              </w:rPr>
              <w:t>0,758</w:t>
            </w:r>
          </w:p>
        </w:tc>
        <w:tc>
          <w:tcPr>
            <w:tcW w:w="868" w:type="dxa"/>
            <w:vAlign w:val="center"/>
          </w:tcPr>
          <w:p w:rsidR="002F45D1" w:rsidRDefault="002F45D1">
            <w:pPr>
              <w:spacing w:before="20" w:after="20"/>
              <w:jc w:val="right"/>
              <w:rPr>
                <w:noProof/>
              </w:rPr>
            </w:pPr>
          </w:p>
        </w:tc>
        <w:tc>
          <w:tcPr>
            <w:tcW w:w="868" w:type="dxa"/>
            <w:vAlign w:val="center"/>
          </w:tcPr>
          <w:p w:rsidR="002F45D1" w:rsidRDefault="002F45D1">
            <w:pPr>
              <w:spacing w:before="20" w:after="20"/>
              <w:jc w:val="right"/>
              <w:rPr>
                <w:noProof/>
              </w:rPr>
            </w:pPr>
          </w:p>
        </w:tc>
        <w:tc>
          <w:tcPr>
            <w:tcW w:w="1777" w:type="dxa"/>
            <w:vAlign w:val="center"/>
          </w:tcPr>
          <w:p w:rsidR="002F45D1" w:rsidRDefault="002F45D1">
            <w:pPr>
              <w:spacing w:before="20" w:after="20"/>
              <w:jc w:val="right"/>
              <w:rPr>
                <w:noProof/>
              </w:rPr>
            </w:pPr>
          </w:p>
        </w:tc>
      </w:tr>
    </w:tbl>
    <w:p w:rsidR="002F45D1" w:rsidRDefault="002F45D1">
      <w:pPr>
        <w:rPr>
          <w:noProof/>
        </w:rPr>
        <w:sectPr w:rsidR="002F45D1">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2F45D1" w:rsidRDefault="00B75E8E">
      <w:pPr>
        <w:pStyle w:val="ManualHeading3"/>
        <w:rPr>
          <w:bCs/>
          <w:noProof/>
          <w:szCs w:val="24"/>
        </w:rPr>
      </w:pPr>
      <w:r>
        <w:t>3.2.</w:t>
      </w:r>
      <w:proofErr w:type="spellStart"/>
      <w:r>
        <w:t>2</w:t>
      </w:r>
      <w:proofErr w:type="spellEnd"/>
      <w:r>
        <w:t>.</w:t>
      </w:r>
      <w:r>
        <w:tab/>
      </w:r>
      <w:r>
        <w:rPr>
          <w:noProof/>
        </w:rPr>
        <w:t xml:space="preserve">Очаквано отражение върху бюджетните кредити за оперативни разходи </w:t>
      </w:r>
    </w:p>
    <w:p w:rsidR="002F45D1" w:rsidRDefault="00B75E8E">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rsidR="002F45D1" w:rsidRDefault="00B75E8E">
      <w:pPr>
        <w:pStyle w:val="ListDash1"/>
        <w:rPr>
          <w:noProof/>
        </w:rPr>
      </w:pPr>
      <w:r>
        <w:rPr>
          <w:noProof/>
        </w:rPr>
        <w:sym w:font="Wingdings" w:char="F0FD"/>
      </w:r>
      <w:r>
        <w:rPr>
          <w:noProof/>
        </w:rPr>
        <w:t xml:space="preserve"> Предложението/инициативата налага използване на бюджетни кредити за оперативни разходи съгласн</w:t>
      </w:r>
      <w:r>
        <w:rPr>
          <w:noProof/>
        </w:rPr>
        <w:t>о обяснението по-долу:</w:t>
      </w:r>
    </w:p>
    <w:p w:rsidR="002F45D1" w:rsidRDefault="00B75E8E">
      <w:pPr>
        <w:jc w:val="right"/>
        <w:rPr>
          <w:noProof/>
          <w:sz w:val="20"/>
        </w:rPr>
      </w:pPr>
      <w:r>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2F45D1">
        <w:trPr>
          <w:jc w:val="center"/>
        </w:trPr>
        <w:tc>
          <w:tcPr>
            <w:tcW w:w="1423" w:type="dxa"/>
            <w:vMerge w:val="restart"/>
            <w:vAlign w:val="center"/>
          </w:tcPr>
          <w:p w:rsidR="002F45D1" w:rsidRDefault="00B75E8E">
            <w:pPr>
              <w:ind w:right="-29"/>
              <w:jc w:val="center"/>
              <w:rPr>
                <w:b/>
                <w:noProof/>
                <w:sz w:val="18"/>
                <w:szCs w:val="18"/>
              </w:rPr>
            </w:pPr>
            <w:r>
              <w:rPr>
                <w:b/>
                <w:noProof/>
                <w:sz w:val="18"/>
              </w:rPr>
              <w:t xml:space="preserve">Да се посочат целите и резултатите </w:t>
            </w:r>
          </w:p>
          <w:p w:rsidR="002F45D1" w:rsidRDefault="002F45D1">
            <w:pPr>
              <w:ind w:right="-29"/>
              <w:jc w:val="center"/>
              <w:rPr>
                <w:b/>
                <w:noProof/>
                <w:sz w:val="18"/>
                <w:szCs w:val="18"/>
              </w:rPr>
            </w:pPr>
          </w:p>
          <w:p w:rsidR="002F45D1" w:rsidRDefault="00B75E8E">
            <w:pPr>
              <w:ind w:right="-29"/>
              <w:jc w:val="center"/>
              <w:rPr>
                <w:noProof/>
                <w:sz w:val="18"/>
                <w:szCs w:val="18"/>
              </w:rPr>
            </w:pPr>
            <w:r>
              <w:rPr>
                <w:noProof/>
                <w:sz w:val="18"/>
              </w:rPr>
              <w:sym w:font="Wingdings" w:char="F0F2"/>
            </w:r>
          </w:p>
        </w:tc>
        <w:tc>
          <w:tcPr>
            <w:tcW w:w="720" w:type="dxa"/>
            <w:vAlign w:val="center"/>
          </w:tcPr>
          <w:p w:rsidR="002F45D1" w:rsidRDefault="002F45D1">
            <w:pPr>
              <w:ind w:right="-29"/>
              <w:jc w:val="center"/>
              <w:rPr>
                <w:noProof/>
                <w:sz w:val="18"/>
                <w:szCs w:val="18"/>
              </w:rPr>
            </w:pPr>
          </w:p>
        </w:tc>
        <w:tc>
          <w:tcPr>
            <w:tcW w:w="701" w:type="dxa"/>
            <w:vAlign w:val="center"/>
          </w:tcPr>
          <w:p w:rsidR="002F45D1" w:rsidRDefault="002F45D1">
            <w:pPr>
              <w:ind w:right="-29"/>
              <w:jc w:val="center"/>
              <w:rPr>
                <w:noProof/>
                <w:sz w:val="18"/>
                <w:szCs w:val="18"/>
              </w:rPr>
            </w:pPr>
          </w:p>
        </w:tc>
        <w:tc>
          <w:tcPr>
            <w:tcW w:w="1224" w:type="dxa"/>
            <w:gridSpan w:val="2"/>
            <w:tcBorders>
              <w:left w:val="nil"/>
            </w:tcBorders>
            <w:vAlign w:val="center"/>
          </w:tcPr>
          <w:p w:rsidR="002F45D1" w:rsidRDefault="00B75E8E">
            <w:pPr>
              <w:ind w:right="-29"/>
              <w:jc w:val="center"/>
              <w:rPr>
                <w:noProof/>
                <w:sz w:val="18"/>
                <w:szCs w:val="18"/>
              </w:rPr>
            </w:pPr>
            <w:r>
              <w:rPr>
                <w:noProof/>
              </w:rPr>
              <w:t>Година</w:t>
            </w:r>
            <w:r>
              <w:rPr>
                <w:b/>
                <w:noProof/>
                <w:sz w:val="18"/>
              </w:rPr>
              <w:t>2016</w:t>
            </w:r>
          </w:p>
        </w:tc>
        <w:tc>
          <w:tcPr>
            <w:tcW w:w="1260" w:type="dxa"/>
            <w:gridSpan w:val="2"/>
            <w:vAlign w:val="center"/>
          </w:tcPr>
          <w:p w:rsidR="002F45D1" w:rsidRDefault="00B75E8E">
            <w:pPr>
              <w:ind w:right="-29"/>
              <w:jc w:val="center"/>
              <w:rPr>
                <w:noProof/>
                <w:sz w:val="18"/>
                <w:szCs w:val="18"/>
              </w:rPr>
            </w:pPr>
            <w:r>
              <w:rPr>
                <w:noProof/>
              </w:rPr>
              <w:t>Година</w:t>
            </w:r>
            <w:r>
              <w:rPr>
                <w:b/>
                <w:noProof/>
                <w:sz w:val="18"/>
              </w:rPr>
              <w:t>2017</w:t>
            </w:r>
          </w:p>
        </w:tc>
        <w:tc>
          <w:tcPr>
            <w:tcW w:w="1440" w:type="dxa"/>
            <w:gridSpan w:val="2"/>
            <w:vAlign w:val="center"/>
          </w:tcPr>
          <w:p w:rsidR="002F45D1" w:rsidRDefault="00B75E8E">
            <w:pPr>
              <w:ind w:right="-29"/>
              <w:jc w:val="center"/>
              <w:rPr>
                <w:noProof/>
                <w:sz w:val="18"/>
                <w:szCs w:val="18"/>
              </w:rPr>
            </w:pPr>
            <w:r>
              <w:rPr>
                <w:noProof/>
              </w:rPr>
              <w:t>Година</w:t>
            </w:r>
            <w:r>
              <w:rPr>
                <w:b/>
                <w:noProof/>
                <w:sz w:val="18"/>
              </w:rPr>
              <w:t>2018</w:t>
            </w:r>
          </w:p>
        </w:tc>
        <w:tc>
          <w:tcPr>
            <w:tcW w:w="1620" w:type="dxa"/>
            <w:gridSpan w:val="3"/>
            <w:vAlign w:val="center"/>
          </w:tcPr>
          <w:p w:rsidR="002F45D1" w:rsidRDefault="00B75E8E">
            <w:pPr>
              <w:ind w:right="-29"/>
              <w:jc w:val="center"/>
              <w:rPr>
                <w:noProof/>
                <w:sz w:val="18"/>
                <w:szCs w:val="18"/>
              </w:rPr>
            </w:pPr>
            <w:r>
              <w:rPr>
                <w:noProof/>
              </w:rPr>
              <w:t>Година</w:t>
            </w:r>
            <w:r>
              <w:rPr>
                <w:b/>
                <w:noProof/>
                <w:sz w:val="18"/>
              </w:rPr>
              <w:t>2019</w:t>
            </w:r>
          </w:p>
        </w:tc>
        <w:tc>
          <w:tcPr>
            <w:tcW w:w="3600" w:type="dxa"/>
            <w:gridSpan w:val="6"/>
            <w:vAlign w:val="center"/>
          </w:tcPr>
          <w:p w:rsidR="002F45D1" w:rsidRDefault="00B75E8E">
            <w:pPr>
              <w:jc w:val="center"/>
              <w:rPr>
                <w:noProof/>
                <w:sz w:val="18"/>
                <w:szCs w:val="18"/>
              </w:rPr>
            </w:pPr>
            <w:r>
              <w:rPr>
                <w:noProof/>
                <w:sz w:val="18"/>
              </w:rPr>
              <w:t>2020</w:t>
            </w:r>
          </w:p>
        </w:tc>
        <w:tc>
          <w:tcPr>
            <w:tcW w:w="1620" w:type="dxa"/>
            <w:gridSpan w:val="2"/>
            <w:tcBorders>
              <w:left w:val="nil"/>
              <w:bottom w:val="nil"/>
            </w:tcBorders>
            <w:vAlign w:val="center"/>
          </w:tcPr>
          <w:p w:rsidR="002F45D1" w:rsidRDefault="00B75E8E">
            <w:pPr>
              <w:ind w:right="-29"/>
              <w:jc w:val="center"/>
              <w:rPr>
                <w:noProof/>
                <w:sz w:val="18"/>
                <w:szCs w:val="18"/>
              </w:rPr>
            </w:pPr>
            <w:r>
              <w:rPr>
                <w:b/>
                <w:noProof/>
                <w:sz w:val="18"/>
              </w:rPr>
              <w:t>ОБЩО</w:t>
            </w:r>
          </w:p>
        </w:tc>
      </w:tr>
      <w:tr w:rsidR="002F45D1">
        <w:trPr>
          <w:jc w:val="center"/>
        </w:trPr>
        <w:tc>
          <w:tcPr>
            <w:tcW w:w="1423" w:type="dxa"/>
            <w:vMerge/>
            <w:vAlign w:val="center"/>
          </w:tcPr>
          <w:p w:rsidR="002F45D1" w:rsidRDefault="002F45D1">
            <w:pPr>
              <w:ind w:right="-29"/>
              <w:jc w:val="center"/>
              <w:rPr>
                <w:noProof/>
                <w:sz w:val="18"/>
                <w:szCs w:val="18"/>
              </w:rPr>
            </w:pPr>
          </w:p>
        </w:tc>
        <w:tc>
          <w:tcPr>
            <w:tcW w:w="12185" w:type="dxa"/>
            <w:gridSpan w:val="19"/>
            <w:vAlign w:val="center"/>
          </w:tcPr>
          <w:p w:rsidR="002F45D1" w:rsidRDefault="00B75E8E">
            <w:pPr>
              <w:spacing w:before="60" w:after="60"/>
              <w:ind w:right="-29"/>
              <w:jc w:val="center"/>
              <w:rPr>
                <w:noProof/>
                <w:sz w:val="18"/>
                <w:szCs w:val="18"/>
              </w:rPr>
            </w:pPr>
            <w:r>
              <w:rPr>
                <w:b/>
                <w:noProof/>
                <w:sz w:val="18"/>
              </w:rPr>
              <w:t>РЕЗУЛТАТИ</w:t>
            </w:r>
          </w:p>
        </w:tc>
      </w:tr>
      <w:tr w:rsidR="002F45D1">
        <w:trPr>
          <w:cantSplit/>
          <w:trHeight w:val="1134"/>
          <w:jc w:val="center"/>
        </w:trPr>
        <w:tc>
          <w:tcPr>
            <w:tcW w:w="1423" w:type="dxa"/>
            <w:vMerge/>
            <w:vAlign w:val="center"/>
          </w:tcPr>
          <w:p w:rsidR="002F45D1" w:rsidRDefault="002F45D1">
            <w:pPr>
              <w:rPr>
                <w:noProof/>
                <w:sz w:val="18"/>
                <w:szCs w:val="18"/>
              </w:rPr>
            </w:pPr>
          </w:p>
        </w:tc>
        <w:tc>
          <w:tcPr>
            <w:tcW w:w="720" w:type="dxa"/>
            <w:vAlign w:val="center"/>
          </w:tcPr>
          <w:p w:rsidR="002F45D1" w:rsidRDefault="00B75E8E">
            <w:pPr>
              <w:jc w:val="center"/>
              <w:rPr>
                <w:noProof/>
                <w:sz w:val="18"/>
                <w:szCs w:val="18"/>
              </w:rPr>
            </w:pPr>
            <w:r>
              <w:rPr>
                <w:noProof/>
                <w:sz w:val="18"/>
              </w:rPr>
              <w:t>Вид</w:t>
            </w:r>
            <w:r>
              <w:rPr>
                <w:rStyle w:val="FootnoteReference"/>
                <w:noProof/>
                <w:sz w:val="18"/>
              </w:rPr>
              <w:footnoteReference w:id="24"/>
            </w:r>
          </w:p>
          <w:p w:rsidR="002F45D1" w:rsidRDefault="002F45D1">
            <w:pPr>
              <w:spacing w:before="0" w:after="0"/>
              <w:jc w:val="center"/>
              <w:rPr>
                <w:noProof/>
                <w:sz w:val="18"/>
                <w:szCs w:val="18"/>
              </w:rPr>
            </w:pPr>
          </w:p>
        </w:tc>
        <w:tc>
          <w:tcPr>
            <w:tcW w:w="701" w:type="dxa"/>
            <w:vAlign w:val="center"/>
          </w:tcPr>
          <w:p w:rsidR="002F45D1" w:rsidRDefault="00B75E8E">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2F45D1" w:rsidRDefault="00B75E8E">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2F45D1" w:rsidRDefault="00B75E8E">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2F45D1" w:rsidRDefault="00B75E8E">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2F45D1" w:rsidRDefault="00B75E8E">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2F45D1" w:rsidRDefault="00B75E8E">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2F45D1" w:rsidRDefault="00B75E8E">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2F45D1" w:rsidRDefault="00B75E8E">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2F45D1" w:rsidRDefault="00B75E8E">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2F45D1" w:rsidRDefault="00B75E8E">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2F45D1" w:rsidRDefault="00B75E8E">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2F45D1" w:rsidRDefault="00B75E8E">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2F45D1" w:rsidRDefault="00B75E8E">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2F45D1" w:rsidRDefault="00B75E8E">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2F45D1" w:rsidRDefault="00B75E8E">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2F45D1" w:rsidRDefault="00B75E8E">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2F45D1" w:rsidRDefault="00B75E8E">
            <w:pPr>
              <w:jc w:val="center"/>
              <w:rPr>
                <w:noProof/>
                <w:sz w:val="18"/>
                <w:szCs w:val="18"/>
              </w:rPr>
            </w:pPr>
            <w:r>
              <w:rPr>
                <w:noProof/>
                <w:sz w:val="18"/>
              </w:rPr>
              <w:t>Общо разходи</w:t>
            </w:r>
          </w:p>
        </w:tc>
      </w:tr>
      <w:tr w:rsidR="002F45D1">
        <w:trPr>
          <w:jc w:val="center"/>
        </w:trPr>
        <w:tc>
          <w:tcPr>
            <w:tcW w:w="2844" w:type="dxa"/>
            <w:gridSpan w:val="3"/>
            <w:vAlign w:val="center"/>
          </w:tcPr>
          <w:p w:rsidR="002F45D1" w:rsidRDefault="00B75E8E">
            <w:pPr>
              <w:spacing w:before="60" w:after="60"/>
              <w:ind w:right="-29"/>
              <w:jc w:val="center"/>
              <w:rPr>
                <w:noProof/>
                <w:sz w:val="18"/>
                <w:szCs w:val="18"/>
              </w:rPr>
            </w:pPr>
            <w:r>
              <w:rPr>
                <w:noProof/>
                <w:sz w:val="18"/>
              </w:rPr>
              <w:t>КОНКРЕТНА ЦЕЛ № 1</w:t>
            </w:r>
            <w:r>
              <w:rPr>
                <w:rStyle w:val="FootnoteReference"/>
                <w:noProof/>
                <w:sz w:val="18"/>
              </w:rPr>
              <w:footnoteReference w:id="25"/>
            </w:r>
            <w:r>
              <w:rPr>
                <w:noProof/>
                <w:sz w:val="18"/>
              </w:rPr>
              <w:t>…</w:t>
            </w:r>
          </w:p>
        </w:tc>
        <w:tc>
          <w:tcPr>
            <w:tcW w:w="504"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54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90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gridSpan w:val="2"/>
            <w:tcBorders>
              <w:top w:val="nil"/>
              <w:left w:val="nil"/>
              <w:bottom w:val="nil"/>
              <w:right w:val="nil"/>
            </w:tcBorders>
          </w:tcPr>
          <w:p w:rsidR="002F45D1" w:rsidRDefault="002F45D1">
            <w:pPr>
              <w:spacing w:before="60" w:after="60"/>
              <w:ind w:right="-29"/>
              <w:jc w:val="center"/>
              <w:rPr>
                <w:noProof/>
                <w:sz w:val="18"/>
                <w:szCs w:val="18"/>
              </w:rPr>
            </w:pPr>
          </w:p>
        </w:tc>
        <w:tc>
          <w:tcPr>
            <w:tcW w:w="540" w:type="dxa"/>
            <w:tcBorders>
              <w:top w:val="nil"/>
              <w:left w:val="nil"/>
              <w:bottom w:val="nil"/>
              <w:right w:val="nil"/>
            </w:tcBorders>
          </w:tcPr>
          <w:p w:rsidR="002F45D1" w:rsidRDefault="002F45D1">
            <w:pPr>
              <w:spacing w:before="60" w:after="60"/>
              <w:ind w:right="-29"/>
              <w:jc w:val="center"/>
              <w:rPr>
                <w:noProof/>
                <w:sz w:val="18"/>
                <w:szCs w:val="18"/>
              </w:rPr>
            </w:pPr>
          </w:p>
        </w:tc>
        <w:tc>
          <w:tcPr>
            <w:tcW w:w="648" w:type="dxa"/>
            <w:tcBorders>
              <w:top w:val="nil"/>
              <w:left w:val="nil"/>
              <w:bottom w:val="nil"/>
              <w:right w:val="nil"/>
            </w:tcBorders>
          </w:tcPr>
          <w:p w:rsidR="002F45D1" w:rsidRDefault="002F45D1">
            <w:pPr>
              <w:spacing w:before="60" w:after="60"/>
              <w:ind w:right="-29"/>
              <w:jc w:val="center"/>
              <w:rPr>
                <w:noProof/>
                <w:sz w:val="18"/>
                <w:szCs w:val="18"/>
              </w:rPr>
            </w:pPr>
          </w:p>
        </w:tc>
        <w:tc>
          <w:tcPr>
            <w:tcW w:w="432"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54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900" w:type="dxa"/>
            <w:tcBorders>
              <w:top w:val="nil"/>
              <w:left w:val="nil"/>
              <w:bottom w:val="nil"/>
              <w:right w:val="nil"/>
            </w:tcBorders>
          </w:tcPr>
          <w:p w:rsidR="002F45D1" w:rsidRDefault="002F45D1">
            <w:pPr>
              <w:spacing w:before="60" w:after="60"/>
              <w:ind w:right="-29"/>
              <w:jc w:val="center"/>
              <w:rPr>
                <w:noProof/>
                <w:sz w:val="18"/>
                <w:szCs w:val="18"/>
              </w:rPr>
            </w:pPr>
          </w:p>
        </w:tc>
      </w:tr>
      <w:tr w:rsidR="002F45D1">
        <w:trPr>
          <w:trHeight w:hRule="exact" w:val="369"/>
          <w:jc w:val="center"/>
        </w:trPr>
        <w:tc>
          <w:tcPr>
            <w:tcW w:w="1423" w:type="dxa"/>
          </w:tcPr>
          <w:p w:rsidR="002F45D1" w:rsidRDefault="00B75E8E">
            <w:pPr>
              <w:ind w:right="-29"/>
              <w:jc w:val="center"/>
              <w:rPr>
                <w:noProof/>
                <w:sz w:val="18"/>
                <w:szCs w:val="18"/>
              </w:rPr>
            </w:pPr>
            <w:r>
              <w:rPr>
                <w:noProof/>
                <w:sz w:val="18"/>
              </w:rPr>
              <w:t>- Резултат</w:t>
            </w:r>
          </w:p>
        </w:tc>
        <w:tc>
          <w:tcPr>
            <w:tcW w:w="720" w:type="dxa"/>
          </w:tcPr>
          <w:p w:rsidR="002F45D1" w:rsidRDefault="002F45D1">
            <w:pPr>
              <w:ind w:right="-29"/>
              <w:jc w:val="center"/>
              <w:rPr>
                <w:noProof/>
                <w:sz w:val="18"/>
                <w:szCs w:val="18"/>
              </w:rPr>
            </w:pPr>
          </w:p>
        </w:tc>
        <w:tc>
          <w:tcPr>
            <w:tcW w:w="701" w:type="dxa"/>
          </w:tcPr>
          <w:p w:rsidR="002F45D1" w:rsidRDefault="002F45D1">
            <w:pPr>
              <w:ind w:right="-29"/>
              <w:jc w:val="center"/>
              <w:rPr>
                <w:noProof/>
                <w:sz w:val="18"/>
                <w:szCs w:val="18"/>
              </w:rPr>
            </w:pPr>
          </w:p>
        </w:tc>
        <w:tc>
          <w:tcPr>
            <w:tcW w:w="504"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540"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720"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900" w:type="dxa"/>
            <w:tcBorders>
              <w:right w:val="dashSmallGap" w:sz="4" w:space="0" w:color="auto"/>
            </w:tcBorders>
          </w:tcPr>
          <w:p w:rsidR="002F45D1" w:rsidRDefault="002F45D1">
            <w:pPr>
              <w:ind w:right="-29"/>
              <w:jc w:val="center"/>
              <w:rPr>
                <w:noProof/>
                <w:sz w:val="18"/>
                <w:szCs w:val="18"/>
              </w:rPr>
            </w:pPr>
          </w:p>
        </w:tc>
        <w:tc>
          <w:tcPr>
            <w:tcW w:w="720" w:type="dxa"/>
            <w:gridSpan w:val="2"/>
            <w:tcBorders>
              <w:left w:val="dashSmallGap" w:sz="4" w:space="0" w:color="auto"/>
            </w:tcBorders>
          </w:tcPr>
          <w:p w:rsidR="002F45D1" w:rsidRDefault="002F45D1">
            <w:pPr>
              <w:ind w:right="-29"/>
              <w:jc w:val="center"/>
              <w:rPr>
                <w:noProof/>
                <w:sz w:val="18"/>
                <w:szCs w:val="18"/>
              </w:rPr>
            </w:pPr>
          </w:p>
        </w:tc>
        <w:tc>
          <w:tcPr>
            <w:tcW w:w="540" w:type="dxa"/>
            <w:tcBorders>
              <w:right w:val="dashSmallGap" w:sz="4" w:space="0" w:color="auto"/>
            </w:tcBorders>
          </w:tcPr>
          <w:p w:rsidR="002F45D1" w:rsidRDefault="002F45D1">
            <w:pPr>
              <w:ind w:right="-29"/>
              <w:jc w:val="center"/>
              <w:rPr>
                <w:noProof/>
                <w:sz w:val="18"/>
                <w:szCs w:val="18"/>
              </w:rPr>
            </w:pPr>
          </w:p>
        </w:tc>
        <w:tc>
          <w:tcPr>
            <w:tcW w:w="648" w:type="dxa"/>
            <w:tcBorders>
              <w:left w:val="dashSmallGap" w:sz="4" w:space="0" w:color="auto"/>
            </w:tcBorders>
          </w:tcPr>
          <w:p w:rsidR="002F45D1" w:rsidRDefault="002F45D1">
            <w:pPr>
              <w:ind w:right="-29"/>
              <w:jc w:val="center"/>
              <w:rPr>
                <w:noProof/>
                <w:sz w:val="18"/>
                <w:szCs w:val="18"/>
              </w:rPr>
            </w:pPr>
          </w:p>
        </w:tc>
        <w:tc>
          <w:tcPr>
            <w:tcW w:w="432"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540"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900" w:type="dxa"/>
          </w:tcPr>
          <w:p w:rsidR="002F45D1" w:rsidRDefault="002F45D1">
            <w:pPr>
              <w:ind w:right="-29"/>
              <w:jc w:val="center"/>
              <w:rPr>
                <w:noProof/>
                <w:sz w:val="18"/>
                <w:szCs w:val="18"/>
              </w:rPr>
            </w:pPr>
          </w:p>
        </w:tc>
      </w:tr>
      <w:tr w:rsidR="002F45D1">
        <w:trPr>
          <w:trHeight w:hRule="exact" w:val="369"/>
          <w:jc w:val="center"/>
        </w:trPr>
        <w:tc>
          <w:tcPr>
            <w:tcW w:w="1423" w:type="dxa"/>
          </w:tcPr>
          <w:p w:rsidR="002F45D1" w:rsidRDefault="00B75E8E">
            <w:pPr>
              <w:ind w:right="-29"/>
              <w:jc w:val="center"/>
              <w:rPr>
                <w:noProof/>
                <w:sz w:val="18"/>
                <w:szCs w:val="18"/>
              </w:rPr>
            </w:pPr>
            <w:r>
              <w:rPr>
                <w:noProof/>
                <w:sz w:val="18"/>
              </w:rPr>
              <w:t>- Резултат</w:t>
            </w:r>
          </w:p>
        </w:tc>
        <w:tc>
          <w:tcPr>
            <w:tcW w:w="720" w:type="dxa"/>
          </w:tcPr>
          <w:p w:rsidR="002F45D1" w:rsidRDefault="002F45D1">
            <w:pPr>
              <w:ind w:right="-29"/>
              <w:jc w:val="center"/>
              <w:rPr>
                <w:noProof/>
                <w:sz w:val="18"/>
                <w:szCs w:val="18"/>
              </w:rPr>
            </w:pPr>
          </w:p>
        </w:tc>
        <w:tc>
          <w:tcPr>
            <w:tcW w:w="701" w:type="dxa"/>
          </w:tcPr>
          <w:p w:rsidR="002F45D1" w:rsidRDefault="002F45D1">
            <w:pPr>
              <w:ind w:right="-29"/>
              <w:jc w:val="center"/>
              <w:rPr>
                <w:noProof/>
                <w:sz w:val="18"/>
                <w:szCs w:val="18"/>
              </w:rPr>
            </w:pPr>
          </w:p>
        </w:tc>
        <w:tc>
          <w:tcPr>
            <w:tcW w:w="504"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540"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720"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900" w:type="dxa"/>
            <w:tcBorders>
              <w:right w:val="dashSmallGap" w:sz="4" w:space="0" w:color="auto"/>
            </w:tcBorders>
          </w:tcPr>
          <w:p w:rsidR="002F45D1" w:rsidRDefault="002F45D1">
            <w:pPr>
              <w:ind w:right="-29"/>
              <w:jc w:val="center"/>
              <w:rPr>
                <w:noProof/>
                <w:sz w:val="18"/>
                <w:szCs w:val="18"/>
              </w:rPr>
            </w:pPr>
          </w:p>
        </w:tc>
        <w:tc>
          <w:tcPr>
            <w:tcW w:w="720" w:type="dxa"/>
            <w:gridSpan w:val="2"/>
            <w:tcBorders>
              <w:left w:val="dashSmallGap" w:sz="4" w:space="0" w:color="auto"/>
            </w:tcBorders>
          </w:tcPr>
          <w:p w:rsidR="002F45D1" w:rsidRDefault="002F45D1">
            <w:pPr>
              <w:ind w:right="-29"/>
              <w:jc w:val="center"/>
              <w:rPr>
                <w:noProof/>
                <w:sz w:val="18"/>
                <w:szCs w:val="18"/>
              </w:rPr>
            </w:pPr>
          </w:p>
        </w:tc>
        <w:tc>
          <w:tcPr>
            <w:tcW w:w="540" w:type="dxa"/>
            <w:tcBorders>
              <w:right w:val="dashSmallGap" w:sz="4" w:space="0" w:color="auto"/>
            </w:tcBorders>
          </w:tcPr>
          <w:p w:rsidR="002F45D1" w:rsidRDefault="002F45D1">
            <w:pPr>
              <w:ind w:right="-29"/>
              <w:jc w:val="center"/>
              <w:rPr>
                <w:noProof/>
                <w:sz w:val="18"/>
                <w:szCs w:val="18"/>
              </w:rPr>
            </w:pPr>
          </w:p>
        </w:tc>
        <w:tc>
          <w:tcPr>
            <w:tcW w:w="648" w:type="dxa"/>
            <w:tcBorders>
              <w:left w:val="dashSmallGap" w:sz="4" w:space="0" w:color="auto"/>
            </w:tcBorders>
          </w:tcPr>
          <w:p w:rsidR="002F45D1" w:rsidRDefault="002F45D1">
            <w:pPr>
              <w:ind w:right="-29"/>
              <w:jc w:val="center"/>
              <w:rPr>
                <w:noProof/>
                <w:sz w:val="18"/>
                <w:szCs w:val="18"/>
              </w:rPr>
            </w:pPr>
          </w:p>
        </w:tc>
        <w:tc>
          <w:tcPr>
            <w:tcW w:w="432"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540" w:type="dxa"/>
            <w:tcBorders>
              <w:right w:val="dashSmallGap" w:sz="4" w:space="0" w:color="auto"/>
            </w:tcBorders>
          </w:tcPr>
          <w:p w:rsidR="002F45D1" w:rsidRDefault="002F45D1">
            <w:pPr>
              <w:ind w:right="-29"/>
              <w:jc w:val="center"/>
              <w:rPr>
                <w:noProof/>
                <w:sz w:val="18"/>
                <w:szCs w:val="18"/>
              </w:rPr>
            </w:pPr>
          </w:p>
        </w:tc>
        <w:tc>
          <w:tcPr>
            <w:tcW w:w="720" w:type="dxa"/>
            <w:tcBorders>
              <w:left w:val="dashSmallGap" w:sz="4" w:space="0" w:color="auto"/>
            </w:tcBorders>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900" w:type="dxa"/>
          </w:tcPr>
          <w:p w:rsidR="002F45D1" w:rsidRDefault="002F45D1">
            <w:pPr>
              <w:ind w:right="-29"/>
              <w:jc w:val="center"/>
              <w:rPr>
                <w:noProof/>
                <w:sz w:val="18"/>
                <w:szCs w:val="18"/>
              </w:rPr>
            </w:pPr>
          </w:p>
        </w:tc>
      </w:tr>
      <w:tr w:rsidR="002F45D1">
        <w:trPr>
          <w:trHeight w:hRule="exact" w:val="369"/>
          <w:jc w:val="center"/>
        </w:trPr>
        <w:tc>
          <w:tcPr>
            <w:tcW w:w="1423" w:type="dxa"/>
          </w:tcPr>
          <w:p w:rsidR="002F45D1" w:rsidRDefault="00B75E8E">
            <w:pPr>
              <w:ind w:right="-29"/>
              <w:jc w:val="center"/>
              <w:rPr>
                <w:noProof/>
                <w:sz w:val="18"/>
                <w:szCs w:val="18"/>
              </w:rPr>
            </w:pPr>
            <w:r>
              <w:rPr>
                <w:noProof/>
                <w:sz w:val="18"/>
              </w:rPr>
              <w:t>- Резултат</w:t>
            </w:r>
          </w:p>
        </w:tc>
        <w:tc>
          <w:tcPr>
            <w:tcW w:w="720" w:type="dxa"/>
          </w:tcPr>
          <w:p w:rsidR="002F45D1" w:rsidRDefault="002F45D1">
            <w:pPr>
              <w:ind w:right="-29"/>
              <w:jc w:val="center"/>
              <w:rPr>
                <w:noProof/>
                <w:sz w:val="18"/>
                <w:szCs w:val="18"/>
              </w:rPr>
            </w:pPr>
          </w:p>
        </w:tc>
        <w:tc>
          <w:tcPr>
            <w:tcW w:w="701" w:type="dxa"/>
          </w:tcPr>
          <w:p w:rsidR="002F45D1" w:rsidRDefault="002F45D1">
            <w:pPr>
              <w:ind w:right="-29"/>
              <w:jc w:val="center"/>
              <w:rPr>
                <w:noProof/>
                <w:sz w:val="18"/>
                <w:szCs w:val="18"/>
              </w:rPr>
            </w:pPr>
          </w:p>
        </w:tc>
        <w:tc>
          <w:tcPr>
            <w:tcW w:w="504"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54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900" w:type="dxa"/>
          </w:tcPr>
          <w:p w:rsidR="002F45D1" w:rsidRDefault="002F45D1">
            <w:pPr>
              <w:ind w:right="-29"/>
              <w:jc w:val="center"/>
              <w:rPr>
                <w:noProof/>
                <w:sz w:val="18"/>
                <w:szCs w:val="18"/>
              </w:rPr>
            </w:pPr>
          </w:p>
        </w:tc>
        <w:tc>
          <w:tcPr>
            <w:tcW w:w="720" w:type="dxa"/>
            <w:gridSpan w:val="2"/>
          </w:tcPr>
          <w:p w:rsidR="002F45D1" w:rsidRDefault="002F45D1">
            <w:pPr>
              <w:ind w:right="-29"/>
              <w:jc w:val="center"/>
              <w:rPr>
                <w:noProof/>
                <w:sz w:val="18"/>
                <w:szCs w:val="18"/>
              </w:rPr>
            </w:pPr>
          </w:p>
        </w:tc>
        <w:tc>
          <w:tcPr>
            <w:tcW w:w="540" w:type="dxa"/>
          </w:tcPr>
          <w:p w:rsidR="002F45D1" w:rsidRDefault="002F45D1">
            <w:pPr>
              <w:ind w:right="-29"/>
              <w:jc w:val="center"/>
              <w:rPr>
                <w:noProof/>
                <w:sz w:val="18"/>
                <w:szCs w:val="18"/>
              </w:rPr>
            </w:pPr>
          </w:p>
        </w:tc>
        <w:tc>
          <w:tcPr>
            <w:tcW w:w="648" w:type="dxa"/>
          </w:tcPr>
          <w:p w:rsidR="002F45D1" w:rsidRDefault="002F45D1">
            <w:pPr>
              <w:ind w:right="-29"/>
              <w:jc w:val="center"/>
              <w:rPr>
                <w:noProof/>
                <w:sz w:val="18"/>
                <w:szCs w:val="18"/>
              </w:rPr>
            </w:pPr>
          </w:p>
        </w:tc>
        <w:tc>
          <w:tcPr>
            <w:tcW w:w="432"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54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900" w:type="dxa"/>
          </w:tcPr>
          <w:p w:rsidR="002F45D1" w:rsidRDefault="002F45D1">
            <w:pPr>
              <w:ind w:right="-29"/>
              <w:jc w:val="center"/>
              <w:rPr>
                <w:noProof/>
                <w:sz w:val="18"/>
                <w:szCs w:val="18"/>
              </w:rPr>
            </w:pPr>
          </w:p>
        </w:tc>
      </w:tr>
      <w:tr w:rsidR="002F45D1">
        <w:trPr>
          <w:jc w:val="center"/>
        </w:trPr>
        <w:tc>
          <w:tcPr>
            <w:tcW w:w="2844" w:type="dxa"/>
            <w:gridSpan w:val="3"/>
            <w:tcBorders>
              <w:bottom w:val="single" w:sz="12" w:space="0" w:color="auto"/>
            </w:tcBorders>
            <w:vAlign w:val="center"/>
          </w:tcPr>
          <w:p w:rsidR="002F45D1" w:rsidRDefault="00B75E8E">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54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900" w:type="dxa"/>
            <w:tcBorders>
              <w:bottom w:val="single" w:sz="12" w:space="0" w:color="auto"/>
            </w:tcBorders>
          </w:tcPr>
          <w:p w:rsidR="002F45D1" w:rsidRDefault="002F45D1">
            <w:pPr>
              <w:ind w:right="-29"/>
              <w:jc w:val="center"/>
              <w:rPr>
                <w:noProof/>
                <w:sz w:val="18"/>
                <w:szCs w:val="18"/>
              </w:rPr>
            </w:pPr>
          </w:p>
        </w:tc>
        <w:tc>
          <w:tcPr>
            <w:tcW w:w="720" w:type="dxa"/>
            <w:gridSpan w:val="2"/>
            <w:tcBorders>
              <w:bottom w:val="single" w:sz="12" w:space="0" w:color="auto"/>
            </w:tcBorders>
          </w:tcPr>
          <w:p w:rsidR="002F45D1" w:rsidRDefault="002F45D1">
            <w:pPr>
              <w:ind w:right="-29"/>
              <w:jc w:val="center"/>
              <w:rPr>
                <w:noProof/>
                <w:sz w:val="18"/>
                <w:szCs w:val="18"/>
              </w:rPr>
            </w:pPr>
          </w:p>
        </w:tc>
        <w:tc>
          <w:tcPr>
            <w:tcW w:w="540" w:type="dxa"/>
            <w:tcBorders>
              <w:bottom w:val="single" w:sz="12" w:space="0" w:color="auto"/>
            </w:tcBorders>
          </w:tcPr>
          <w:p w:rsidR="002F45D1" w:rsidRDefault="002F45D1">
            <w:pPr>
              <w:ind w:right="-29"/>
              <w:jc w:val="center"/>
              <w:rPr>
                <w:noProof/>
                <w:sz w:val="18"/>
                <w:szCs w:val="18"/>
              </w:rPr>
            </w:pPr>
          </w:p>
        </w:tc>
        <w:tc>
          <w:tcPr>
            <w:tcW w:w="648" w:type="dxa"/>
            <w:tcBorders>
              <w:bottom w:val="single" w:sz="12" w:space="0" w:color="auto"/>
            </w:tcBorders>
          </w:tcPr>
          <w:p w:rsidR="002F45D1" w:rsidRDefault="002F45D1">
            <w:pPr>
              <w:ind w:right="-29"/>
              <w:jc w:val="center"/>
              <w:rPr>
                <w:noProof/>
                <w:sz w:val="18"/>
                <w:szCs w:val="18"/>
              </w:rPr>
            </w:pPr>
          </w:p>
        </w:tc>
        <w:tc>
          <w:tcPr>
            <w:tcW w:w="432"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54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900" w:type="dxa"/>
            <w:tcBorders>
              <w:bottom w:val="single" w:sz="12" w:space="0" w:color="auto"/>
            </w:tcBorders>
          </w:tcPr>
          <w:p w:rsidR="002F45D1" w:rsidRDefault="002F45D1">
            <w:pPr>
              <w:ind w:right="-29"/>
              <w:jc w:val="center"/>
              <w:rPr>
                <w:noProof/>
                <w:sz w:val="18"/>
                <w:szCs w:val="18"/>
              </w:rPr>
            </w:pPr>
          </w:p>
        </w:tc>
      </w:tr>
      <w:tr w:rsidR="002F45D1">
        <w:trPr>
          <w:jc w:val="center"/>
        </w:trPr>
        <w:tc>
          <w:tcPr>
            <w:tcW w:w="2844" w:type="dxa"/>
            <w:gridSpan w:val="3"/>
            <w:vAlign w:val="center"/>
          </w:tcPr>
          <w:p w:rsidR="002F45D1" w:rsidRDefault="00B75E8E">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54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90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gridSpan w:val="2"/>
            <w:tcBorders>
              <w:top w:val="nil"/>
              <w:left w:val="nil"/>
              <w:bottom w:val="nil"/>
              <w:right w:val="nil"/>
            </w:tcBorders>
          </w:tcPr>
          <w:p w:rsidR="002F45D1" w:rsidRDefault="002F45D1">
            <w:pPr>
              <w:spacing w:before="60" w:after="60"/>
              <w:ind w:right="-29"/>
              <w:jc w:val="center"/>
              <w:rPr>
                <w:noProof/>
                <w:sz w:val="18"/>
                <w:szCs w:val="18"/>
              </w:rPr>
            </w:pPr>
          </w:p>
        </w:tc>
        <w:tc>
          <w:tcPr>
            <w:tcW w:w="540" w:type="dxa"/>
            <w:tcBorders>
              <w:top w:val="nil"/>
              <w:left w:val="nil"/>
              <w:bottom w:val="nil"/>
              <w:right w:val="nil"/>
            </w:tcBorders>
          </w:tcPr>
          <w:p w:rsidR="002F45D1" w:rsidRDefault="002F45D1">
            <w:pPr>
              <w:spacing w:before="60" w:after="60"/>
              <w:ind w:right="-29"/>
              <w:jc w:val="center"/>
              <w:rPr>
                <w:noProof/>
                <w:sz w:val="18"/>
                <w:szCs w:val="18"/>
              </w:rPr>
            </w:pPr>
          </w:p>
        </w:tc>
        <w:tc>
          <w:tcPr>
            <w:tcW w:w="648" w:type="dxa"/>
            <w:tcBorders>
              <w:top w:val="nil"/>
              <w:left w:val="nil"/>
              <w:bottom w:val="nil"/>
              <w:right w:val="nil"/>
            </w:tcBorders>
          </w:tcPr>
          <w:p w:rsidR="002F45D1" w:rsidRDefault="002F45D1">
            <w:pPr>
              <w:spacing w:before="60" w:after="60"/>
              <w:ind w:right="-29"/>
              <w:jc w:val="center"/>
              <w:rPr>
                <w:noProof/>
                <w:sz w:val="18"/>
                <w:szCs w:val="18"/>
              </w:rPr>
            </w:pPr>
          </w:p>
        </w:tc>
        <w:tc>
          <w:tcPr>
            <w:tcW w:w="432"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54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720" w:type="dxa"/>
            <w:tcBorders>
              <w:top w:val="nil"/>
              <w:left w:val="nil"/>
              <w:bottom w:val="nil"/>
              <w:right w:val="nil"/>
            </w:tcBorders>
          </w:tcPr>
          <w:p w:rsidR="002F45D1" w:rsidRDefault="002F45D1">
            <w:pPr>
              <w:spacing w:before="60" w:after="60"/>
              <w:ind w:right="-29"/>
              <w:jc w:val="center"/>
              <w:rPr>
                <w:noProof/>
                <w:sz w:val="18"/>
                <w:szCs w:val="18"/>
              </w:rPr>
            </w:pPr>
          </w:p>
        </w:tc>
        <w:tc>
          <w:tcPr>
            <w:tcW w:w="900" w:type="dxa"/>
            <w:tcBorders>
              <w:top w:val="nil"/>
              <w:left w:val="nil"/>
              <w:bottom w:val="nil"/>
              <w:right w:val="nil"/>
            </w:tcBorders>
          </w:tcPr>
          <w:p w:rsidR="002F45D1" w:rsidRDefault="002F45D1">
            <w:pPr>
              <w:spacing w:before="60" w:after="60"/>
              <w:ind w:right="-29"/>
              <w:jc w:val="center"/>
              <w:rPr>
                <w:noProof/>
                <w:sz w:val="18"/>
                <w:szCs w:val="18"/>
              </w:rPr>
            </w:pPr>
          </w:p>
        </w:tc>
      </w:tr>
      <w:tr w:rsidR="002F45D1">
        <w:trPr>
          <w:trHeight w:hRule="exact" w:val="369"/>
          <w:jc w:val="center"/>
        </w:trPr>
        <w:tc>
          <w:tcPr>
            <w:tcW w:w="1423" w:type="dxa"/>
          </w:tcPr>
          <w:p w:rsidR="002F45D1" w:rsidRDefault="00B75E8E">
            <w:pPr>
              <w:ind w:right="-29"/>
              <w:jc w:val="center"/>
              <w:rPr>
                <w:noProof/>
                <w:sz w:val="18"/>
                <w:szCs w:val="18"/>
              </w:rPr>
            </w:pPr>
            <w:r>
              <w:rPr>
                <w:noProof/>
                <w:sz w:val="18"/>
              </w:rPr>
              <w:t>- Резултат</w:t>
            </w:r>
          </w:p>
        </w:tc>
        <w:tc>
          <w:tcPr>
            <w:tcW w:w="720" w:type="dxa"/>
          </w:tcPr>
          <w:p w:rsidR="002F45D1" w:rsidRDefault="002F45D1">
            <w:pPr>
              <w:ind w:right="-29"/>
              <w:jc w:val="center"/>
              <w:rPr>
                <w:noProof/>
                <w:sz w:val="18"/>
                <w:szCs w:val="18"/>
              </w:rPr>
            </w:pPr>
          </w:p>
        </w:tc>
        <w:tc>
          <w:tcPr>
            <w:tcW w:w="701" w:type="dxa"/>
          </w:tcPr>
          <w:p w:rsidR="002F45D1" w:rsidRDefault="002F45D1">
            <w:pPr>
              <w:ind w:right="-29"/>
              <w:jc w:val="center"/>
              <w:rPr>
                <w:noProof/>
                <w:sz w:val="18"/>
                <w:szCs w:val="18"/>
              </w:rPr>
            </w:pPr>
          </w:p>
        </w:tc>
        <w:tc>
          <w:tcPr>
            <w:tcW w:w="504"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54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900" w:type="dxa"/>
          </w:tcPr>
          <w:p w:rsidR="002F45D1" w:rsidRDefault="002F45D1">
            <w:pPr>
              <w:ind w:right="-29"/>
              <w:jc w:val="center"/>
              <w:rPr>
                <w:noProof/>
                <w:sz w:val="18"/>
                <w:szCs w:val="18"/>
              </w:rPr>
            </w:pPr>
          </w:p>
        </w:tc>
        <w:tc>
          <w:tcPr>
            <w:tcW w:w="720" w:type="dxa"/>
            <w:gridSpan w:val="2"/>
          </w:tcPr>
          <w:p w:rsidR="002F45D1" w:rsidRDefault="002F45D1">
            <w:pPr>
              <w:ind w:right="-29"/>
              <w:jc w:val="center"/>
              <w:rPr>
                <w:noProof/>
                <w:sz w:val="18"/>
                <w:szCs w:val="18"/>
              </w:rPr>
            </w:pPr>
          </w:p>
        </w:tc>
        <w:tc>
          <w:tcPr>
            <w:tcW w:w="540" w:type="dxa"/>
          </w:tcPr>
          <w:p w:rsidR="002F45D1" w:rsidRDefault="002F45D1">
            <w:pPr>
              <w:ind w:right="-29"/>
              <w:jc w:val="center"/>
              <w:rPr>
                <w:noProof/>
                <w:sz w:val="18"/>
                <w:szCs w:val="18"/>
              </w:rPr>
            </w:pPr>
          </w:p>
        </w:tc>
        <w:tc>
          <w:tcPr>
            <w:tcW w:w="648" w:type="dxa"/>
          </w:tcPr>
          <w:p w:rsidR="002F45D1" w:rsidRDefault="002F45D1">
            <w:pPr>
              <w:ind w:right="-29"/>
              <w:jc w:val="center"/>
              <w:rPr>
                <w:noProof/>
                <w:sz w:val="18"/>
                <w:szCs w:val="18"/>
              </w:rPr>
            </w:pPr>
          </w:p>
        </w:tc>
        <w:tc>
          <w:tcPr>
            <w:tcW w:w="432"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54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720" w:type="dxa"/>
          </w:tcPr>
          <w:p w:rsidR="002F45D1" w:rsidRDefault="002F45D1">
            <w:pPr>
              <w:ind w:right="-29"/>
              <w:jc w:val="center"/>
              <w:rPr>
                <w:noProof/>
                <w:sz w:val="18"/>
                <w:szCs w:val="18"/>
              </w:rPr>
            </w:pPr>
          </w:p>
        </w:tc>
        <w:tc>
          <w:tcPr>
            <w:tcW w:w="900" w:type="dxa"/>
          </w:tcPr>
          <w:p w:rsidR="002F45D1" w:rsidRDefault="002F45D1">
            <w:pPr>
              <w:ind w:right="-29"/>
              <w:jc w:val="center"/>
              <w:rPr>
                <w:noProof/>
                <w:sz w:val="18"/>
                <w:szCs w:val="18"/>
              </w:rPr>
            </w:pPr>
          </w:p>
        </w:tc>
      </w:tr>
      <w:tr w:rsidR="002F45D1">
        <w:trPr>
          <w:jc w:val="center"/>
        </w:trPr>
        <w:tc>
          <w:tcPr>
            <w:tcW w:w="2844" w:type="dxa"/>
            <w:gridSpan w:val="3"/>
            <w:tcBorders>
              <w:bottom w:val="single" w:sz="12" w:space="0" w:color="auto"/>
            </w:tcBorders>
            <w:vAlign w:val="center"/>
          </w:tcPr>
          <w:p w:rsidR="002F45D1" w:rsidRDefault="00B75E8E">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54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951" w:type="dxa"/>
            <w:gridSpan w:val="2"/>
            <w:tcBorders>
              <w:bottom w:val="single" w:sz="12" w:space="0" w:color="auto"/>
            </w:tcBorders>
          </w:tcPr>
          <w:p w:rsidR="002F45D1" w:rsidRDefault="002F45D1">
            <w:pPr>
              <w:ind w:right="-29"/>
              <w:jc w:val="center"/>
              <w:rPr>
                <w:noProof/>
                <w:sz w:val="18"/>
                <w:szCs w:val="18"/>
              </w:rPr>
            </w:pPr>
          </w:p>
        </w:tc>
        <w:tc>
          <w:tcPr>
            <w:tcW w:w="669" w:type="dxa"/>
            <w:tcBorders>
              <w:bottom w:val="single" w:sz="12" w:space="0" w:color="auto"/>
            </w:tcBorders>
          </w:tcPr>
          <w:p w:rsidR="002F45D1" w:rsidRDefault="002F45D1">
            <w:pPr>
              <w:ind w:right="-29"/>
              <w:jc w:val="center"/>
              <w:rPr>
                <w:noProof/>
                <w:sz w:val="18"/>
                <w:szCs w:val="18"/>
              </w:rPr>
            </w:pPr>
          </w:p>
        </w:tc>
        <w:tc>
          <w:tcPr>
            <w:tcW w:w="540" w:type="dxa"/>
            <w:tcBorders>
              <w:bottom w:val="single" w:sz="12" w:space="0" w:color="auto"/>
            </w:tcBorders>
          </w:tcPr>
          <w:p w:rsidR="002F45D1" w:rsidRDefault="002F45D1">
            <w:pPr>
              <w:ind w:right="-29"/>
              <w:jc w:val="center"/>
              <w:rPr>
                <w:noProof/>
                <w:sz w:val="18"/>
                <w:szCs w:val="18"/>
              </w:rPr>
            </w:pPr>
          </w:p>
        </w:tc>
        <w:tc>
          <w:tcPr>
            <w:tcW w:w="648" w:type="dxa"/>
            <w:tcBorders>
              <w:bottom w:val="single" w:sz="12" w:space="0" w:color="auto"/>
            </w:tcBorders>
          </w:tcPr>
          <w:p w:rsidR="002F45D1" w:rsidRDefault="002F45D1">
            <w:pPr>
              <w:ind w:right="-29"/>
              <w:jc w:val="center"/>
              <w:rPr>
                <w:noProof/>
                <w:sz w:val="18"/>
                <w:szCs w:val="18"/>
              </w:rPr>
            </w:pPr>
          </w:p>
        </w:tc>
        <w:tc>
          <w:tcPr>
            <w:tcW w:w="432"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54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720" w:type="dxa"/>
            <w:tcBorders>
              <w:bottom w:val="single" w:sz="12" w:space="0" w:color="auto"/>
            </w:tcBorders>
          </w:tcPr>
          <w:p w:rsidR="002F45D1" w:rsidRDefault="002F45D1">
            <w:pPr>
              <w:ind w:right="-29"/>
              <w:jc w:val="center"/>
              <w:rPr>
                <w:noProof/>
                <w:sz w:val="18"/>
                <w:szCs w:val="18"/>
              </w:rPr>
            </w:pPr>
          </w:p>
        </w:tc>
        <w:tc>
          <w:tcPr>
            <w:tcW w:w="900" w:type="dxa"/>
            <w:tcBorders>
              <w:bottom w:val="single" w:sz="12" w:space="0" w:color="auto"/>
            </w:tcBorders>
          </w:tcPr>
          <w:p w:rsidR="002F45D1" w:rsidRDefault="002F45D1">
            <w:pPr>
              <w:ind w:right="-29"/>
              <w:jc w:val="center"/>
              <w:rPr>
                <w:noProof/>
                <w:sz w:val="18"/>
                <w:szCs w:val="18"/>
              </w:rPr>
            </w:pPr>
          </w:p>
        </w:tc>
      </w:tr>
      <w:tr w:rsidR="002F45D1">
        <w:trPr>
          <w:jc w:val="center"/>
        </w:trPr>
        <w:tc>
          <w:tcPr>
            <w:tcW w:w="2844" w:type="dxa"/>
            <w:gridSpan w:val="3"/>
            <w:tcBorders>
              <w:top w:val="single" w:sz="12" w:space="0" w:color="auto"/>
              <w:left w:val="single" w:sz="12" w:space="0" w:color="auto"/>
              <w:bottom w:val="single" w:sz="12" w:space="0" w:color="auto"/>
            </w:tcBorders>
            <w:vAlign w:val="center"/>
          </w:tcPr>
          <w:p w:rsidR="002F45D1" w:rsidRDefault="00B75E8E">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72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54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72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72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72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90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54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648"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432"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72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54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72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720" w:type="dxa"/>
            <w:tcBorders>
              <w:top w:val="single" w:sz="12" w:space="0" w:color="auto"/>
              <w:bottom w:val="single" w:sz="12" w:space="0" w:color="auto"/>
            </w:tcBorders>
          </w:tcPr>
          <w:p w:rsidR="002F45D1" w:rsidRDefault="002F45D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2F45D1" w:rsidRDefault="002F45D1">
            <w:pPr>
              <w:spacing w:before="180" w:after="180"/>
              <w:ind w:right="-29"/>
              <w:jc w:val="center"/>
              <w:rPr>
                <w:noProof/>
                <w:sz w:val="18"/>
                <w:szCs w:val="18"/>
              </w:rPr>
            </w:pPr>
          </w:p>
        </w:tc>
      </w:tr>
    </w:tbl>
    <w:p w:rsidR="002F45D1" w:rsidRDefault="002F45D1">
      <w:pPr>
        <w:pStyle w:val="ListParagraph"/>
        <w:ind w:left="360"/>
        <w:rPr>
          <w:rFonts w:ascii="Times New Roman" w:hAnsi="Times New Roman"/>
          <w:b/>
          <w:noProof/>
          <w:sz w:val="18"/>
        </w:rPr>
        <w:sectPr w:rsidR="002F45D1">
          <w:pgSz w:w="16840" w:h="11907" w:orient="landscape"/>
          <w:pgMar w:top="1418" w:right="1134" w:bottom="1418" w:left="1134" w:header="709" w:footer="709" w:gutter="0"/>
          <w:cols w:space="708"/>
          <w:docGrid w:linePitch="360"/>
        </w:sectPr>
      </w:pPr>
    </w:p>
    <w:p w:rsidR="002F45D1" w:rsidRDefault="00B75E8E">
      <w:pPr>
        <w:pStyle w:val="ListParagraph"/>
        <w:ind w:left="360"/>
        <w:rPr>
          <w:rFonts w:ascii="Times New Roman" w:hAnsi="Times New Roman"/>
          <w:b/>
          <w:noProof/>
        </w:rPr>
      </w:pPr>
      <w:r>
        <w:rPr>
          <w:rFonts w:ascii="Times New Roman" w:hAnsi="Times New Roman"/>
          <w:b/>
          <w:noProof/>
          <w:sz w:val="18"/>
        </w:rPr>
        <w:t xml:space="preserve">БЕЛЕЖКА </w:t>
      </w:r>
    </w:p>
    <w:p w:rsidR="002F45D1" w:rsidRDefault="00B75E8E">
      <w:pPr>
        <w:ind w:left="360"/>
        <w:rPr>
          <w:noProof/>
          <w:sz w:val="20"/>
          <w:szCs w:val="20"/>
        </w:rPr>
      </w:pPr>
      <w:r>
        <w:rPr>
          <w:noProof/>
          <w:sz w:val="20"/>
        </w:rPr>
        <w:t xml:space="preserve">Очакваният положителен резултат от настоящото предложение е, че i) държавите членки ще получат информация относно данъчните решения, постановени в други държави, което ще им позволи да заемат информирана позиция и да </w:t>
      </w:r>
      <w:r>
        <w:rPr>
          <w:noProof/>
          <w:sz w:val="20"/>
        </w:rPr>
        <w:t>предприемат по свое усмотрение мерки за противодействие; ii) широката общественост може да счете мярката като активна стъпка, за да се гарантира, че всички данъкоплатци заплащат дължимите от тях данъци; iii) под въздействие на обществените очаквания е възм</w:t>
      </w:r>
      <w:r>
        <w:rPr>
          <w:noProof/>
          <w:sz w:val="20"/>
        </w:rPr>
        <w:t>ожно държавите членки да променят практиките си за издаване на данъчни становища; iv) дружествата може да ограничат структурите си за агресивно данъчно планиране. Макар че държавите членки, издаващи данъчните становища, ще бъдат изправени пред по-голяма ад</w:t>
      </w:r>
      <w:r>
        <w:rPr>
          <w:noProof/>
          <w:sz w:val="20"/>
        </w:rPr>
        <w:t>министративна тежест и разходи за привеждане в съответствие, които са пряко свързани с предоставяне на информация относно издадените становища, тези разходи се очаква да бъдат ограничени, като се има предвид ограниченият обхват на информацията, която трябв</w:t>
      </w:r>
      <w:r>
        <w:rPr>
          <w:noProof/>
          <w:sz w:val="20"/>
        </w:rPr>
        <w:t>а да се предостави. Освен това информацията следва вече да се предоставя (т.е. предложението до голяма степен просто пояснява и потвърждава съществуващите задълженията за обмен на информация).</w:t>
      </w:r>
    </w:p>
    <w:p w:rsidR="002F45D1" w:rsidRDefault="00B75E8E">
      <w:pPr>
        <w:pStyle w:val="ManualHeading3"/>
        <w:rPr>
          <w:bCs/>
          <w:noProof/>
          <w:szCs w:val="24"/>
        </w:rPr>
      </w:pPr>
      <w:r>
        <w:t>3.2.3.</w:t>
      </w:r>
      <w:r>
        <w:tab/>
      </w:r>
      <w:r>
        <w:rPr>
          <w:noProof/>
        </w:rPr>
        <w:t>Очаквано отражение върху бюджетните кредити за администр</w:t>
      </w:r>
      <w:r>
        <w:rPr>
          <w:noProof/>
        </w:rPr>
        <w:t>ативни разходи</w:t>
      </w:r>
    </w:p>
    <w:p w:rsidR="002F45D1" w:rsidRDefault="00B75E8E">
      <w:pPr>
        <w:pStyle w:val="ManualHeading4"/>
        <w:rPr>
          <w:noProof/>
        </w:rPr>
      </w:pPr>
      <w:r>
        <w:t>3.2.3.1.</w:t>
      </w:r>
      <w:r>
        <w:tab/>
      </w:r>
      <w:r>
        <w:rPr>
          <w:noProof/>
        </w:rPr>
        <w:t xml:space="preserve">Обобщение </w:t>
      </w:r>
    </w:p>
    <w:p w:rsidR="002F45D1" w:rsidRDefault="00B75E8E">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rsidR="002F45D1" w:rsidRDefault="00B75E8E">
      <w:pPr>
        <w:pStyle w:val="ListDash1"/>
        <w:rPr>
          <w:noProof/>
        </w:rPr>
      </w:pPr>
      <w:r>
        <w:rPr>
          <w:noProof/>
        </w:rPr>
        <w:t xml:space="preserve"> </w:t>
      </w:r>
      <w:r>
        <w:rPr>
          <w:noProof/>
        </w:rPr>
        <w:sym w:font="Wingdings" w:char="F0FD"/>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rsidR="002F45D1" w:rsidRDefault="00B75E8E">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2F45D1">
        <w:trPr>
          <w:trHeight w:val="585"/>
        </w:trPr>
        <w:tc>
          <w:tcPr>
            <w:tcW w:w="1980" w:type="dxa"/>
          </w:tcPr>
          <w:p w:rsidR="002F45D1" w:rsidRDefault="002F45D1">
            <w:pPr>
              <w:spacing w:before="60" w:after="60" w:line="200" w:lineRule="exact"/>
              <w:rPr>
                <w:noProof/>
                <w:sz w:val="16"/>
                <w:szCs w:val="16"/>
              </w:rPr>
            </w:pPr>
          </w:p>
        </w:tc>
        <w:tc>
          <w:tcPr>
            <w:tcW w:w="1080" w:type="dxa"/>
            <w:vAlign w:val="center"/>
          </w:tcPr>
          <w:p w:rsidR="002F45D1" w:rsidRDefault="00B75E8E">
            <w:pPr>
              <w:spacing w:before="60" w:after="60" w:line="200" w:lineRule="exact"/>
              <w:jc w:val="center"/>
              <w:rPr>
                <w:noProof/>
                <w:sz w:val="16"/>
                <w:szCs w:val="16"/>
              </w:rPr>
            </w:pPr>
            <w:r>
              <w:rPr>
                <w:noProof/>
              </w:rPr>
              <w:t>Година</w:t>
            </w:r>
            <w:r>
              <w:rPr>
                <w:b/>
                <w:noProof/>
                <w:sz w:val="16"/>
              </w:rPr>
              <w:t>2016</w:t>
            </w:r>
            <w:r>
              <w:rPr>
                <w:rStyle w:val="FootnoteReference"/>
                <w:b/>
                <w:noProof/>
                <w:sz w:val="16"/>
              </w:rPr>
              <w:footnoteReference w:id="26"/>
            </w:r>
          </w:p>
        </w:tc>
        <w:tc>
          <w:tcPr>
            <w:tcW w:w="1080" w:type="dxa"/>
            <w:vAlign w:val="center"/>
          </w:tcPr>
          <w:p w:rsidR="002F45D1" w:rsidRDefault="00B75E8E">
            <w:pPr>
              <w:spacing w:before="60" w:after="60" w:line="200" w:lineRule="exact"/>
              <w:jc w:val="center"/>
              <w:rPr>
                <w:noProof/>
                <w:sz w:val="16"/>
                <w:szCs w:val="16"/>
              </w:rPr>
            </w:pPr>
            <w:r>
              <w:rPr>
                <w:noProof/>
              </w:rPr>
              <w:t>Година</w:t>
            </w:r>
            <w:r>
              <w:rPr>
                <w:b/>
                <w:noProof/>
                <w:sz w:val="16"/>
              </w:rPr>
              <w:t>2017</w:t>
            </w:r>
          </w:p>
        </w:tc>
        <w:tc>
          <w:tcPr>
            <w:tcW w:w="1080" w:type="dxa"/>
            <w:vAlign w:val="center"/>
          </w:tcPr>
          <w:p w:rsidR="002F45D1" w:rsidRDefault="00B75E8E">
            <w:pPr>
              <w:spacing w:before="60" w:after="60" w:line="200" w:lineRule="exact"/>
              <w:jc w:val="center"/>
              <w:rPr>
                <w:noProof/>
                <w:sz w:val="16"/>
                <w:szCs w:val="16"/>
              </w:rPr>
            </w:pPr>
            <w:r>
              <w:rPr>
                <w:noProof/>
              </w:rPr>
              <w:t>Година</w:t>
            </w:r>
            <w:r>
              <w:rPr>
                <w:b/>
                <w:noProof/>
                <w:sz w:val="16"/>
              </w:rPr>
              <w:t>2018</w:t>
            </w:r>
          </w:p>
        </w:tc>
        <w:tc>
          <w:tcPr>
            <w:tcW w:w="1080" w:type="dxa"/>
            <w:vAlign w:val="center"/>
          </w:tcPr>
          <w:p w:rsidR="002F45D1" w:rsidRDefault="00B75E8E">
            <w:pPr>
              <w:spacing w:before="60" w:after="60" w:line="200" w:lineRule="exact"/>
              <w:jc w:val="center"/>
              <w:rPr>
                <w:noProof/>
                <w:sz w:val="16"/>
                <w:szCs w:val="16"/>
              </w:rPr>
            </w:pPr>
            <w:r>
              <w:rPr>
                <w:noProof/>
              </w:rPr>
              <w:t>Година</w:t>
            </w:r>
            <w:r>
              <w:rPr>
                <w:b/>
                <w:noProof/>
                <w:sz w:val="16"/>
              </w:rPr>
              <w:t>2019</w:t>
            </w:r>
          </w:p>
        </w:tc>
        <w:tc>
          <w:tcPr>
            <w:tcW w:w="3240" w:type="dxa"/>
            <w:vAlign w:val="center"/>
          </w:tcPr>
          <w:p w:rsidR="002F45D1" w:rsidRDefault="00B75E8E">
            <w:pPr>
              <w:spacing w:line="200" w:lineRule="exact"/>
              <w:jc w:val="center"/>
              <w:rPr>
                <w:b/>
                <w:noProof/>
                <w:sz w:val="16"/>
                <w:szCs w:val="16"/>
              </w:rPr>
            </w:pPr>
            <w:r>
              <w:rPr>
                <w:b/>
                <w:noProof/>
                <w:sz w:val="16"/>
              </w:rPr>
              <w:t>2020</w:t>
            </w:r>
          </w:p>
        </w:tc>
        <w:tc>
          <w:tcPr>
            <w:tcW w:w="1080" w:type="dxa"/>
            <w:vAlign w:val="center"/>
          </w:tcPr>
          <w:p w:rsidR="002F45D1" w:rsidRDefault="00B75E8E">
            <w:pPr>
              <w:spacing w:before="60" w:after="60" w:line="200" w:lineRule="exact"/>
              <w:jc w:val="center"/>
              <w:rPr>
                <w:b/>
                <w:noProof/>
                <w:sz w:val="16"/>
                <w:szCs w:val="16"/>
              </w:rPr>
            </w:pPr>
            <w:r>
              <w:rPr>
                <w:b/>
                <w:noProof/>
                <w:sz w:val="16"/>
              </w:rPr>
              <w:t>ОБЩО</w:t>
            </w:r>
          </w:p>
        </w:tc>
      </w:tr>
    </w:tbl>
    <w:p w:rsidR="002F45D1" w:rsidRDefault="002F45D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F45D1">
        <w:trPr>
          <w:trHeight w:val="585"/>
        </w:trPr>
        <w:tc>
          <w:tcPr>
            <w:tcW w:w="1980" w:type="dxa"/>
            <w:shd w:val="clear" w:color="auto" w:fill="CCCCCC"/>
            <w:vAlign w:val="center"/>
          </w:tcPr>
          <w:p w:rsidR="002F45D1" w:rsidRDefault="00B75E8E">
            <w:pPr>
              <w:spacing w:before="60" w:after="60" w:line="200" w:lineRule="exact"/>
              <w:jc w:val="center"/>
              <w:rPr>
                <w:b/>
                <w:noProof/>
                <w:sz w:val="16"/>
                <w:szCs w:val="16"/>
              </w:rPr>
            </w:pPr>
            <w:r>
              <w:rPr>
                <w:b/>
                <w:noProof/>
              </w:rPr>
              <w:t>ФУНКЦИЯ 5</w:t>
            </w:r>
            <w:r>
              <w:rPr>
                <w:b/>
                <w:noProof/>
                <w:sz w:val="16"/>
              </w:rPr>
              <w:t xml:space="preserve">от </w:t>
            </w:r>
            <w:r>
              <w:rPr>
                <w:b/>
                <w:noProof/>
                <w:sz w:val="16"/>
              </w:rPr>
              <w:t>многогодишната финансова рамка</w:t>
            </w: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b/>
                <w:noProof/>
                <w:sz w:val="16"/>
                <w:szCs w:val="16"/>
              </w:rPr>
            </w:pPr>
          </w:p>
        </w:tc>
        <w:tc>
          <w:tcPr>
            <w:tcW w:w="1080" w:type="dxa"/>
            <w:vAlign w:val="center"/>
          </w:tcPr>
          <w:p w:rsidR="002F45D1" w:rsidRDefault="002F45D1">
            <w:pPr>
              <w:spacing w:before="60" w:after="60" w:line="200" w:lineRule="exact"/>
              <w:jc w:val="right"/>
              <w:rPr>
                <w:b/>
                <w:noProof/>
                <w:sz w:val="16"/>
                <w:szCs w:val="16"/>
              </w:rPr>
            </w:pPr>
          </w:p>
        </w:tc>
      </w:tr>
      <w:tr w:rsidR="002F45D1">
        <w:trPr>
          <w:trHeight w:val="585"/>
        </w:trPr>
        <w:tc>
          <w:tcPr>
            <w:tcW w:w="1980" w:type="dxa"/>
            <w:vAlign w:val="center"/>
          </w:tcPr>
          <w:p w:rsidR="002F45D1" w:rsidRDefault="00B75E8E">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2F45D1" w:rsidRDefault="00B75E8E">
            <w:pPr>
              <w:spacing w:before="20" w:after="20"/>
              <w:jc w:val="right"/>
              <w:rPr>
                <w:noProof/>
              </w:rPr>
            </w:pPr>
            <w:r>
              <w:rPr>
                <w:noProof/>
              </w:rPr>
              <w:t>0,528</w:t>
            </w:r>
          </w:p>
        </w:tc>
        <w:tc>
          <w:tcPr>
            <w:tcW w:w="1080" w:type="dxa"/>
            <w:vAlign w:val="center"/>
          </w:tcPr>
          <w:p w:rsidR="002F45D1" w:rsidRDefault="00B75E8E">
            <w:pPr>
              <w:spacing w:before="20" w:after="20"/>
              <w:jc w:val="right"/>
              <w:rPr>
                <w:noProof/>
              </w:rPr>
            </w:pPr>
            <w:r>
              <w:rPr>
                <w:noProof/>
              </w:rPr>
              <w:t>0,528</w:t>
            </w:r>
          </w:p>
        </w:tc>
        <w:tc>
          <w:tcPr>
            <w:tcW w:w="1080" w:type="dxa"/>
            <w:vAlign w:val="center"/>
          </w:tcPr>
          <w:p w:rsidR="002F45D1" w:rsidRDefault="00B75E8E">
            <w:pPr>
              <w:spacing w:before="20" w:after="20"/>
              <w:jc w:val="right"/>
              <w:rPr>
                <w:noProof/>
              </w:rPr>
            </w:pPr>
            <w:r>
              <w:rPr>
                <w:noProof/>
              </w:rPr>
              <w:t>0,528</w:t>
            </w:r>
          </w:p>
        </w:tc>
        <w:tc>
          <w:tcPr>
            <w:tcW w:w="1080" w:type="dxa"/>
            <w:vAlign w:val="center"/>
          </w:tcPr>
          <w:p w:rsidR="002F45D1" w:rsidRDefault="00B75E8E">
            <w:pPr>
              <w:spacing w:before="20" w:after="20"/>
              <w:jc w:val="right"/>
              <w:rPr>
                <w:noProof/>
              </w:rPr>
            </w:pPr>
            <w:r>
              <w:rPr>
                <w:noProof/>
              </w:rPr>
              <w:t>0,528</w:t>
            </w:r>
          </w:p>
        </w:tc>
        <w:tc>
          <w:tcPr>
            <w:tcW w:w="1080" w:type="dxa"/>
            <w:vAlign w:val="center"/>
          </w:tcPr>
          <w:p w:rsidR="002F45D1" w:rsidRDefault="00B75E8E">
            <w:pPr>
              <w:spacing w:before="20" w:after="20"/>
              <w:jc w:val="right"/>
              <w:rPr>
                <w:noProof/>
              </w:rPr>
            </w:pPr>
            <w:r>
              <w:rPr>
                <w:noProof/>
              </w:rPr>
              <w:t>0,528</w:t>
            </w:r>
          </w:p>
        </w:tc>
        <w:tc>
          <w:tcPr>
            <w:tcW w:w="1080" w:type="dxa"/>
            <w:vAlign w:val="center"/>
          </w:tcPr>
          <w:p w:rsidR="002F45D1" w:rsidRDefault="002F45D1">
            <w:pPr>
              <w:spacing w:before="20" w:after="20"/>
              <w:jc w:val="right"/>
              <w:rPr>
                <w:noProof/>
              </w:rPr>
            </w:pPr>
          </w:p>
        </w:tc>
        <w:tc>
          <w:tcPr>
            <w:tcW w:w="1080" w:type="dxa"/>
            <w:vAlign w:val="center"/>
          </w:tcPr>
          <w:p w:rsidR="002F45D1" w:rsidRDefault="002F45D1">
            <w:pPr>
              <w:spacing w:before="20" w:after="20"/>
              <w:jc w:val="right"/>
              <w:rPr>
                <w:noProof/>
              </w:rPr>
            </w:pPr>
          </w:p>
        </w:tc>
        <w:tc>
          <w:tcPr>
            <w:tcW w:w="1080" w:type="dxa"/>
            <w:vAlign w:val="center"/>
          </w:tcPr>
          <w:p w:rsidR="002F45D1" w:rsidRDefault="002F45D1">
            <w:pPr>
              <w:spacing w:before="60" w:after="60" w:line="200" w:lineRule="exact"/>
              <w:jc w:val="right"/>
              <w:rPr>
                <w:b/>
                <w:noProof/>
                <w:sz w:val="16"/>
                <w:szCs w:val="16"/>
              </w:rPr>
            </w:pPr>
          </w:p>
        </w:tc>
      </w:tr>
      <w:tr w:rsidR="002F45D1">
        <w:trPr>
          <w:trHeight w:val="585"/>
        </w:trPr>
        <w:tc>
          <w:tcPr>
            <w:tcW w:w="1980" w:type="dxa"/>
            <w:vAlign w:val="center"/>
          </w:tcPr>
          <w:p w:rsidR="002F45D1" w:rsidRDefault="00B75E8E">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2F45D1" w:rsidRDefault="00B75E8E">
            <w:pPr>
              <w:spacing w:before="20" w:after="20"/>
              <w:jc w:val="right"/>
              <w:rPr>
                <w:noProof/>
              </w:rPr>
            </w:pPr>
            <w:r>
              <w:rPr>
                <w:noProof/>
              </w:rPr>
              <w:t>0,030</w:t>
            </w:r>
          </w:p>
        </w:tc>
        <w:tc>
          <w:tcPr>
            <w:tcW w:w="1080" w:type="dxa"/>
            <w:vAlign w:val="center"/>
          </w:tcPr>
          <w:p w:rsidR="002F45D1" w:rsidRDefault="00B75E8E">
            <w:pPr>
              <w:spacing w:before="20" w:after="20"/>
              <w:jc w:val="right"/>
              <w:rPr>
                <w:noProof/>
              </w:rPr>
            </w:pPr>
            <w:r>
              <w:rPr>
                <w:noProof/>
              </w:rPr>
              <w:t>0,030</w:t>
            </w:r>
          </w:p>
        </w:tc>
        <w:tc>
          <w:tcPr>
            <w:tcW w:w="1080" w:type="dxa"/>
            <w:vAlign w:val="center"/>
          </w:tcPr>
          <w:p w:rsidR="002F45D1" w:rsidRDefault="00B75E8E">
            <w:pPr>
              <w:spacing w:before="20" w:after="20"/>
              <w:jc w:val="right"/>
              <w:rPr>
                <w:noProof/>
              </w:rPr>
            </w:pPr>
            <w:r>
              <w:rPr>
                <w:noProof/>
              </w:rPr>
              <w:t>0,030</w:t>
            </w:r>
          </w:p>
        </w:tc>
        <w:tc>
          <w:tcPr>
            <w:tcW w:w="1080" w:type="dxa"/>
            <w:vAlign w:val="center"/>
          </w:tcPr>
          <w:p w:rsidR="002F45D1" w:rsidRDefault="00B75E8E">
            <w:pPr>
              <w:spacing w:before="20" w:after="20"/>
              <w:jc w:val="right"/>
              <w:rPr>
                <w:noProof/>
              </w:rPr>
            </w:pPr>
            <w:r>
              <w:rPr>
                <w:noProof/>
              </w:rPr>
              <w:t>0,030</w:t>
            </w:r>
          </w:p>
        </w:tc>
        <w:tc>
          <w:tcPr>
            <w:tcW w:w="1080" w:type="dxa"/>
            <w:vAlign w:val="center"/>
          </w:tcPr>
          <w:p w:rsidR="002F45D1" w:rsidRDefault="00B75E8E">
            <w:pPr>
              <w:spacing w:before="20" w:after="20"/>
              <w:jc w:val="right"/>
              <w:rPr>
                <w:noProof/>
              </w:rPr>
            </w:pPr>
            <w:r>
              <w:rPr>
                <w:noProof/>
              </w:rPr>
              <w:t>0,030</w:t>
            </w:r>
          </w:p>
        </w:tc>
        <w:tc>
          <w:tcPr>
            <w:tcW w:w="1080" w:type="dxa"/>
            <w:vAlign w:val="center"/>
          </w:tcPr>
          <w:p w:rsidR="002F45D1" w:rsidRDefault="002F45D1">
            <w:pPr>
              <w:spacing w:before="20" w:after="20"/>
              <w:jc w:val="right"/>
              <w:rPr>
                <w:noProof/>
              </w:rPr>
            </w:pPr>
          </w:p>
        </w:tc>
        <w:tc>
          <w:tcPr>
            <w:tcW w:w="1080" w:type="dxa"/>
            <w:vAlign w:val="center"/>
          </w:tcPr>
          <w:p w:rsidR="002F45D1" w:rsidRDefault="002F45D1">
            <w:pPr>
              <w:spacing w:before="20" w:after="20"/>
              <w:jc w:val="right"/>
              <w:rPr>
                <w:noProof/>
              </w:rPr>
            </w:pPr>
          </w:p>
        </w:tc>
        <w:tc>
          <w:tcPr>
            <w:tcW w:w="1080" w:type="dxa"/>
            <w:vAlign w:val="center"/>
          </w:tcPr>
          <w:p w:rsidR="002F45D1" w:rsidRDefault="002F45D1">
            <w:pPr>
              <w:spacing w:before="60" w:after="60" w:line="200" w:lineRule="exact"/>
              <w:jc w:val="right"/>
              <w:rPr>
                <w:b/>
                <w:noProof/>
                <w:sz w:val="16"/>
                <w:szCs w:val="16"/>
              </w:rPr>
            </w:pPr>
          </w:p>
        </w:tc>
      </w:tr>
      <w:tr w:rsidR="002F45D1">
        <w:trPr>
          <w:trHeight w:val="585"/>
        </w:trPr>
        <w:tc>
          <w:tcPr>
            <w:tcW w:w="1980" w:type="dxa"/>
            <w:shd w:val="clear" w:color="auto" w:fill="CCCCCC"/>
            <w:vAlign w:val="center"/>
          </w:tcPr>
          <w:p w:rsidR="002F45D1" w:rsidRDefault="00B75E8E">
            <w:pPr>
              <w:spacing w:before="60" w:after="60" w:line="200" w:lineRule="exact"/>
              <w:jc w:val="center"/>
              <w:rPr>
                <w:b/>
                <w:noProof/>
                <w:sz w:val="16"/>
                <w:szCs w:val="16"/>
              </w:rPr>
            </w:pPr>
            <w:r>
              <w:rPr>
                <w:b/>
                <w:noProof/>
              </w:rPr>
              <w:t>Междинен сбор за ФУНКЦИЯ 5</w:t>
            </w:r>
            <w:r>
              <w:rPr>
                <w:b/>
                <w:noProof/>
                <w:sz w:val="16"/>
              </w:rPr>
              <w:t xml:space="preserve">от многогодишната финансова рамка </w:t>
            </w:r>
          </w:p>
        </w:tc>
        <w:tc>
          <w:tcPr>
            <w:tcW w:w="1080" w:type="dxa"/>
            <w:vAlign w:val="center"/>
          </w:tcPr>
          <w:p w:rsidR="002F45D1" w:rsidRDefault="00B75E8E">
            <w:pPr>
              <w:spacing w:before="20" w:after="20"/>
              <w:jc w:val="right"/>
              <w:rPr>
                <w:noProof/>
              </w:rPr>
            </w:pPr>
            <w:r>
              <w:rPr>
                <w:noProof/>
              </w:rPr>
              <w:t>0,558</w:t>
            </w:r>
          </w:p>
        </w:tc>
        <w:tc>
          <w:tcPr>
            <w:tcW w:w="1080" w:type="dxa"/>
            <w:vAlign w:val="center"/>
          </w:tcPr>
          <w:p w:rsidR="002F45D1" w:rsidRDefault="00B75E8E">
            <w:pPr>
              <w:spacing w:before="20" w:after="20"/>
              <w:jc w:val="right"/>
              <w:rPr>
                <w:noProof/>
              </w:rPr>
            </w:pPr>
            <w:r>
              <w:rPr>
                <w:noProof/>
              </w:rPr>
              <w:t>0,558</w:t>
            </w:r>
          </w:p>
        </w:tc>
        <w:tc>
          <w:tcPr>
            <w:tcW w:w="1080" w:type="dxa"/>
            <w:vAlign w:val="center"/>
          </w:tcPr>
          <w:p w:rsidR="002F45D1" w:rsidRDefault="00B75E8E">
            <w:pPr>
              <w:spacing w:before="20" w:after="20"/>
              <w:jc w:val="right"/>
              <w:rPr>
                <w:noProof/>
              </w:rPr>
            </w:pPr>
            <w:r>
              <w:rPr>
                <w:noProof/>
              </w:rPr>
              <w:t>0,558</w:t>
            </w:r>
          </w:p>
        </w:tc>
        <w:tc>
          <w:tcPr>
            <w:tcW w:w="1080" w:type="dxa"/>
            <w:vAlign w:val="center"/>
          </w:tcPr>
          <w:p w:rsidR="002F45D1" w:rsidRDefault="00B75E8E">
            <w:pPr>
              <w:spacing w:before="20" w:after="20"/>
              <w:jc w:val="right"/>
              <w:rPr>
                <w:noProof/>
              </w:rPr>
            </w:pPr>
            <w:r>
              <w:rPr>
                <w:noProof/>
              </w:rPr>
              <w:t>0,558</w:t>
            </w:r>
          </w:p>
        </w:tc>
        <w:tc>
          <w:tcPr>
            <w:tcW w:w="1080" w:type="dxa"/>
            <w:vAlign w:val="center"/>
          </w:tcPr>
          <w:p w:rsidR="002F45D1" w:rsidRDefault="00B75E8E">
            <w:pPr>
              <w:spacing w:before="20" w:after="20"/>
              <w:jc w:val="right"/>
              <w:rPr>
                <w:noProof/>
              </w:rPr>
            </w:pPr>
            <w:r>
              <w:rPr>
                <w:noProof/>
              </w:rPr>
              <w:t>0,558</w:t>
            </w:r>
          </w:p>
        </w:tc>
        <w:tc>
          <w:tcPr>
            <w:tcW w:w="1080" w:type="dxa"/>
            <w:vAlign w:val="center"/>
          </w:tcPr>
          <w:p w:rsidR="002F45D1" w:rsidRDefault="002F45D1">
            <w:pPr>
              <w:spacing w:before="20" w:after="20"/>
              <w:jc w:val="right"/>
              <w:rPr>
                <w:noProof/>
              </w:rPr>
            </w:pPr>
          </w:p>
        </w:tc>
        <w:tc>
          <w:tcPr>
            <w:tcW w:w="1080" w:type="dxa"/>
            <w:vAlign w:val="center"/>
          </w:tcPr>
          <w:p w:rsidR="002F45D1" w:rsidRDefault="002F45D1">
            <w:pPr>
              <w:spacing w:before="20" w:after="20"/>
              <w:jc w:val="right"/>
              <w:rPr>
                <w:noProof/>
              </w:rPr>
            </w:pPr>
          </w:p>
        </w:tc>
        <w:tc>
          <w:tcPr>
            <w:tcW w:w="1080" w:type="dxa"/>
            <w:vAlign w:val="center"/>
          </w:tcPr>
          <w:p w:rsidR="002F45D1" w:rsidRDefault="002F45D1">
            <w:pPr>
              <w:spacing w:before="60" w:after="60" w:line="200" w:lineRule="exact"/>
              <w:jc w:val="right"/>
              <w:rPr>
                <w:b/>
                <w:noProof/>
                <w:sz w:val="16"/>
                <w:szCs w:val="16"/>
              </w:rPr>
            </w:pPr>
          </w:p>
        </w:tc>
      </w:tr>
    </w:tbl>
    <w:p w:rsidR="002F45D1" w:rsidRDefault="002F45D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F45D1">
        <w:trPr>
          <w:trHeight w:val="585"/>
        </w:trPr>
        <w:tc>
          <w:tcPr>
            <w:tcW w:w="1980" w:type="dxa"/>
            <w:shd w:val="clear" w:color="auto" w:fill="CCCCCC"/>
            <w:vAlign w:val="center"/>
          </w:tcPr>
          <w:p w:rsidR="002F45D1" w:rsidRDefault="00B75E8E">
            <w:pPr>
              <w:spacing w:before="60" w:after="60" w:line="200" w:lineRule="exact"/>
              <w:jc w:val="center"/>
              <w:rPr>
                <w:noProof/>
                <w:sz w:val="16"/>
                <w:szCs w:val="16"/>
              </w:rPr>
            </w:pPr>
            <w:r>
              <w:rPr>
                <w:b/>
                <w:noProof/>
              </w:rPr>
              <w:t>извън ФУНКЦИЯ 5</w:t>
            </w:r>
            <w:r>
              <w:rPr>
                <w:rStyle w:val="FootnoteReference"/>
                <w:b/>
                <w:noProof/>
              </w:rPr>
              <w:footnoteReference w:id="27"/>
            </w:r>
            <w:r>
              <w:rPr>
                <w:b/>
                <w:noProof/>
                <w:sz w:val="16"/>
              </w:rPr>
              <w:t xml:space="preserve">от многогодишната финансова рамка </w:t>
            </w:r>
          </w:p>
          <w:p w:rsidR="002F45D1" w:rsidRDefault="002F45D1">
            <w:pPr>
              <w:spacing w:before="0" w:after="0" w:line="200" w:lineRule="exact"/>
              <w:jc w:val="center"/>
              <w:rPr>
                <w:b/>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b/>
                <w:noProof/>
                <w:sz w:val="16"/>
                <w:szCs w:val="16"/>
              </w:rPr>
            </w:pPr>
          </w:p>
        </w:tc>
        <w:tc>
          <w:tcPr>
            <w:tcW w:w="1080" w:type="dxa"/>
            <w:vAlign w:val="center"/>
          </w:tcPr>
          <w:p w:rsidR="002F45D1" w:rsidRDefault="002F45D1">
            <w:pPr>
              <w:spacing w:before="60" w:after="60" w:line="200" w:lineRule="exact"/>
              <w:jc w:val="right"/>
              <w:rPr>
                <w:b/>
                <w:noProof/>
                <w:sz w:val="16"/>
                <w:szCs w:val="16"/>
              </w:rPr>
            </w:pPr>
          </w:p>
        </w:tc>
      </w:tr>
      <w:tr w:rsidR="002F45D1">
        <w:trPr>
          <w:trHeight w:val="585"/>
        </w:trPr>
        <w:tc>
          <w:tcPr>
            <w:tcW w:w="1980" w:type="dxa"/>
            <w:vAlign w:val="center"/>
          </w:tcPr>
          <w:p w:rsidR="002F45D1" w:rsidRDefault="00B75E8E">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b/>
                <w:noProof/>
                <w:sz w:val="16"/>
                <w:szCs w:val="16"/>
              </w:rPr>
            </w:pPr>
          </w:p>
        </w:tc>
        <w:tc>
          <w:tcPr>
            <w:tcW w:w="1080" w:type="dxa"/>
            <w:vAlign w:val="center"/>
          </w:tcPr>
          <w:p w:rsidR="002F45D1" w:rsidRDefault="002F45D1">
            <w:pPr>
              <w:spacing w:before="60" w:after="60" w:line="200" w:lineRule="exact"/>
              <w:jc w:val="right"/>
              <w:rPr>
                <w:b/>
                <w:noProof/>
                <w:sz w:val="16"/>
                <w:szCs w:val="16"/>
              </w:rPr>
            </w:pPr>
          </w:p>
        </w:tc>
      </w:tr>
      <w:tr w:rsidR="002F45D1">
        <w:trPr>
          <w:trHeight w:val="585"/>
        </w:trPr>
        <w:tc>
          <w:tcPr>
            <w:tcW w:w="1980" w:type="dxa"/>
            <w:vAlign w:val="center"/>
          </w:tcPr>
          <w:p w:rsidR="002F45D1" w:rsidRDefault="00B75E8E">
            <w:pPr>
              <w:spacing w:before="60" w:after="60" w:line="200" w:lineRule="exact"/>
              <w:ind w:left="72"/>
              <w:jc w:val="left"/>
              <w:rPr>
                <w:noProof/>
                <w:sz w:val="16"/>
                <w:szCs w:val="16"/>
              </w:rPr>
            </w:pPr>
            <w:r>
              <w:rPr>
                <w:noProof/>
              </w:rPr>
              <w:t>Други разходи</w:t>
            </w:r>
            <w:r>
              <w:rPr>
                <w:noProof/>
                <w:sz w:val="16"/>
              </w:rPr>
              <w:t>с административен характер</w:t>
            </w: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b/>
                <w:noProof/>
                <w:sz w:val="16"/>
                <w:szCs w:val="16"/>
              </w:rPr>
            </w:pPr>
          </w:p>
        </w:tc>
        <w:tc>
          <w:tcPr>
            <w:tcW w:w="1080" w:type="dxa"/>
            <w:vAlign w:val="center"/>
          </w:tcPr>
          <w:p w:rsidR="002F45D1" w:rsidRDefault="002F45D1">
            <w:pPr>
              <w:spacing w:before="60" w:after="60" w:line="200" w:lineRule="exact"/>
              <w:jc w:val="right"/>
              <w:rPr>
                <w:b/>
                <w:noProof/>
                <w:sz w:val="16"/>
                <w:szCs w:val="16"/>
              </w:rPr>
            </w:pPr>
          </w:p>
        </w:tc>
      </w:tr>
      <w:tr w:rsidR="002F45D1">
        <w:trPr>
          <w:trHeight w:val="585"/>
        </w:trPr>
        <w:tc>
          <w:tcPr>
            <w:tcW w:w="1980" w:type="dxa"/>
            <w:shd w:val="clear" w:color="auto" w:fill="CCCCCC"/>
            <w:vAlign w:val="center"/>
          </w:tcPr>
          <w:p w:rsidR="002F45D1" w:rsidRDefault="00B75E8E">
            <w:pPr>
              <w:spacing w:before="60" w:after="60" w:line="200" w:lineRule="exact"/>
              <w:jc w:val="center"/>
              <w:rPr>
                <w:b/>
                <w:noProof/>
                <w:sz w:val="16"/>
                <w:szCs w:val="16"/>
              </w:rPr>
            </w:pPr>
            <w:r>
              <w:rPr>
                <w:b/>
                <w:noProof/>
              </w:rPr>
              <w:t>Междинен сборизвън ФУНКЦИЯ 5</w:t>
            </w:r>
            <w:r>
              <w:rPr>
                <w:b/>
                <w:noProof/>
                <w:sz w:val="16"/>
              </w:rPr>
              <w:t xml:space="preserve">от многогодишната финансова рамка </w:t>
            </w: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noProof/>
                <w:sz w:val="16"/>
                <w:szCs w:val="16"/>
              </w:rPr>
            </w:pPr>
          </w:p>
        </w:tc>
        <w:tc>
          <w:tcPr>
            <w:tcW w:w="1080" w:type="dxa"/>
            <w:vAlign w:val="center"/>
          </w:tcPr>
          <w:p w:rsidR="002F45D1" w:rsidRDefault="002F45D1">
            <w:pPr>
              <w:spacing w:before="60" w:after="60" w:line="200" w:lineRule="exact"/>
              <w:jc w:val="right"/>
              <w:rPr>
                <w:b/>
                <w:noProof/>
                <w:sz w:val="16"/>
                <w:szCs w:val="16"/>
              </w:rPr>
            </w:pPr>
          </w:p>
        </w:tc>
        <w:tc>
          <w:tcPr>
            <w:tcW w:w="1080" w:type="dxa"/>
            <w:vAlign w:val="center"/>
          </w:tcPr>
          <w:p w:rsidR="002F45D1" w:rsidRDefault="002F45D1">
            <w:pPr>
              <w:spacing w:before="60" w:after="60" w:line="200" w:lineRule="exact"/>
              <w:jc w:val="right"/>
              <w:rPr>
                <w:b/>
                <w:noProof/>
                <w:sz w:val="16"/>
                <w:szCs w:val="16"/>
              </w:rPr>
            </w:pPr>
          </w:p>
        </w:tc>
      </w:tr>
    </w:tbl>
    <w:p w:rsidR="002F45D1" w:rsidRDefault="002F45D1">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F45D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F45D1" w:rsidRDefault="00B75E8E">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2F45D1" w:rsidRDefault="00B75E8E">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2F45D1" w:rsidRDefault="00B75E8E">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2F45D1" w:rsidRDefault="00B75E8E">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2F45D1" w:rsidRDefault="00B75E8E">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2F45D1" w:rsidRDefault="00B75E8E">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2F45D1" w:rsidRDefault="002F45D1">
            <w:pPr>
              <w:spacing w:before="20" w:after="20"/>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2F45D1" w:rsidRDefault="002F45D1">
            <w:pPr>
              <w:spacing w:before="20" w:after="20"/>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tcPr>
          <w:p w:rsidR="002F45D1" w:rsidRDefault="002F45D1">
            <w:pPr>
              <w:spacing w:before="60" w:after="60" w:line="200" w:lineRule="exact"/>
              <w:jc w:val="right"/>
              <w:rPr>
                <w:b/>
                <w:noProof/>
                <w:sz w:val="16"/>
                <w:szCs w:val="16"/>
              </w:rPr>
            </w:pPr>
          </w:p>
        </w:tc>
      </w:tr>
    </w:tbl>
    <w:p w:rsidR="002F45D1" w:rsidRDefault="00B75E8E">
      <w:pPr>
        <w:rPr>
          <w:noProof/>
          <w:sz w:val="18"/>
        </w:rPr>
      </w:pPr>
      <w:r>
        <w:rPr>
          <w:noProof/>
          <w:sz w:val="18"/>
        </w:rPr>
        <w:t xml:space="preserve">Нуждите </w:t>
      </w:r>
      <w:r>
        <w:rPr>
          <w:noProof/>
          <w:sz w:val="18"/>
        </w:rPr>
        <w:t>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w:t>
      </w:r>
      <w:r>
        <w:rPr>
          <w:noProof/>
          <w:sz w:val="18"/>
        </w:rPr>
        <w:t xml:space="preserve">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2F45D1" w:rsidRDefault="002F45D1">
      <w:pPr>
        <w:rPr>
          <w:noProof/>
          <w:sz w:val="18"/>
        </w:rPr>
        <w:sectPr w:rsidR="002F45D1">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2F45D1" w:rsidRDefault="00B75E8E">
      <w:pPr>
        <w:pStyle w:val="ManualHeading4"/>
        <w:rPr>
          <w:bCs/>
          <w:noProof/>
          <w:szCs w:val="24"/>
        </w:rPr>
      </w:pPr>
      <w:r>
        <w:t>3.2.3.2.</w:t>
      </w:r>
      <w:r>
        <w:tab/>
      </w:r>
      <w:r>
        <w:rPr>
          <w:noProof/>
        </w:rPr>
        <w:t>Очаквани нужди от човешки ресурси</w:t>
      </w:r>
    </w:p>
    <w:p w:rsidR="002F45D1" w:rsidRDefault="00B75E8E">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rsidR="002F45D1" w:rsidRDefault="00B75E8E">
      <w:pPr>
        <w:pStyle w:val="ListDash1"/>
        <w:rPr>
          <w:noProof/>
        </w:rPr>
      </w:pPr>
      <w:r>
        <w:rPr>
          <w:noProof/>
        </w:rPr>
        <w:sym w:font="Wingdings" w:char="F0FD"/>
      </w:r>
      <w:r>
        <w:rPr>
          <w:noProof/>
        </w:rPr>
        <w:t xml:space="preserve"> Предложението/инициативата налага използване на човешки ресурси съгласно обяснението по-долу:</w:t>
      </w:r>
    </w:p>
    <w:p w:rsidR="002F45D1" w:rsidRDefault="00B75E8E">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2F45D1">
        <w:trPr>
          <w:gridBefore w:val="1"/>
          <w:wBefore w:w="6" w:type="pct"/>
          <w:trHeight w:val="289"/>
          <w:jc w:val="center"/>
        </w:trPr>
        <w:tc>
          <w:tcPr>
            <w:tcW w:w="1897" w:type="pct"/>
            <w:gridSpan w:val="2"/>
            <w:shd w:val="clear" w:color="auto" w:fill="auto"/>
          </w:tcPr>
          <w:p w:rsidR="002F45D1" w:rsidRDefault="002F45D1">
            <w:pPr>
              <w:pStyle w:val="Text1"/>
              <w:spacing w:before="40" w:after="40"/>
              <w:ind w:left="0"/>
              <w:jc w:val="center"/>
              <w:rPr>
                <w:i/>
                <w:noProof/>
                <w:sz w:val="16"/>
                <w:szCs w:val="16"/>
              </w:rPr>
            </w:pPr>
          </w:p>
        </w:tc>
        <w:tc>
          <w:tcPr>
            <w:tcW w:w="318" w:type="pct"/>
            <w:shd w:val="clear" w:color="auto" w:fill="auto"/>
            <w:vAlign w:val="center"/>
          </w:tcPr>
          <w:p w:rsidR="002F45D1" w:rsidRDefault="00B75E8E">
            <w:pPr>
              <w:spacing w:before="20" w:after="20"/>
              <w:jc w:val="center"/>
              <w:rPr>
                <w:noProof/>
                <w:sz w:val="16"/>
                <w:szCs w:val="16"/>
              </w:rPr>
            </w:pPr>
            <w:r>
              <w:rPr>
                <w:noProof/>
              </w:rPr>
              <w:t>Година</w:t>
            </w:r>
            <w:r>
              <w:rPr>
                <w:b/>
                <w:noProof/>
                <w:sz w:val="16"/>
              </w:rPr>
              <w:t>2016</w:t>
            </w:r>
          </w:p>
        </w:tc>
        <w:tc>
          <w:tcPr>
            <w:tcW w:w="318" w:type="pct"/>
            <w:shd w:val="clear" w:color="auto" w:fill="auto"/>
            <w:vAlign w:val="center"/>
          </w:tcPr>
          <w:p w:rsidR="002F45D1" w:rsidRDefault="00B75E8E">
            <w:pPr>
              <w:spacing w:before="20" w:after="20"/>
              <w:jc w:val="center"/>
              <w:rPr>
                <w:noProof/>
                <w:sz w:val="16"/>
                <w:szCs w:val="16"/>
              </w:rPr>
            </w:pPr>
            <w:r>
              <w:rPr>
                <w:noProof/>
              </w:rPr>
              <w:t>Година</w:t>
            </w:r>
            <w:r>
              <w:rPr>
                <w:b/>
                <w:noProof/>
                <w:sz w:val="16"/>
              </w:rPr>
              <w:t>2017</w:t>
            </w:r>
          </w:p>
        </w:tc>
        <w:tc>
          <w:tcPr>
            <w:tcW w:w="1891" w:type="pct"/>
            <w:shd w:val="clear" w:color="auto" w:fill="auto"/>
            <w:vAlign w:val="center"/>
          </w:tcPr>
          <w:p w:rsidR="002F45D1" w:rsidRDefault="00B75E8E">
            <w:pPr>
              <w:spacing w:before="20" w:after="20"/>
              <w:jc w:val="center"/>
              <w:rPr>
                <w:noProof/>
                <w:sz w:val="16"/>
                <w:szCs w:val="16"/>
              </w:rPr>
            </w:pPr>
            <w:r>
              <w:rPr>
                <w:noProof/>
                <w:sz w:val="16"/>
              </w:rPr>
              <w:t xml:space="preserve">Година </w:t>
            </w:r>
            <w:r>
              <w:rPr>
                <w:b/>
                <w:noProof/>
                <w:sz w:val="16"/>
              </w:rPr>
              <w:t>2018</w:t>
            </w:r>
          </w:p>
        </w:tc>
        <w:tc>
          <w:tcPr>
            <w:tcW w:w="226" w:type="pct"/>
            <w:shd w:val="clear" w:color="auto" w:fill="auto"/>
            <w:vAlign w:val="center"/>
          </w:tcPr>
          <w:p w:rsidR="002F45D1" w:rsidRDefault="00B75E8E">
            <w:pPr>
              <w:spacing w:before="20" w:after="20"/>
              <w:jc w:val="center"/>
              <w:rPr>
                <w:noProof/>
                <w:sz w:val="16"/>
                <w:szCs w:val="16"/>
              </w:rPr>
            </w:pPr>
            <w:r>
              <w:rPr>
                <w:noProof/>
                <w:sz w:val="16"/>
              </w:rPr>
              <w:t xml:space="preserve">Година </w:t>
            </w:r>
            <w:r>
              <w:rPr>
                <w:b/>
                <w:noProof/>
                <w:sz w:val="16"/>
              </w:rPr>
              <w:t>2019</w:t>
            </w:r>
          </w:p>
        </w:tc>
        <w:tc>
          <w:tcPr>
            <w:tcW w:w="345" w:type="pct"/>
            <w:gridSpan w:val="3"/>
            <w:shd w:val="clear" w:color="auto" w:fill="auto"/>
            <w:vAlign w:val="center"/>
          </w:tcPr>
          <w:p w:rsidR="002F45D1" w:rsidRDefault="00B75E8E">
            <w:pPr>
              <w:jc w:val="center"/>
              <w:rPr>
                <w:b/>
                <w:noProof/>
                <w:sz w:val="16"/>
                <w:szCs w:val="16"/>
              </w:rPr>
            </w:pPr>
            <w:r>
              <w:rPr>
                <w:noProof/>
                <w:sz w:val="16"/>
              </w:rPr>
              <w:t>2020</w:t>
            </w:r>
          </w:p>
        </w:tc>
      </w:tr>
      <w:tr w:rsidR="002F45D1">
        <w:trPr>
          <w:gridBefore w:val="1"/>
          <w:wBefore w:w="6" w:type="pct"/>
          <w:trHeight w:val="289"/>
          <w:jc w:val="center"/>
        </w:trPr>
        <w:tc>
          <w:tcPr>
            <w:tcW w:w="4424" w:type="pct"/>
            <w:gridSpan w:val="5"/>
            <w:shd w:val="clear" w:color="auto" w:fill="auto"/>
          </w:tcPr>
          <w:p w:rsidR="002F45D1" w:rsidRDefault="00B75E8E">
            <w:pPr>
              <w:spacing w:before="20" w:after="20"/>
              <w:rPr>
                <w:noProof/>
                <w:sz w:val="16"/>
                <w:szCs w:val="16"/>
              </w:rPr>
            </w:pPr>
            <w:r>
              <w:rPr>
                <w:b/>
                <w:noProof/>
                <w:sz w:val="16"/>
              </w:rPr>
              <w:sym w:font="Wingdings" w:char="F09F"/>
            </w:r>
            <w:r>
              <w:rPr>
                <w:noProof/>
              </w:rPr>
              <w:t xml:space="preserve"> </w:t>
            </w:r>
            <w:r>
              <w:rPr>
                <w:b/>
                <w:noProof/>
              </w:rPr>
              <w:t>Длъжности в щатното разписание (длъжностни лица и временно наети лица)</w:t>
            </w:r>
          </w:p>
        </w:tc>
        <w:tc>
          <w:tcPr>
            <w:tcW w:w="226" w:type="pct"/>
            <w:shd w:val="clear" w:color="auto" w:fill="auto"/>
            <w:vAlign w:val="center"/>
          </w:tcPr>
          <w:p w:rsidR="002F45D1" w:rsidRDefault="002F45D1">
            <w:pPr>
              <w:spacing w:before="20" w:after="20"/>
              <w:jc w:val="center"/>
              <w:rPr>
                <w:noProof/>
                <w:sz w:val="16"/>
                <w:szCs w:val="16"/>
              </w:rPr>
            </w:pPr>
          </w:p>
        </w:tc>
        <w:tc>
          <w:tcPr>
            <w:tcW w:w="345" w:type="pct"/>
            <w:gridSpan w:val="3"/>
            <w:shd w:val="clear" w:color="auto" w:fill="auto"/>
            <w:vAlign w:val="center"/>
          </w:tcPr>
          <w:p w:rsidR="002F45D1" w:rsidRDefault="002F45D1">
            <w:pPr>
              <w:jc w:val="center"/>
              <w:rPr>
                <w:noProof/>
                <w:sz w:val="16"/>
                <w:szCs w:val="16"/>
              </w:rPr>
            </w:pPr>
          </w:p>
        </w:tc>
      </w:tr>
      <w:tr w:rsidR="002F45D1">
        <w:trPr>
          <w:gridBefore w:val="1"/>
          <w:wBefore w:w="6" w:type="pct"/>
          <w:trHeight w:val="289"/>
          <w:jc w:val="center"/>
        </w:trPr>
        <w:tc>
          <w:tcPr>
            <w:tcW w:w="1897" w:type="pct"/>
            <w:gridSpan w:val="2"/>
            <w:shd w:val="clear" w:color="auto" w:fill="auto"/>
            <w:vAlign w:val="center"/>
          </w:tcPr>
          <w:p w:rsidR="002F45D1" w:rsidRDefault="00B75E8E">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rsidR="002F45D1" w:rsidRDefault="00B75E8E">
            <w:pPr>
              <w:spacing w:beforeLines="20" w:before="48" w:afterLines="20" w:after="48"/>
              <w:jc w:val="center"/>
              <w:rPr>
                <w:noProof/>
              </w:rPr>
            </w:pPr>
            <w:r>
              <w:rPr>
                <w:noProof/>
              </w:rPr>
              <w:t>4</w:t>
            </w:r>
          </w:p>
        </w:tc>
        <w:tc>
          <w:tcPr>
            <w:tcW w:w="318" w:type="pct"/>
            <w:shd w:val="clear" w:color="auto" w:fill="auto"/>
            <w:vAlign w:val="center"/>
          </w:tcPr>
          <w:p w:rsidR="002F45D1" w:rsidRDefault="00B75E8E">
            <w:pPr>
              <w:spacing w:beforeLines="20" w:before="48" w:afterLines="20" w:after="48"/>
              <w:jc w:val="center"/>
              <w:rPr>
                <w:noProof/>
              </w:rPr>
            </w:pPr>
            <w:r>
              <w:rPr>
                <w:noProof/>
              </w:rPr>
              <w:t>4</w:t>
            </w:r>
          </w:p>
        </w:tc>
        <w:tc>
          <w:tcPr>
            <w:tcW w:w="1891" w:type="pct"/>
            <w:shd w:val="clear" w:color="auto" w:fill="auto"/>
            <w:vAlign w:val="center"/>
          </w:tcPr>
          <w:p w:rsidR="002F45D1" w:rsidRDefault="00B75E8E">
            <w:pPr>
              <w:spacing w:beforeLines="20" w:before="48" w:afterLines="20" w:after="48"/>
              <w:jc w:val="center"/>
              <w:rPr>
                <w:noProof/>
              </w:rPr>
            </w:pPr>
            <w:r>
              <w:rPr>
                <w:noProof/>
              </w:rPr>
              <w:t>4</w:t>
            </w:r>
          </w:p>
        </w:tc>
        <w:tc>
          <w:tcPr>
            <w:tcW w:w="226" w:type="pct"/>
            <w:shd w:val="clear" w:color="auto" w:fill="auto"/>
            <w:vAlign w:val="center"/>
          </w:tcPr>
          <w:p w:rsidR="002F45D1" w:rsidRDefault="00B75E8E">
            <w:pPr>
              <w:spacing w:beforeLines="20" w:before="48" w:afterLines="20" w:after="48"/>
              <w:jc w:val="center"/>
              <w:rPr>
                <w:noProof/>
              </w:rPr>
            </w:pPr>
            <w:r>
              <w:rPr>
                <w:noProof/>
              </w:rPr>
              <w:t>4</w:t>
            </w:r>
          </w:p>
        </w:tc>
        <w:tc>
          <w:tcPr>
            <w:tcW w:w="115" w:type="pct"/>
            <w:shd w:val="clear" w:color="auto" w:fill="auto"/>
            <w:vAlign w:val="center"/>
          </w:tcPr>
          <w:p w:rsidR="002F45D1" w:rsidRDefault="00B75E8E">
            <w:pPr>
              <w:spacing w:beforeLines="20" w:before="48" w:afterLines="20" w:after="48"/>
              <w:jc w:val="center"/>
              <w:rPr>
                <w:noProof/>
              </w:rPr>
            </w:pPr>
            <w:r>
              <w:rPr>
                <w:noProof/>
              </w:rPr>
              <w:t>4</w:t>
            </w:r>
          </w:p>
        </w:tc>
        <w:tc>
          <w:tcPr>
            <w:tcW w:w="115" w:type="pct"/>
            <w:shd w:val="clear" w:color="auto" w:fill="auto"/>
            <w:vAlign w:val="center"/>
          </w:tcPr>
          <w:p w:rsidR="002F45D1" w:rsidRDefault="002F45D1">
            <w:pPr>
              <w:spacing w:beforeLines="20" w:before="48" w:afterLines="20" w:after="48"/>
              <w:jc w:val="center"/>
              <w:rPr>
                <w:noProof/>
              </w:rPr>
            </w:pPr>
          </w:p>
        </w:tc>
        <w:tc>
          <w:tcPr>
            <w:tcW w:w="115" w:type="pct"/>
            <w:shd w:val="clear" w:color="auto" w:fill="auto"/>
            <w:vAlign w:val="center"/>
          </w:tcPr>
          <w:p w:rsidR="002F45D1" w:rsidRDefault="002F45D1">
            <w:pPr>
              <w:spacing w:beforeLines="20" w:before="48" w:afterLines="20" w:after="48"/>
              <w:jc w:val="center"/>
              <w:rPr>
                <w:noProof/>
              </w:rPr>
            </w:pPr>
          </w:p>
        </w:tc>
      </w:tr>
      <w:tr w:rsidR="002F45D1">
        <w:trPr>
          <w:gridBefore w:val="1"/>
          <w:wBefore w:w="6" w:type="pct"/>
          <w:trHeight w:val="289"/>
          <w:jc w:val="center"/>
        </w:trPr>
        <w:tc>
          <w:tcPr>
            <w:tcW w:w="1897" w:type="pct"/>
            <w:gridSpan w:val="2"/>
            <w:shd w:val="clear" w:color="auto" w:fill="auto"/>
            <w:vAlign w:val="center"/>
          </w:tcPr>
          <w:p w:rsidR="002F45D1" w:rsidRDefault="00B75E8E">
            <w:pPr>
              <w:pStyle w:val="Text1"/>
              <w:spacing w:beforeLines="20" w:before="48" w:afterLines="20" w:after="48"/>
              <w:ind w:left="134"/>
              <w:jc w:val="left"/>
              <w:rPr>
                <w:noProof/>
                <w:sz w:val="16"/>
                <w:szCs w:val="16"/>
              </w:rPr>
            </w:pPr>
            <w:r>
              <w:rPr>
                <w:noProof/>
                <w:sz w:val="16"/>
              </w:rPr>
              <w:t>XX</w:t>
            </w:r>
            <w:r>
              <w:rPr>
                <w:noProof/>
                <w:sz w:val="16"/>
              </w:rPr>
              <w:t xml:space="preserve"> 01 01 02 (Делегации)</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1891" w:type="pct"/>
            <w:shd w:val="clear" w:color="auto" w:fill="auto"/>
            <w:vAlign w:val="center"/>
          </w:tcPr>
          <w:p w:rsidR="002F45D1" w:rsidRDefault="00B75E8E">
            <w:pPr>
              <w:spacing w:beforeLines="20" w:before="48" w:afterLines="20" w:after="48"/>
              <w:jc w:val="center"/>
              <w:rPr>
                <w:noProof/>
              </w:rPr>
            </w:pPr>
            <w:r>
              <w:rPr>
                <w:noProof/>
              </w:rPr>
              <w:t>p.m.</w:t>
            </w:r>
          </w:p>
        </w:tc>
        <w:tc>
          <w:tcPr>
            <w:tcW w:w="226"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w:t>
            </w:r>
          </w:p>
        </w:tc>
        <w:tc>
          <w:tcPr>
            <w:tcW w:w="115" w:type="pct"/>
            <w:shd w:val="clear" w:color="auto" w:fill="auto"/>
            <w:vAlign w:val="center"/>
          </w:tcPr>
          <w:p w:rsidR="002F45D1" w:rsidRDefault="00B75E8E">
            <w:pPr>
              <w:spacing w:beforeLines="20" w:before="48" w:afterLines="20" w:after="48"/>
              <w:jc w:val="center"/>
              <w:rPr>
                <w:noProof/>
              </w:rPr>
            </w:pPr>
            <w:r>
              <w:rPr>
                <w:noProof/>
              </w:rPr>
              <w:t>.</w:t>
            </w:r>
          </w:p>
        </w:tc>
      </w:tr>
      <w:tr w:rsidR="002F45D1">
        <w:trPr>
          <w:gridBefore w:val="1"/>
          <w:wBefore w:w="6" w:type="pct"/>
          <w:trHeight w:val="289"/>
          <w:jc w:val="center"/>
        </w:trPr>
        <w:tc>
          <w:tcPr>
            <w:tcW w:w="1897" w:type="pct"/>
            <w:gridSpan w:val="2"/>
            <w:shd w:val="clear" w:color="auto" w:fill="auto"/>
            <w:vAlign w:val="center"/>
          </w:tcPr>
          <w:p w:rsidR="002F45D1" w:rsidRDefault="00B75E8E">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1891" w:type="pct"/>
            <w:shd w:val="clear" w:color="auto" w:fill="auto"/>
            <w:vAlign w:val="center"/>
          </w:tcPr>
          <w:p w:rsidR="002F45D1" w:rsidRDefault="00B75E8E">
            <w:pPr>
              <w:spacing w:beforeLines="20" w:before="48" w:afterLines="20" w:after="48"/>
              <w:jc w:val="center"/>
              <w:rPr>
                <w:noProof/>
              </w:rPr>
            </w:pPr>
            <w:r>
              <w:rPr>
                <w:noProof/>
              </w:rPr>
              <w:t>p.m.</w:t>
            </w:r>
          </w:p>
        </w:tc>
        <w:tc>
          <w:tcPr>
            <w:tcW w:w="226"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w:t>
            </w:r>
          </w:p>
        </w:tc>
        <w:tc>
          <w:tcPr>
            <w:tcW w:w="115" w:type="pct"/>
            <w:shd w:val="clear" w:color="auto" w:fill="auto"/>
            <w:vAlign w:val="center"/>
          </w:tcPr>
          <w:p w:rsidR="002F45D1" w:rsidRDefault="00B75E8E">
            <w:pPr>
              <w:spacing w:beforeLines="20" w:before="48" w:afterLines="20" w:after="48"/>
              <w:jc w:val="center"/>
              <w:rPr>
                <w:noProof/>
              </w:rPr>
            </w:pPr>
            <w:r>
              <w:rPr>
                <w:noProof/>
              </w:rPr>
              <w:t>.</w:t>
            </w:r>
          </w:p>
        </w:tc>
      </w:tr>
      <w:tr w:rsidR="002F45D1">
        <w:trPr>
          <w:gridBefore w:val="1"/>
          <w:wBefore w:w="6" w:type="pct"/>
          <w:trHeight w:val="289"/>
          <w:jc w:val="center"/>
        </w:trPr>
        <w:tc>
          <w:tcPr>
            <w:tcW w:w="1897" w:type="pct"/>
            <w:gridSpan w:val="2"/>
            <w:shd w:val="clear" w:color="auto" w:fill="auto"/>
            <w:vAlign w:val="center"/>
          </w:tcPr>
          <w:p w:rsidR="002F45D1" w:rsidRDefault="00B75E8E">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1891" w:type="pct"/>
            <w:shd w:val="clear" w:color="auto" w:fill="auto"/>
            <w:vAlign w:val="center"/>
          </w:tcPr>
          <w:p w:rsidR="002F45D1" w:rsidRDefault="00B75E8E">
            <w:pPr>
              <w:spacing w:beforeLines="20" w:before="48" w:afterLines="20" w:after="48"/>
              <w:jc w:val="center"/>
              <w:rPr>
                <w:noProof/>
              </w:rPr>
            </w:pPr>
            <w:r>
              <w:rPr>
                <w:noProof/>
              </w:rPr>
              <w:t>p.m.</w:t>
            </w:r>
          </w:p>
        </w:tc>
        <w:tc>
          <w:tcPr>
            <w:tcW w:w="226"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w:t>
            </w:r>
          </w:p>
        </w:tc>
        <w:tc>
          <w:tcPr>
            <w:tcW w:w="115" w:type="pct"/>
            <w:shd w:val="clear" w:color="auto" w:fill="auto"/>
            <w:vAlign w:val="center"/>
          </w:tcPr>
          <w:p w:rsidR="002F45D1" w:rsidRDefault="002F45D1">
            <w:pPr>
              <w:spacing w:beforeLines="20" w:before="48" w:afterLines="20" w:after="48"/>
              <w:jc w:val="center"/>
              <w:rPr>
                <w:noProof/>
              </w:rPr>
            </w:pPr>
          </w:p>
        </w:tc>
      </w:tr>
      <w:tr w:rsidR="002F45D1">
        <w:trPr>
          <w:gridAfter w:val="4"/>
          <w:wAfter w:w="571" w:type="pct"/>
          <w:trHeight w:val="248"/>
          <w:jc w:val="center"/>
        </w:trPr>
        <w:tc>
          <w:tcPr>
            <w:tcW w:w="4429" w:type="pct"/>
            <w:gridSpan w:val="6"/>
            <w:shd w:val="clear" w:color="auto" w:fill="auto"/>
            <w:vAlign w:val="center"/>
          </w:tcPr>
          <w:p w:rsidR="002F45D1" w:rsidRDefault="00B75E8E">
            <w:pPr>
              <w:pStyle w:val="Text1"/>
              <w:spacing w:before="60" w:after="60"/>
              <w:ind w:left="0"/>
              <w:jc w:val="left"/>
              <w:rPr>
                <w:b/>
                <w:noProof/>
                <w:sz w:val="16"/>
                <w:szCs w:val="16"/>
              </w:rPr>
            </w:pPr>
            <w:r>
              <w:rPr>
                <w:b/>
                <w:noProof/>
                <w:sz w:val="16"/>
              </w:rPr>
              <w:sym w:font="Wingdings" w:char="F09F"/>
            </w:r>
            <w:r>
              <w:rPr>
                <w:noProof/>
              </w:rPr>
              <w:t xml:space="preserve"> </w:t>
            </w:r>
            <w:r>
              <w:rPr>
                <w:b/>
                <w:noProof/>
              </w:rPr>
              <w:t xml:space="preserve">Външен персонал (в еквивалент на пълно работно време </w:t>
            </w:r>
            <w:r>
              <w:rPr>
                <w:b/>
                <w:noProof/>
                <w:sz w:val="16"/>
              </w:rPr>
              <w:t xml:space="preserve"> — ЕПРВ)</w:t>
            </w:r>
            <w:r>
              <w:rPr>
                <w:rStyle w:val="FootnoteReference"/>
                <w:b/>
                <w:noProof/>
                <w:sz w:val="16"/>
              </w:rPr>
              <w:footnoteReference w:id="28"/>
            </w:r>
          </w:p>
          <w:p w:rsidR="002F45D1" w:rsidRDefault="002F45D1">
            <w:pPr>
              <w:pStyle w:val="Text1"/>
              <w:spacing w:before="0" w:after="0"/>
              <w:ind w:left="0"/>
              <w:jc w:val="left"/>
              <w:rPr>
                <w:noProof/>
                <w:sz w:val="16"/>
                <w:szCs w:val="16"/>
              </w:rPr>
            </w:pPr>
          </w:p>
        </w:tc>
      </w:tr>
      <w:tr w:rsidR="002F45D1">
        <w:trPr>
          <w:gridBefore w:val="1"/>
          <w:wBefore w:w="6" w:type="pct"/>
          <w:trHeight w:val="289"/>
          <w:jc w:val="center"/>
        </w:trPr>
        <w:tc>
          <w:tcPr>
            <w:tcW w:w="1897" w:type="pct"/>
            <w:gridSpan w:val="2"/>
            <w:shd w:val="clear" w:color="auto" w:fill="auto"/>
            <w:vAlign w:val="center"/>
          </w:tcPr>
          <w:p w:rsidR="002F45D1" w:rsidRDefault="00B75E8E">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1891" w:type="pct"/>
            <w:shd w:val="clear" w:color="auto" w:fill="auto"/>
            <w:vAlign w:val="center"/>
          </w:tcPr>
          <w:p w:rsidR="002F45D1" w:rsidRDefault="00B75E8E">
            <w:pPr>
              <w:spacing w:beforeLines="20" w:before="48" w:afterLines="20" w:after="48"/>
              <w:jc w:val="center"/>
              <w:rPr>
                <w:noProof/>
              </w:rPr>
            </w:pPr>
            <w:r>
              <w:rPr>
                <w:noProof/>
              </w:rPr>
              <w:t>p.m.</w:t>
            </w:r>
          </w:p>
        </w:tc>
        <w:tc>
          <w:tcPr>
            <w:tcW w:w="226"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2F45D1">
            <w:pPr>
              <w:spacing w:beforeLines="20" w:before="48" w:afterLines="20" w:after="48"/>
              <w:jc w:val="center"/>
              <w:rPr>
                <w:noProof/>
              </w:rPr>
            </w:pPr>
          </w:p>
        </w:tc>
        <w:tc>
          <w:tcPr>
            <w:tcW w:w="115" w:type="pct"/>
            <w:shd w:val="clear" w:color="auto" w:fill="auto"/>
            <w:vAlign w:val="center"/>
          </w:tcPr>
          <w:p w:rsidR="002F45D1" w:rsidRDefault="002F45D1">
            <w:pPr>
              <w:spacing w:beforeLines="20" w:before="48" w:afterLines="20" w:after="48"/>
              <w:jc w:val="center"/>
              <w:rPr>
                <w:noProof/>
              </w:rPr>
            </w:pPr>
          </w:p>
        </w:tc>
      </w:tr>
      <w:tr w:rsidR="002F45D1">
        <w:trPr>
          <w:gridBefore w:val="1"/>
          <w:wBefore w:w="6" w:type="pct"/>
          <w:trHeight w:val="289"/>
          <w:jc w:val="center"/>
        </w:trPr>
        <w:tc>
          <w:tcPr>
            <w:tcW w:w="1897" w:type="pct"/>
            <w:gridSpan w:val="2"/>
            <w:shd w:val="clear" w:color="auto" w:fill="auto"/>
            <w:vAlign w:val="center"/>
          </w:tcPr>
          <w:p w:rsidR="002F45D1" w:rsidRDefault="00B75E8E">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1891" w:type="pct"/>
            <w:shd w:val="clear" w:color="auto" w:fill="auto"/>
            <w:vAlign w:val="center"/>
          </w:tcPr>
          <w:p w:rsidR="002F45D1" w:rsidRDefault="00B75E8E">
            <w:pPr>
              <w:spacing w:beforeLines="20" w:before="48" w:afterLines="20" w:after="48"/>
              <w:jc w:val="center"/>
              <w:rPr>
                <w:noProof/>
              </w:rPr>
            </w:pPr>
            <w:r>
              <w:rPr>
                <w:noProof/>
              </w:rPr>
              <w:t>p.m.</w:t>
            </w:r>
          </w:p>
        </w:tc>
        <w:tc>
          <w:tcPr>
            <w:tcW w:w="226"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w:t>
            </w:r>
          </w:p>
        </w:tc>
        <w:tc>
          <w:tcPr>
            <w:tcW w:w="115" w:type="pct"/>
            <w:shd w:val="clear" w:color="auto" w:fill="auto"/>
            <w:vAlign w:val="center"/>
          </w:tcPr>
          <w:p w:rsidR="002F45D1" w:rsidRDefault="002F45D1">
            <w:pPr>
              <w:spacing w:beforeLines="20" w:before="48" w:afterLines="20" w:after="48"/>
              <w:jc w:val="center"/>
              <w:rPr>
                <w:noProof/>
              </w:rPr>
            </w:pPr>
          </w:p>
        </w:tc>
      </w:tr>
      <w:tr w:rsidR="002F45D1">
        <w:trPr>
          <w:gridBefore w:val="1"/>
          <w:wBefore w:w="6" w:type="pct"/>
          <w:trHeight w:val="289"/>
          <w:jc w:val="center"/>
        </w:trPr>
        <w:tc>
          <w:tcPr>
            <w:tcW w:w="948" w:type="pct"/>
            <w:vMerge w:val="restart"/>
            <w:shd w:val="clear" w:color="auto" w:fill="auto"/>
            <w:vAlign w:val="center"/>
          </w:tcPr>
          <w:p w:rsidR="002F45D1" w:rsidRDefault="00B75E8E">
            <w:pPr>
              <w:pStyle w:val="Text1"/>
              <w:spacing w:beforeLines="20" w:before="48" w:afterLines="20" w:after="48"/>
              <w:ind w:left="136"/>
              <w:jc w:val="left"/>
              <w:rPr>
                <w:b/>
                <w:noProof/>
                <w:sz w:val="16"/>
                <w:szCs w:val="16"/>
              </w:rPr>
            </w:pPr>
            <w:r>
              <w:rPr>
                <w:b/>
                <w:noProof/>
              </w:rPr>
              <w:t>XX</w:t>
            </w:r>
            <w:r>
              <w:rPr>
                <w:noProof/>
              </w:rPr>
              <w:t xml:space="preserve"> 01 04 </w:t>
            </w:r>
            <w:r>
              <w:rPr>
                <w:b/>
                <w:noProof/>
              </w:rPr>
              <w:t>yy</w:t>
            </w:r>
            <w:r>
              <w:rPr>
                <w:b/>
                <w:i/>
                <w:noProof/>
                <w:sz w:val="16"/>
              </w:rPr>
              <w:t xml:space="preserve"> </w:t>
            </w:r>
            <w:r>
              <w:rPr>
                <w:rStyle w:val="FootnoteReference"/>
                <w:b/>
                <w:i/>
                <w:noProof/>
                <w:sz w:val="16"/>
              </w:rPr>
              <w:footnoteReference w:id="29"/>
            </w:r>
          </w:p>
          <w:p w:rsidR="002F45D1" w:rsidRDefault="002F45D1">
            <w:pPr>
              <w:pStyle w:val="Text1"/>
              <w:spacing w:beforeLines="20" w:before="48" w:afterLines="20" w:after="48"/>
              <w:ind w:left="136"/>
              <w:jc w:val="left"/>
              <w:rPr>
                <w:b/>
                <w:noProof/>
                <w:sz w:val="16"/>
                <w:szCs w:val="16"/>
              </w:rPr>
            </w:pPr>
          </w:p>
        </w:tc>
        <w:tc>
          <w:tcPr>
            <w:tcW w:w="949" w:type="pct"/>
            <w:shd w:val="clear" w:color="auto" w:fill="auto"/>
            <w:vAlign w:val="center"/>
          </w:tcPr>
          <w:p w:rsidR="002F45D1" w:rsidRDefault="00B75E8E">
            <w:pPr>
              <w:pStyle w:val="Text1"/>
              <w:spacing w:beforeLines="20" w:before="48" w:afterLines="20" w:after="48"/>
              <w:ind w:left="136"/>
              <w:jc w:val="left"/>
              <w:rPr>
                <w:b/>
                <w:noProof/>
                <w:sz w:val="16"/>
                <w:szCs w:val="16"/>
              </w:rPr>
            </w:pPr>
            <w:r>
              <w:rPr>
                <w:noProof/>
                <w:sz w:val="16"/>
              </w:rPr>
              <w:t>- в централата:</w:t>
            </w:r>
          </w:p>
          <w:p w:rsidR="002F45D1" w:rsidRDefault="002F45D1">
            <w:pPr>
              <w:pStyle w:val="Text1"/>
              <w:spacing w:beforeLines="20" w:before="48" w:afterLines="20" w:after="48"/>
              <w:ind w:left="136"/>
              <w:jc w:val="left"/>
              <w:rPr>
                <w:b/>
                <w:noProof/>
                <w:sz w:val="16"/>
                <w:szCs w:val="16"/>
              </w:rPr>
            </w:pP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1891" w:type="pct"/>
            <w:shd w:val="clear" w:color="auto" w:fill="auto"/>
            <w:vAlign w:val="center"/>
          </w:tcPr>
          <w:p w:rsidR="002F45D1" w:rsidRDefault="00B75E8E">
            <w:pPr>
              <w:spacing w:beforeLines="20" w:before="48" w:afterLines="20" w:after="48"/>
              <w:jc w:val="center"/>
              <w:rPr>
                <w:noProof/>
              </w:rPr>
            </w:pPr>
            <w:r>
              <w:rPr>
                <w:noProof/>
              </w:rPr>
              <w:t>p.m.</w:t>
            </w:r>
          </w:p>
        </w:tc>
        <w:tc>
          <w:tcPr>
            <w:tcW w:w="226"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r>
      <w:tr w:rsidR="002F45D1">
        <w:trPr>
          <w:gridBefore w:val="1"/>
          <w:wBefore w:w="6" w:type="pct"/>
          <w:trHeight w:val="289"/>
          <w:jc w:val="center"/>
        </w:trPr>
        <w:tc>
          <w:tcPr>
            <w:tcW w:w="948" w:type="pct"/>
            <w:vMerge/>
            <w:shd w:val="clear" w:color="auto" w:fill="auto"/>
            <w:vAlign w:val="center"/>
          </w:tcPr>
          <w:p w:rsidR="002F45D1" w:rsidRDefault="002F45D1">
            <w:pPr>
              <w:pStyle w:val="Text1"/>
              <w:spacing w:beforeLines="20" w:before="48" w:afterLines="20" w:after="48"/>
              <w:ind w:left="136"/>
              <w:jc w:val="left"/>
              <w:rPr>
                <w:b/>
                <w:noProof/>
                <w:sz w:val="16"/>
                <w:szCs w:val="16"/>
              </w:rPr>
            </w:pPr>
          </w:p>
        </w:tc>
        <w:tc>
          <w:tcPr>
            <w:tcW w:w="949" w:type="pct"/>
            <w:shd w:val="clear" w:color="auto" w:fill="auto"/>
            <w:vAlign w:val="center"/>
          </w:tcPr>
          <w:p w:rsidR="002F45D1" w:rsidRDefault="00B75E8E">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1891" w:type="pct"/>
            <w:shd w:val="clear" w:color="auto" w:fill="auto"/>
            <w:vAlign w:val="center"/>
          </w:tcPr>
          <w:p w:rsidR="002F45D1" w:rsidRDefault="00B75E8E">
            <w:pPr>
              <w:spacing w:beforeLines="20" w:before="48" w:afterLines="20" w:after="48"/>
              <w:jc w:val="center"/>
              <w:rPr>
                <w:noProof/>
              </w:rPr>
            </w:pPr>
            <w:r>
              <w:rPr>
                <w:noProof/>
              </w:rPr>
              <w:t>p.m.</w:t>
            </w:r>
          </w:p>
        </w:tc>
        <w:tc>
          <w:tcPr>
            <w:tcW w:w="226"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w:t>
            </w:r>
          </w:p>
        </w:tc>
        <w:tc>
          <w:tcPr>
            <w:tcW w:w="115" w:type="pct"/>
            <w:shd w:val="clear" w:color="auto" w:fill="auto"/>
            <w:vAlign w:val="center"/>
          </w:tcPr>
          <w:p w:rsidR="002F45D1" w:rsidRDefault="002F45D1">
            <w:pPr>
              <w:spacing w:beforeLines="20" w:before="48" w:afterLines="20" w:after="48"/>
              <w:jc w:val="center"/>
              <w:rPr>
                <w:noProof/>
              </w:rPr>
            </w:pPr>
          </w:p>
        </w:tc>
      </w:tr>
      <w:tr w:rsidR="002F45D1">
        <w:trPr>
          <w:gridBefore w:val="1"/>
          <w:wBefore w:w="6" w:type="pct"/>
          <w:trHeight w:val="289"/>
          <w:jc w:val="center"/>
        </w:trPr>
        <w:tc>
          <w:tcPr>
            <w:tcW w:w="1897" w:type="pct"/>
            <w:gridSpan w:val="2"/>
            <w:shd w:val="clear" w:color="auto" w:fill="auto"/>
            <w:vAlign w:val="center"/>
          </w:tcPr>
          <w:p w:rsidR="002F45D1" w:rsidRDefault="00B75E8E">
            <w:pPr>
              <w:pStyle w:val="Text1"/>
              <w:spacing w:beforeLines="20" w:before="48" w:afterLines="20" w:after="48"/>
              <w:ind w:left="136"/>
              <w:jc w:val="left"/>
              <w:rPr>
                <w:noProof/>
                <w:sz w:val="16"/>
                <w:szCs w:val="16"/>
              </w:rPr>
            </w:pPr>
            <w:r>
              <w:rPr>
                <w:b/>
                <w:noProof/>
              </w:rPr>
              <w:t>XX</w:t>
            </w:r>
            <w:r>
              <w:rPr>
                <w:noProof/>
              </w:rPr>
              <w:t xml:space="preserve"> 01 05 02 (ДНП, КНЕ, ПНА — Непреки научни изследвания)</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1891" w:type="pct"/>
            <w:shd w:val="clear" w:color="auto" w:fill="auto"/>
            <w:vAlign w:val="center"/>
          </w:tcPr>
          <w:p w:rsidR="002F45D1" w:rsidRDefault="00B75E8E">
            <w:pPr>
              <w:spacing w:beforeLines="20" w:before="48" w:afterLines="20" w:after="48"/>
              <w:jc w:val="center"/>
              <w:rPr>
                <w:noProof/>
              </w:rPr>
            </w:pPr>
            <w:r>
              <w:rPr>
                <w:noProof/>
              </w:rPr>
              <w:t>p.m.</w:t>
            </w:r>
          </w:p>
        </w:tc>
        <w:tc>
          <w:tcPr>
            <w:tcW w:w="226"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2F45D1">
            <w:pPr>
              <w:spacing w:beforeLines="20" w:before="48" w:afterLines="20" w:after="48"/>
              <w:jc w:val="center"/>
              <w:rPr>
                <w:noProof/>
              </w:rPr>
            </w:pPr>
          </w:p>
        </w:tc>
        <w:tc>
          <w:tcPr>
            <w:tcW w:w="115" w:type="pct"/>
            <w:shd w:val="clear" w:color="auto" w:fill="auto"/>
            <w:vAlign w:val="center"/>
          </w:tcPr>
          <w:p w:rsidR="002F45D1" w:rsidRDefault="00B75E8E">
            <w:pPr>
              <w:spacing w:beforeLines="20" w:before="48" w:afterLines="20" w:after="48"/>
              <w:jc w:val="center"/>
              <w:rPr>
                <w:noProof/>
              </w:rPr>
            </w:pPr>
            <w:r>
              <w:rPr>
                <w:noProof/>
              </w:rPr>
              <w:t>m.</w:t>
            </w:r>
          </w:p>
        </w:tc>
      </w:tr>
      <w:tr w:rsidR="002F45D1">
        <w:trPr>
          <w:gridBefore w:val="1"/>
          <w:wBefore w:w="6" w:type="pct"/>
          <w:trHeight w:val="289"/>
          <w:jc w:val="center"/>
        </w:trPr>
        <w:tc>
          <w:tcPr>
            <w:tcW w:w="1897" w:type="pct"/>
            <w:gridSpan w:val="2"/>
            <w:shd w:val="clear" w:color="auto" w:fill="auto"/>
            <w:vAlign w:val="center"/>
          </w:tcPr>
          <w:p w:rsidR="002F45D1" w:rsidRDefault="00B75E8E">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318" w:type="pct"/>
            <w:shd w:val="clear" w:color="auto" w:fill="auto"/>
            <w:vAlign w:val="center"/>
          </w:tcPr>
          <w:p w:rsidR="002F45D1" w:rsidRDefault="00B75E8E">
            <w:pPr>
              <w:spacing w:beforeLines="20" w:before="48" w:afterLines="20" w:after="48"/>
              <w:jc w:val="center"/>
              <w:rPr>
                <w:noProof/>
              </w:rPr>
            </w:pPr>
            <w:r>
              <w:rPr>
                <w:noProof/>
              </w:rPr>
              <w:t>p.m.</w:t>
            </w:r>
          </w:p>
        </w:tc>
        <w:tc>
          <w:tcPr>
            <w:tcW w:w="1891" w:type="pct"/>
            <w:shd w:val="clear" w:color="auto" w:fill="auto"/>
            <w:vAlign w:val="center"/>
          </w:tcPr>
          <w:p w:rsidR="002F45D1" w:rsidRDefault="00B75E8E">
            <w:pPr>
              <w:spacing w:beforeLines="20" w:before="48" w:afterLines="20" w:after="48"/>
              <w:jc w:val="center"/>
              <w:rPr>
                <w:noProof/>
              </w:rPr>
            </w:pPr>
            <w:r>
              <w:rPr>
                <w:noProof/>
              </w:rPr>
              <w:t>p.m.</w:t>
            </w:r>
          </w:p>
        </w:tc>
        <w:tc>
          <w:tcPr>
            <w:tcW w:w="226"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B75E8E">
            <w:pPr>
              <w:spacing w:beforeLines="20" w:before="48" w:afterLines="20" w:after="48"/>
              <w:jc w:val="center"/>
              <w:rPr>
                <w:noProof/>
              </w:rPr>
            </w:pPr>
            <w:r>
              <w:rPr>
                <w:noProof/>
              </w:rPr>
              <w:t>p.m.</w:t>
            </w:r>
          </w:p>
        </w:tc>
        <w:tc>
          <w:tcPr>
            <w:tcW w:w="115" w:type="pct"/>
            <w:shd w:val="clear" w:color="auto" w:fill="auto"/>
            <w:vAlign w:val="center"/>
          </w:tcPr>
          <w:p w:rsidR="002F45D1" w:rsidRDefault="002F45D1">
            <w:pPr>
              <w:spacing w:beforeLines="20" w:before="48" w:afterLines="20" w:after="48"/>
              <w:jc w:val="center"/>
              <w:rPr>
                <w:noProof/>
              </w:rPr>
            </w:pPr>
          </w:p>
        </w:tc>
        <w:tc>
          <w:tcPr>
            <w:tcW w:w="115" w:type="pct"/>
            <w:shd w:val="clear" w:color="auto" w:fill="auto"/>
            <w:vAlign w:val="center"/>
          </w:tcPr>
          <w:p w:rsidR="002F45D1" w:rsidRDefault="002F45D1">
            <w:pPr>
              <w:spacing w:beforeLines="20" w:before="48" w:afterLines="20" w:after="48"/>
              <w:jc w:val="center"/>
              <w:rPr>
                <w:noProof/>
              </w:rPr>
            </w:pPr>
          </w:p>
        </w:tc>
      </w:tr>
      <w:tr w:rsidR="002F45D1">
        <w:trPr>
          <w:gridBefore w:val="1"/>
          <w:wBefore w:w="6" w:type="pct"/>
          <w:trHeight w:val="289"/>
          <w:jc w:val="center"/>
        </w:trPr>
        <w:tc>
          <w:tcPr>
            <w:tcW w:w="1897" w:type="pct"/>
            <w:gridSpan w:val="2"/>
            <w:tcBorders>
              <w:bottom w:val="double" w:sz="4" w:space="0" w:color="auto"/>
            </w:tcBorders>
            <w:shd w:val="clear" w:color="auto" w:fill="auto"/>
            <w:vAlign w:val="center"/>
          </w:tcPr>
          <w:p w:rsidR="002F45D1" w:rsidRDefault="00B75E8E">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2F45D1" w:rsidRDefault="00B75E8E">
            <w:pPr>
              <w:spacing w:beforeLines="20" w:before="48" w:afterLines="20" w:after="48"/>
              <w:jc w:val="center"/>
              <w:rPr>
                <w:noProof/>
              </w:rPr>
            </w:pPr>
            <w:r>
              <w:rPr>
                <w:noProof/>
              </w:rPr>
              <w:t>p.m.</w:t>
            </w:r>
          </w:p>
        </w:tc>
        <w:tc>
          <w:tcPr>
            <w:tcW w:w="318" w:type="pct"/>
            <w:tcBorders>
              <w:bottom w:val="double" w:sz="4" w:space="0" w:color="auto"/>
            </w:tcBorders>
            <w:shd w:val="clear" w:color="auto" w:fill="auto"/>
            <w:vAlign w:val="center"/>
          </w:tcPr>
          <w:p w:rsidR="002F45D1" w:rsidRDefault="00B75E8E">
            <w:pPr>
              <w:spacing w:beforeLines="20" w:before="48" w:afterLines="20" w:after="48"/>
              <w:jc w:val="center"/>
              <w:rPr>
                <w:noProof/>
              </w:rPr>
            </w:pPr>
            <w:r>
              <w:rPr>
                <w:noProof/>
              </w:rPr>
              <w:t>p.m.</w:t>
            </w:r>
          </w:p>
        </w:tc>
        <w:tc>
          <w:tcPr>
            <w:tcW w:w="1891" w:type="pct"/>
            <w:tcBorders>
              <w:bottom w:val="double" w:sz="4" w:space="0" w:color="auto"/>
            </w:tcBorders>
            <w:shd w:val="clear" w:color="auto" w:fill="auto"/>
            <w:vAlign w:val="center"/>
          </w:tcPr>
          <w:p w:rsidR="002F45D1" w:rsidRDefault="00B75E8E">
            <w:pPr>
              <w:spacing w:beforeLines="20" w:before="48" w:afterLines="20" w:after="48"/>
              <w:jc w:val="center"/>
              <w:rPr>
                <w:noProof/>
              </w:rPr>
            </w:pPr>
            <w:r>
              <w:rPr>
                <w:noProof/>
              </w:rPr>
              <w:t>p.m.</w:t>
            </w:r>
          </w:p>
        </w:tc>
        <w:tc>
          <w:tcPr>
            <w:tcW w:w="226" w:type="pct"/>
            <w:tcBorders>
              <w:bottom w:val="double" w:sz="4" w:space="0" w:color="auto"/>
            </w:tcBorders>
            <w:shd w:val="clear" w:color="auto" w:fill="auto"/>
            <w:vAlign w:val="center"/>
          </w:tcPr>
          <w:p w:rsidR="002F45D1" w:rsidRDefault="00B75E8E">
            <w:pPr>
              <w:spacing w:beforeLines="20" w:before="48" w:afterLines="20" w:after="48"/>
              <w:jc w:val="center"/>
              <w:rPr>
                <w:noProof/>
              </w:rPr>
            </w:pPr>
            <w:r>
              <w:rPr>
                <w:noProof/>
              </w:rPr>
              <w:t>p.m.</w:t>
            </w:r>
          </w:p>
        </w:tc>
        <w:tc>
          <w:tcPr>
            <w:tcW w:w="115" w:type="pct"/>
            <w:tcBorders>
              <w:bottom w:val="double" w:sz="4" w:space="0" w:color="auto"/>
            </w:tcBorders>
            <w:shd w:val="clear" w:color="auto" w:fill="auto"/>
            <w:vAlign w:val="center"/>
          </w:tcPr>
          <w:p w:rsidR="002F45D1" w:rsidRDefault="00B75E8E">
            <w:pPr>
              <w:spacing w:beforeLines="20" w:before="48" w:afterLines="20" w:after="48"/>
              <w:jc w:val="center"/>
              <w:rPr>
                <w:noProof/>
              </w:rPr>
            </w:pPr>
            <w:r>
              <w:rPr>
                <w:noProof/>
              </w:rPr>
              <w:t>p.m.</w:t>
            </w:r>
          </w:p>
        </w:tc>
        <w:tc>
          <w:tcPr>
            <w:tcW w:w="115" w:type="pct"/>
            <w:tcBorders>
              <w:bottom w:val="double" w:sz="4" w:space="0" w:color="auto"/>
            </w:tcBorders>
            <w:shd w:val="clear" w:color="auto" w:fill="auto"/>
            <w:vAlign w:val="center"/>
          </w:tcPr>
          <w:p w:rsidR="002F45D1" w:rsidRDefault="002F45D1">
            <w:pPr>
              <w:spacing w:beforeLines="20" w:before="48" w:afterLines="20" w:after="48"/>
              <w:jc w:val="center"/>
              <w:rPr>
                <w:noProof/>
              </w:rPr>
            </w:pPr>
          </w:p>
        </w:tc>
        <w:tc>
          <w:tcPr>
            <w:tcW w:w="115" w:type="pct"/>
            <w:tcBorders>
              <w:bottom w:val="double" w:sz="4" w:space="0" w:color="auto"/>
            </w:tcBorders>
            <w:shd w:val="clear" w:color="auto" w:fill="auto"/>
            <w:vAlign w:val="center"/>
          </w:tcPr>
          <w:p w:rsidR="002F45D1" w:rsidRDefault="002F45D1">
            <w:pPr>
              <w:spacing w:beforeLines="20" w:before="48" w:afterLines="20" w:after="48"/>
              <w:jc w:val="center"/>
              <w:rPr>
                <w:noProof/>
              </w:rPr>
            </w:pPr>
          </w:p>
        </w:tc>
      </w:tr>
      <w:tr w:rsidR="002F45D1">
        <w:trPr>
          <w:gridBefore w:val="1"/>
          <w:wBefore w:w="6" w:type="pct"/>
          <w:trHeight w:val="289"/>
          <w:jc w:val="center"/>
        </w:trPr>
        <w:tc>
          <w:tcPr>
            <w:tcW w:w="1897" w:type="pct"/>
            <w:gridSpan w:val="2"/>
            <w:tcBorders>
              <w:top w:val="double" w:sz="4" w:space="0" w:color="auto"/>
            </w:tcBorders>
            <w:shd w:val="clear" w:color="auto" w:fill="auto"/>
            <w:vAlign w:val="center"/>
          </w:tcPr>
          <w:p w:rsidR="002F45D1" w:rsidRDefault="00B75E8E">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2F45D1" w:rsidRDefault="00B75E8E">
            <w:pPr>
              <w:spacing w:beforeLines="20" w:before="48" w:afterLines="20" w:after="48"/>
              <w:jc w:val="center"/>
              <w:rPr>
                <w:noProof/>
              </w:rPr>
            </w:pPr>
            <w:r>
              <w:rPr>
                <w:noProof/>
              </w:rPr>
              <w:t>4</w:t>
            </w:r>
          </w:p>
        </w:tc>
        <w:tc>
          <w:tcPr>
            <w:tcW w:w="318" w:type="pct"/>
            <w:tcBorders>
              <w:top w:val="double" w:sz="4" w:space="0" w:color="auto"/>
            </w:tcBorders>
            <w:shd w:val="clear" w:color="auto" w:fill="auto"/>
            <w:vAlign w:val="center"/>
          </w:tcPr>
          <w:p w:rsidR="002F45D1" w:rsidRDefault="00B75E8E">
            <w:pPr>
              <w:spacing w:beforeLines="20" w:before="48" w:afterLines="20" w:after="48"/>
              <w:jc w:val="center"/>
              <w:rPr>
                <w:noProof/>
              </w:rPr>
            </w:pPr>
            <w:r>
              <w:rPr>
                <w:noProof/>
              </w:rPr>
              <w:t>4</w:t>
            </w:r>
          </w:p>
        </w:tc>
        <w:tc>
          <w:tcPr>
            <w:tcW w:w="1891" w:type="pct"/>
            <w:tcBorders>
              <w:top w:val="double" w:sz="4" w:space="0" w:color="auto"/>
            </w:tcBorders>
            <w:shd w:val="clear" w:color="auto" w:fill="auto"/>
            <w:vAlign w:val="center"/>
          </w:tcPr>
          <w:p w:rsidR="002F45D1" w:rsidRDefault="00B75E8E">
            <w:pPr>
              <w:spacing w:beforeLines="20" w:before="48" w:afterLines="20" w:after="48"/>
              <w:jc w:val="center"/>
              <w:rPr>
                <w:noProof/>
              </w:rPr>
            </w:pPr>
            <w:r>
              <w:rPr>
                <w:noProof/>
              </w:rPr>
              <w:t>4</w:t>
            </w:r>
          </w:p>
        </w:tc>
        <w:tc>
          <w:tcPr>
            <w:tcW w:w="226" w:type="pct"/>
            <w:tcBorders>
              <w:top w:val="double" w:sz="4" w:space="0" w:color="auto"/>
            </w:tcBorders>
            <w:shd w:val="clear" w:color="auto" w:fill="auto"/>
            <w:vAlign w:val="center"/>
          </w:tcPr>
          <w:p w:rsidR="002F45D1" w:rsidRDefault="00B75E8E">
            <w:pPr>
              <w:spacing w:beforeLines="20" w:before="48" w:afterLines="20" w:after="48"/>
              <w:jc w:val="center"/>
              <w:rPr>
                <w:noProof/>
              </w:rPr>
            </w:pPr>
            <w:r>
              <w:rPr>
                <w:noProof/>
              </w:rPr>
              <w:t>4</w:t>
            </w:r>
          </w:p>
        </w:tc>
        <w:tc>
          <w:tcPr>
            <w:tcW w:w="115" w:type="pct"/>
            <w:tcBorders>
              <w:top w:val="double" w:sz="4" w:space="0" w:color="auto"/>
            </w:tcBorders>
            <w:shd w:val="clear" w:color="auto" w:fill="auto"/>
            <w:vAlign w:val="center"/>
          </w:tcPr>
          <w:p w:rsidR="002F45D1" w:rsidRDefault="00B75E8E">
            <w:pPr>
              <w:spacing w:beforeLines="20" w:before="48" w:afterLines="20" w:after="48"/>
              <w:jc w:val="center"/>
              <w:rPr>
                <w:noProof/>
              </w:rPr>
            </w:pPr>
            <w:r>
              <w:rPr>
                <w:noProof/>
              </w:rPr>
              <w:t>4</w:t>
            </w:r>
          </w:p>
        </w:tc>
        <w:tc>
          <w:tcPr>
            <w:tcW w:w="115" w:type="pct"/>
            <w:tcBorders>
              <w:top w:val="double" w:sz="4" w:space="0" w:color="auto"/>
            </w:tcBorders>
            <w:shd w:val="clear" w:color="auto" w:fill="auto"/>
            <w:vAlign w:val="center"/>
          </w:tcPr>
          <w:p w:rsidR="002F45D1" w:rsidRDefault="002F45D1">
            <w:pPr>
              <w:spacing w:beforeLines="20" w:before="48" w:afterLines="20" w:after="48"/>
              <w:jc w:val="center"/>
              <w:rPr>
                <w:noProof/>
              </w:rPr>
            </w:pPr>
          </w:p>
        </w:tc>
        <w:tc>
          <w:tcPr>
            <w:tcW w:w="115" w:type="pct"/>
            <w:tcBorders>
              <w:top w:val="double" w:sz="4" w:space="0" w:color="auto"/>
            </w:tcBorders>
            <w:shd w:val="clear" w:color="auto" w:fill="auto"/>
            <w:vAlign w:val="center"/>
          </w:tcPr>
          <w:p w:rsidR="002F45D1" w:rsidRDefault="002F45D1">
            <w:pPr>
              <w:spacing w:beforeLines="20" w:before="48" w:afterLines="20" w:after="48"/>
              <w:jc w:val="center"/>
              <w:rPr>
                <w:noProof/>
              </w:rPr>
            </w:pPr>
          </w:p>
        </w:tc>
      </w:tr>
    </w:tbl>
    <w:p w:rsidR="002F45D1" w:rsidRDefault="00B75E8E">
      <w:pPr>
        <w:pStyle w:val="Text1"/>
        <w:spacing w:before="60" w:after="60"/>
        <w:ind w:left="851"/>
        <w:rPr>
          <w:noProof/>
          <w:sz w:val="18"/>
          <w:szCs w:val="18"/>
        </w:rPr>
      </w:pPr>
      <w:r>
        <w:rPr>
          <w:b/>
          <w:noProof/>
        </w:rPr>
        <w:t>XX</w:t>
      </w:r>
      <w:r>
        <w:rPr>
          <w:noProof/>
        </w:rPr>
        <w:t xml:space="preserve"> е съответната област на политиката или бюджетен дял.</w:t>
      </w:r>
    </w:p>
    <w:p w:rsidR="002F45D1" w:rsidRDefault="00B75E8E">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w:t>
      </w:r>
      <w:r>
        <w:rPr>
          <w:noProof/>
          <w:sz w:val="18"/>
        </w:rPr>
        <w:t xml:space="preserve">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2F45D1" w:rsidRDefault="00B75E8E">
      <w:pPr>
        <w:rPr>
          <w:noProof/>
          <w:sz w:val="20"/>
        </w:rPr>
      </w:pPr>
      <w:r>
        <w:rPr>
          <w:noProof/>
          <w:sz w:val="20"/>
        </w:rPr>
        <w:t>Описание на задачите, които трябва да се изпълня</w:t>
      </w:r>
      <w:r>
        <w:rPr>
          <w:noProof/>
          <w:sz w:val="20"/>
        </w:rPr>
        <w:t>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2F45D1">
        <w:tc>
          <w:tcPr>
            <w:tcW w:w="3240" w:type="dxa"/>
          </w:tcPr>
          <w:p w:rsidR="002F45D1" w:rsidRDefault="00B75E8E">
            <w:pPr>
              <w:rPr>
                <w:noProof/>
                <w:sz w:val="20"/>
              </w:rPr>
            </w:pPr>
            <w:r>
              <w:rPr>
                <w:noProof/>
                <w:sz w:val="20"/>
              </w:rPr>
              <w:t>Длъжностни лица и временно наети служители</w:t>
            </w:r>
          </w:p>
        </w:tc>
        <w:tc>
          <w:tcPr>
            <w:tcW w:w="7200" w:type="dxa"/>
          </w:tcPr>
          <w:p w:rsidR="002F45D1" w:rsidRDefault="00B75E8E">
            <w:pPr>
              <w:rPr>
                <w:noProof/>
                <w:sz w:val="20"/>
              </w:rPr>
            </w:pPr>
            <w:r>
              <w:rPr>
                <w:noProof/>
                <w:sz w:val="20"/>
              </w:rPr>
              <w:t xml:space="preserve">Подготовка на заседания и кореспонденция с ДЧ; (в зависимост от разговорите с държавите членки) работа по изготвяне на формулярите, информационно технологичните формати и централната директория;  възлагане на </w:t>
            </w:r>
            <w:r>
              <w:rPr>
                <w:noProof/>
                <w:sz w:val="20"/>
              </w:rPr>
              <w:t>външни изпълнители работата по информационната система</w:t>
            </w:r>
          </w:p>
        </w:tc>
      </w:tr>
      <w:tr w:rsidR="002F45D1">
        <w:tc>
          <w:tcPr>
            <w:tcW w:w="3240" w:type="dxa"/>
          </w:tcPr>
          <w:p w:rsidR="002F45D1" w:rsidRDefault="00B75E8E">
            <w:pPr>
              <w:spacing w:before="60" w:after="60"/>
              <w:rPr>
                <w:noProof/>
                <w:sz w:val="20"/>
              </w:rPr>
            </w:pPr>
            <w:r>
              <w:rPr>
                <w:noProof/>
                <w:sz w:val="20"/>
              </w:rPr>
              <w:t>Външен персонал</w:t>
            </w:r>
          </w:p>
        </w:tc>
        <w:tc>
          <w:tcPr>
            <w:tcW w:w="7200" w:type="dxa"/>
          </w:tcPr>
          <w:p w:rsidR="002F45D1" w:rsidRDefault="00B75E8E">
            <w:pPr>
              <w:rPr>
                <w:noProof/>
                <w:sz w:val="20"/>
              </w:rPr>
            </w:pPr>
            <w:r>
              <w:rPr>
                <w:noProof/>
                <w:sz w:val="20"/>
              </w:rPr>
              <w:t>не се прилага</w:t>
            </w:r>
          </w:p>
        </w:tc>
      </w:tr>
    </w:tbl>
    <w:p w:rsidR="002F45D1" w:rsidRDefault="002F45D1">
      <w:pPr>
        <w:rPr>
          <w:noProof/>
        </w:rPr>
        <w:sectPr w:rsidR="002F45D1">
          <w:pgSz w:w="11907" w:h="16840"/>
          <w:pgMar w:top="1134" w:right="1418" w:bottom="1134" w:left="1418" w:header="709" w:footer="709" w:gutter="0"/>
          <w:cols w:space="708"/>
          <w:docGrid w:linePitch="360"/>
        </w:sectPr>
      </w:pPr>
    </w:p>
    <w:p w:rsidR="002F45D1" w:rsidRDefault="00B75E8E">
      <w:pPr>
        <w:pStyle w:val="ManualHeading3"/>
        <w:rPr>
          <w:bCs/>
          <w:noProof/>
          <w:szCs w:val="24"/>
        </w:rPr>
      </w:pPr>
      <w:r>
        <w:t>3.2.4.</w:t>
      </w:r>
      <w:r>
        <w:tab/>
      </w:r>
      <w:r>
        <w:rPr>
          <w:noProof/>
        </w:rPr>
        <w:t xml:space="preserve">Съвместимост с настоящата многогодишна финансова рамка </w:t>
      </w:r>
    </w:p>
    <w:p w:rsidR="002F45D1" w:rsidRDefault="00B75E8E">
      <w:pPr>
        <w:pStyle w:val="ListDash1"/>
        <w:rPr>
          <w:noProof/>
        </w:rPr>
      </w:pPr>
      <w:r>
        <w:rPr>
          <w:noProof/>
        </w:rPr>
        <w:sym w:font="Wingdings" w:char="F0FD"/>
      </w:r>
      <w:r>
        <w:rPr>
          <w:noProof/>
        </w:rPr>
        <w:t xml:space="preserve"> Предложението/инициативата е съвместимо(а) с настоящата многогодишна финансова рам</w:t>
      </w:r>
      <w:r>
        <w:rPr>
          <w:noProof/>
        </w:rPr>
        <w:t>ка.</w:t>
      </w:r>
    </w:p>
    <w:p w:rsidR="002F45D1" w:rsidRDefault="00B75E8E">
      <w:pPr>
        <w:pStyle w:val="ListDash1"/>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rsidR="002F45D1" w:rsidRDefault="00B75E8E">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rsidR="002F45D1" w:rsidRDefault="002F45D1">
      <w:pPr>
        <w:pStyle w:val="Text1"/>
        <w:pBdr>
          <w:top w:val="single" w:sz="4" w:space="1" w:color="auto"/>
          <w:left w:val="single" w:sz="4" w:space="4" w:color="auto"/>
          <w:bottom w:val="single" w:sz="4" w:space="1" w:color="auto"/>
          <w:right w:val="single" w:sz="4" w:space="4" w:color="auto"/>
        </w:pBdr>
        <w:rPr>
          <w:noProof/>
        </w:rPr>
      </w:pPr>
    </w:p>
    <w:p w:rsidR="002F45D1" w:rsidRDefault="00B75E8E">
      <w:pPr>
        <w:pStyle w:val="ListDash1"/>
        <w:rPr>
          <w:noProof/>
        </w:rPr>
      </w:pPr>
      <w:r>
        <w:rPr>
          <w:noProof/>
        </w:rPr>
        <w:sym w:font="Wingdings" w:char="F0A8"/>
      </w:r>
      <w:r>
        <w:rPr>
          <w:noProof/>
        </w:rPr>
        <w:t xml:space="preserve"> Предложението/инициативата налага да се изпо</w:t>
      </w:r>
      <w:r>
        <w:rPr>
          <w:noProof/>
        </w:rPr>
        <w:t>лзва инструментът за гъвкавост или да се преразгледа многогодишната финансова рамка.</w:t>
      </w:r>
    </w:p>
    <w:p w:rsidR="002F45D1" w:rsidRDefault="00B75E8E">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2F45D1" w:rsidRDefault="002F45D1">
      <w:pPr>
        <w:pStyle w:val="Text1"/>
        <w:pBdr>
          <w:top w:val="single" w:sz="4" w:space="1" w:color="auto"/>
          <w:left w:val="single" w:sz="4" w:space="4" w:color="auto"/>
          <w:bottom w:val="single" w:sz="4" w:space="1" w:color="auto"/>
          <w:right w:val="single" w:sz="4" w:space="4" w:color="auto"/>
        </w:pBdr>
        <w:rPr>
          <w:noProof/>
        </w:rPr>
      </w:pPr>
    </w:p>
    <w:p w:rsidR="002F45D1" w:rsidRDefault="00B75E8E">
      <w:pPr>
        <w:pStyle w:val="ManualHeading3"/>
        <w:rPr>
          <w:bCs/>
          <w:noProof/>
          <w:szCs w:val="24"/>
        </w:rPr>
      </w:pPr>
      <w:r>
        <w:t>3.2.5.</w:t>
      </w:r>
      <w:r>
        <w:tab/>
      </w:r>
      <w:r>
        <w:rPr>
          <w:noProof/>
        </w:rPr>
        <w:t xml:space="preserve">Участие на трети страни във финансирането </w:t>
      </w:r>
    </w:p>
    <w:p w:rsidR="002F45D1" w:rsidRDefault="00B75E8E">
      <w:pPr>
        <w:pStyle w:val="ListDash1"/>
        <w:rPr>
          <w:noProof/>
        </w:rPr>
      </w:pPr>
      <w:r>
        <w:rPr>
          <w:noProof/>
        </w:rPr>
        <w:t xml:space="preserve">Предложението/инициативата не предвижда съфинансиране от трети страни. </w:t>
      </w:r>
    </w:p>
    <w:p w:rsidR="002F45D1" w:rsidRDefault="00B75E8E">
      <w:pPr>
        <w:pStyle w:val="ListDash1"/>
        <w:rPr>
          <w:noProof/>
        </w:rPr>
      </w:pPr>
      <w:r>
        <w:rPr>
          <w:strike/>
          <w:noProof/>
        </w:rPr>
        <w:t>Предложението/инициативата предвижда съфинансиране съгласно следните прогнози:</w:t>
      </w:r>
    </w:p>
    <w:p w:rsidR="002F45D1" w:rsidRDefault="00B75E8E">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F45D1">
        <w:trPr>
          <w:cantSplit/>
        </w:trPr>
        <w:tc>
          <w:tcPr>
            <w:tcW w:w="2340" w:type="dxa"/>
          </w:tcPr>
          <w:p w:rsidR="002F45D1" w:rsidRDefault="002F45D1">
            <w:pPr>
              <w:spacing w:before="60" w:after="60"/>
              <w:rPr>
                <w:noProof/>
                <w:sz w:val="20"/>
              </w:rPr>
            </w:pPr>
          </w:p>
        </w:tc>
        <w:tc>
          <w:tcPr>
            <w:tcW w:w="964" w:type="dxa"/>
            <w:vAlign w:val="center"/>
          </w:tcPr>
          <w:p w:rsidR="002F45D1" w:rsidRDefault="00B75E8E">
            <w:pPr>
              <w:jc w:val="center"/>
              <w:rPr>
                <w:noProof/>
                <w:sz w:val="20"/>
              </w:rPr>
            </w:pPr>
            <w:r>
              <w:rPr>
                <w:noProof/>
              </w:rPr>
              <w:t xml:space="preserve">Година </w:t>
            </w:r>
            <w:r>
              <w:rPr>
                <w:b/>
                <w:noProof/>
                <w:sz w:val="20"/>
              </w:rPr>
              <w:t>N</w:t>
            </w:r>
          </w:p>
        </w:tc>
        <w:tc>
          <w:tcPr>
            <w:tcW w:w="964" w:type="dxa"/>
            <w:vAlign w:val="center"/>
          </w:tcPr>
          <w:p w:rsidR="002F45D1" w:rsidRDefault="00B75E8E">
            <w:pPr>
              <w:jc w:val="center"/>
              <w:rPr>
                <w:noProof/>
                <w:sz w:val="20"/>
              </w:rPr>
            </w:pPr>
            <w:r>
              <w:rPr>
                <w:noProof/>
              </w:rPr>
              <w:t>Година</w:t>
            </w:r>
            <w:r>
              <w:rPr>
                <w:b/>
                <w:noProof/>
                <w:sz w:val="20"/>
              </w:rPr>
              <w:t>N+1</w:t>
            </w:r>
          </w:p>
        </w:tc>
        <w:tc>
          <w:tcPr>
            <w:tcW w:w="964" w:type="dxa"/>
            <w:vAlign w:val="center"/>
          </w:tcPr>
          <w:p w:rsidR="002F45D1" w:rsidRDefault="00B75E8E">
            <w:pPr>
              <w:jc w:val="center"/>
              <w:rPr>
                <w:noProof/>
                <w:sz w:val="20"/>
              </w:rPr>
            </w:pPr>
            <w:r>
              <w:rPr>
                <w:noProof/>
              </w:rPr>
              <w:t>Година</w:t>
            </w:r>
            <w:r>
              <w:rPr>
                <w:b/>
                <w:noProof/>
                <w:sz w:val="20"/>
              </w:rPr>
              <w:t>N+2</w:t>
            </w:r>
          </w:p>
        </w:tc>
        <w:tc>
          <w:tcPr>
            <w:tcW w:w="964" w:type="dxa"/>
            <w:vAlign w:val="center"/>
          </w:tcPr>
          <w:p w:rsidR="002F45D1" w:rsidRDefault="00B75E8E">
            <w:pPr>
              <w:jc w:val="center"/>
              <w:rPr>
                <w:noProof/>
                <w:sz w:val="20"/>
              </w:rPr>
            </w:pPr>
            <w:r>
              <w:rPr>
                <w:noProof/>
              </w:rPr>
              <w:t>Годин</w:t>
            </w:r>
            <w:r>
              <w:rPr>
                <w:noProof/>
              </w:rPr>
              <w:t>а</w:t>
            </w:r>
            <w:r>
              <w:rPr>
                <w:b/>
                <w:noProof/>
                <w:sz w:val="20"/>
              </w:rPr>
              <w:t>N+3</w:t>
            </w:r>
          </w:p>
        </w:tc>
        <w:tc>
          <w:tcPr>
            <w:tcW w:w="2892" w:type="dxa"/>
            <w:gridSpan w:val="3"/>
            <w:vAlign w:val="center"/>
          </w:tcPr>
          <w:p w:rsidR="002F45D1" w:rsidRDefault="00B75E8E">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2F45D1" w:rsidRDefault="00B75E8E">
            <w:pPr>
              <w:spacing w:before="60" w:after="60"/>
              <w:jc w:val="center"/>
              <w:rPr>
                <w:noProof/>
                <w:sz w:val="20"/>
              </w:rPr>
            </w:pPr>
            <w:r>
              <w:rPr>
                <w:noProof/>
                <w:sz w:val="20"/>
              </w:rPr>
              <w:t>Общо</w:t>
            </w:r>
          </w:p>
        </w:tc>
      </w:tr>
      <w:tr w:rsidR="002F45D1">
        <w:trPr>
          <w:cantSplit/>
        </w:trPr>
        <w:tc>
          <w:tcPr>
            <w:tcW w:w="2340" w:type="dxa"/>
          </w:tcPr>
          <w:p w:rsidR="002F45D1" w:rsidRDefault="00B75E8E">
            <w:pPr>
              <w:rPr>
                <w:noProof/>
              </w:rPr>
            </w:pPr>
            <w:r>
              <w:rPr>
                <w:noProof/>
                <w:sz w:val="20"/>
              </w:rPr>
              <w:t>Да се посочи съфинансиращият орган</w:t>
            </w:r>
            <w:r>
              <w:rPr>
                <w:i/>
                <w:noProof/>
                <w:sz w:val="20"/>
              </w:rPr>
              <w:t xml:space="preserve"> </w:t>
            </w: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1158" w:type="dxa"/>
            <w:vAlign w:val="center"/>
          </w:tcPr>
          <w:p w:rsidR="002F45D1" w:rsidRDefault="002F45D1">
            <w:pPr>
              <w:spacing w:before="60" w:after="60"/>
              <w:jc w:val="center"/>
              <w:rPr>
                <w:noProof/>
                <w:sz w:val="20"/>
              </w:rPr>
            </w:pPr>
          </w:p>
        </w:tc>
      </w:tr>
      <w:tr w:rsidR="002F45D1">
        <w:trPr>
          <w:cantSplit/>
        </w:trPr>
        <w:tc>
          <w:tcPr>
            <w:tcW w:w="2340" w:type="dxa"/>
          </w:tcPr>
          <w:p w:rsidR="002F45D1" w:rsidRDefault="00B75E8E">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964" w:type="dxa"/>
            <w:vAlign w:val="center"/>
          </w:tcPr>
          <w:p w:rsidR="002F45D1" w:rsidRDefault="002F45D1">
            <w:pPr>
              <w:spacing w:before="60" w:after="60"/>
              <w:jc w:val="center"/>
              <w:rPr>
                <w:noProof/>
                <w:sz w:val="20"/>
              </w:rPr>
            </w:pPr>
          </w:p>
        </w:tc>
        <w:tc>
          <w:tcPr>
            <w:tcW w:w="1158" w:type="dxa"/>
            <w:vAlign w:val="center"/>
          </w:tcPr>
          <w:p w:rsidR="002F45D1" w:rsidRDefault="002F45D1">
            <w:pPr>
              <w:spacing w:before="60" w:after="60"/>
              <w:jc w:val="center"/>
              <w:rPr>
                <w:noProof/>
                <w:sz w:val="20"/>
              </w:rPr>
            </w:pPr>
          </w:p>
        </w:tc>
      </w:tr>
    </w:tbl>
    <w:p w:rsidR="002F45D1" w:rsidRDefault="00B75E8E">
      <w:pPr>
        <w:rPr>
          <w:noProof/>
        </w:rPr>
      </w:pPr>
      <w:r>
        <w:rPr>
          <w:noProof/>
        </w:rPr>
        <w:br/>
      </w:r>
    </w:p>
    <w:p w:rsidR="002F45D1" w:rsidRDefault="00B75E8E">
      <w:pPr>
        <w:pStyle w:val="ManualHeading2"/>
        <w:rPr>
          <w:bCs/>
          <w:noProof/>
          <w:szCs w:val="24"/>
        </w:rPr>
      </w:pPr>
      <w:r>
        <w:rPr>
          <w:noProof/>
        </w:rPr>
        <w:br w:type="page"/>
      </w:r>
      <w:r>
        <w:t>3.</w:t>
      </w:r>
      <w:proofErr w:type="spellStart"/>
      <w:r>
        <w:t>3</w:t>
      </w:r>
      <w:proofErr w:type="spellEnd"/>
      <w:r>
        <w:t>.</w:t>
      </w:r>
      <w:r>
        <w:tab/>
      </w:r>
      <w:r>
        <w:rPr>
          <w:noProof/>
        </w:rPr>
        <w:t xml:space="preserve">Очаквано отражение върху приходите </w:t>
      </w:r>
    </w:p>
    <w:p w:rsidR="002F45D1" w:rsidRDefault="00B75E8E">
      <w:pPr>
        <w:pStyle w:val="ListDash1"/>
        <w:rPr>
          <w:noProof/>
        </w:rPr>
      </w:pPr>
      <w:r>
        <w:rPr>
          <w:noProof/>
        </w:rPr>
        <w:sym w:font="Wingdings" w:char="F0FD"/>
      </w:r>
      <w:r>
        <w:rPr>
          <w:noProof/>
        </w:rPr>
        <w:t xml:space="preserve"> Предложението/инициативата няма финансово отражение върху приходите.</w:t>
      </w:r>
    </w:p>
    <w:p w:rsidR="002F45D1" w:rsidRDefault="00B75E8E">
      <w:pPr>
        <w:pStyle w:val="ListDash1"/>
        <w:rPr>
          <w:noProof/>
        </w:rPr>
      </w:pPr>
      <w:r>
        <w:rPr>
          <w:noProof/>
        </w:rPr>
        <w:sym w:font="Wingdings" w:char="F0A8"/>
      </w:r>
      <w:r>
        <w:rPr>
          <w:noProof/>
        </w:rPr>
        <w:t xml:space="preserve"> Предложението/инициативата има следното финансово отражение:</w:t>
      </w:r>
    </w:p>
    <w:p w:rsidR="002F45D1" w:rsidRDefault="00B75E8E">
      <w:pPr>
        <w:pStyle w:val="ListNumberLevel3"/>
        <w:rPr>
          <w:noProof/>
        </w:rPr>
      </w:pPr>
      <w:r>
        <w:rPr>
          <w:noProof/>
        </w:rPr>
        <w:sym w:font="Wingdings" w:char="F0A8"/>
      </w:r>
      <w:r>
        <w:rPr>
          <w:noProof/>
        </w:rPr>
        <w:t xml:space="preserve"> върху собствените ресурси </w:t>
      </w:r>
    </w:p>
    <w:p w:rsidR="002F45D1" w:rsidRDefault="00B75E8E">
      <w:pPr>
        <w:pStyle w:val="ListNumberLevel3"/>
        <w:rPr>
          <w:noProof/>
        </w:rPr>
      </w:pPr>
      <w:r>
        <w:rPr>
          <w:noProof/>
        </w:rPr>
        <w:sym w:font="Wingdings" w:char="F0A8"/>
      </w:r>
      <w:r>
        <w:rPr>
          <w:noProof/>
        </w:rPr>
        <w:t xml:space="preserve"> върху разните приходи </w:t>
      </w:r>
    </w:p>
    <w:p w:rsidR="002F45D1" w:rsidRDefault="00B75E8E">
      <w:pPr>
        <w:jc w:val="right"/>
        <w:rPr>
          <w:i/>
          <w:noProof/>
          <w:sz w:val="20"/>
        </w:rPr>
      </w:pPr>
      <w:r>
        <w:rPr>
          <w:noProof/>
        </w:rPr>
        <w:t xml:space="preserve">млн. EUR (до третия знак след </w:t>
      </w:r>
      <w:r>
        <w:rPr>
          <w:noProof/>
        </w:rPr>
        <w:t>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2F45D1">
        <w:trPr>
          <w:trHeight w:val="388"/>
        </w:trPr>
        <w:tc>
          <w:tcPr>
            <w:tcW w:w="2144" w:type="dxa"/>
            <w:vMerge w:val="restart"/>
            <w:vAlign w:val="center"/>
          </w:tcPr>
          <w:p w:rsidR="002F45D1" w:rsidRDefault="00B75E8E">
            <w:pPr>
              <w:spacing w:before="40" w:after="40"/>
              <w:rPr>
                <w:noProof/>
                <w:sz w:val="18"/>
              </w:rPr>
            </w:pPr>
            <w:r>
              <w:rPr>
                <w:noProof/>
                <w:sz w:val="18"/>
              </w:rPr>
              <w:t>Приходен бюджетен ред:</w:t>
            </w:r>
          </w:p>
        </w:tc>
        <w:tc>
          <w:tcPr>
            <w:tcW w:w="1276" w:type="dxa"/>
            <w:vMerge w:val="restart"/>
            <w:vAlign w:val="center"/>
          </w:tcPr>
          <w:p w:rsidR="002F45D1" w:rsidRDefault="00B75E8E">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rsidR="002F45D1" w:rsidRDefault="00B75E8E">
            <w:pPr>
              <w:jc w:val="center"/>
              <w:rPr>
                <w:noProof/>
                <w:sz w:val="18"/>
              </w:rPr>
            </w:pPr>
            <w:r>
              <w:rPr>
                <w:noProof/>
                <w:sz w:val="18"/>
              </w:rPr>
              <w:t>Отражение на предложението/инициативата</w:t>
            </w:r>
            <w:r>
              <w:rPr>
                <w:rStyle w:val="FootnoteReference"/>
                <w:noProof/>
                <w:sz w:val="18"/>
              </w:rPr>
              <w:footnoteReference w:id="30"/>
            </w:r>
          </w:p>
        </w:tc>
      </w:tr>
      <w:tr w:rsidR="002F45D1">
        <w:trPr>
          <w:trHeight w:val="388"/>
        </w:trPr>
        <w:tc>
          <w:tcPr>
            <w:tcW w:w="2144" w:type="dxa"/>
            <w:vMerge/>
          </w:tcPr>
          <w:p w:rsidR="002F45D1" w:rsidRDefault="002F45D1">
            <w:pPr>
              <w:spacing w:before="40" w:after="40"/>
              <w:rPr>
                <w:noProof/>
                <w:sz w:val="18"/>
              </w:rPr>
            </w:pPr>
          </w:p>
        </w:tc>
        <w:tc>
          <w:tcPr>
            <w:tcW w:w="1276" w:type="dxa"/>
            <w:vMerge/>
          </w:tcPr>
          <w:p w:rsidR="002F45D1" w:rsidRDefault="002F45D1">
            <w:pPr>
              <w:spacing w:beforeLines="40" w:before="96" w:afterLines="40" w:after="96"/>
              <w:rPr>
                <w:i/>
                <w:noProof/>
                <w:sz w:val="18"/>
              </w:rPr>
            </w:pPr>
          </w:p>
        </w:tc>
        <w:tc>
          <w:tcPr>
            <w:tcW w:w="1080" w:type="dxa"/>
            <w:vAlign w:val="center"/>
          </w:tcPr>
          <w:p w:rsidR="002F45D1" w:rsidRDefault="00B75E8E">
            <w:pPr>
              <w:jc w:val="center"/>
              <w:rPr>
                <w:noProof/>
                <w:sz w:val="22"/>
              </w:rPr>
            </w:pPr>
            <w:r>
              <w:rPr>
                <w:noProof/>
                <w:sz w:val="22"/>
              </w:rPr>
              <w:t xml:space="preserve">Година </w:t>
            </w:r>
            <w:r>
              <w:rPr>
                <w:b/>
                <w:noProof/>
                <w:sz w:val="22"/>
              </w:rPr>
              <w:t>N</w:t>
            </w:r>
          </w:p>
        </w:tc>
        <w:tc>
          <w:tcPr>
            <w:tcW w:w="900" w:type="dxa"/>
            <w:vAlign w:val="center"/>
          </w:tcPr>
          <w:p w:rsidR="002F45D1" w:rsidRDefault="00B75E8E">
            <w:pPr>
              <w:jc w:val="center"/>
              <w:rPr>
                <w:noProof/>
                <w:sz w:val="22"/>
              </w:rPr>
            </w:pPr>
            <w:r>
              <w:rPr>
                <w:noProof/>
                <w:sz w:val="22"/>
              </w:rPr>
              <w:t>Година</w:t>
            </w:r>
            <w:r>
              <w:rPr>
                <w:b/>
                <w:noProof/>
                <w:sz w:val="22"/>
              </w:rPr>
              <w:t>N+1</w:t>
            </w:r>
          </w:p>
        </w:tc>
        <w:tc>
          <w:tcPr>
            <w:tcW w:w="900" w:type="dxa"/>
            <w:vAlign w:val="center"/>
          </w:tcPr>
          <w:p w:rsidR="002F45D1" w:rsidRDefault="00B75E8E">
            <w:pPr>
              <w:jc w:val="center"/>
              <w:rPr>
                <w:noProof/>
                <w:sz w:val="22"/>
              </w:rPr>
            </w:pPr>
            <w:r>
              <w:rPr>
                <w:noProof/>
                <w:sz w:val="22"/>
              </w:rPr>
              <w:t>Година</w:t>
            </w:r>
            <w:r>
              <w:rPr>
                <w:b/>
                <w:noProof/>
                <w:sz w:val="22"/>
              </w:rPr>
              <w:t>N+2</w:t>
            </w:r>
          </w:p>
        </w:tc>
        <w:tc>
          <w:tcPr>
            <w:tcW w:w="1080" w:type="dxa"/>
            <w:vAlign w:val="center"/>
          </w:tcPr>
          <w:p w:rsidR="002F45D1" w:rsidRDefault="00B75E8E">
            <w:pPr>
              <w:jc w:val="center"/>
              <w:rPr>
                <w:noProof/>
                <w:sz w:val="22"/>
              </w:rPr>
            </w:pPr>
            <w:r>
              <w:rPr>
                <w:noProof/>
                <w:sz w:val="22"/>
              </w:rPr>
              <w:t xml:space="preserve">Година </w:t>
            </w:r>
            <w:r>
              <w:rPr>
                <w:b/>
                <w:noProof/>
                <w:sz w:val="22"/>
              </w:rPr>
              <w:t>N+3</w:t>
            </w:r>
          </w:p>
        </w:tc>
        <w:tc>
          <w:tcPr>
            <w:tcW w:w="3240" w:type="dxa"/>
            <w:gridSpan w:val="3"/>
            <w:vAlign w:val="center"/>
          </w:tcPr>
          <w:p w:rsidR="002F45D1" w:rsidRDefault="00B75E8E">
            <w:pPr>
              <w:jc w:val="center"/>
              <w:rPr>
                <w:b/>
                <w:noProof/>
                <w:sz w:val="18"/>
              </w:rPr>
            </w:pPr>
            <w:r>
              <w:rPr>
                <w:noProof/>
                <w:sz w:val="18"/>
              </w:rPr>
              <w:t xml:space="preserve">Да се добавят толкова години, колкото е необходимо, за да се обхване </w:t>
            </w:r>
            <w:r>
              <w:rPr>
                <w:noProof/>
                <w:sz w:val="18"/>
              </w:rPr>
              <w:t>продължителността на отражението (вж. точка 1.6)</w:t>
            </w:r>
          </w:p>
        </w:tc>
      </w:tr>
      <w:tr w:rsidR="002F45D1">
        <w:trPr>
          <w:trHeight w:val="388"/>
        </w:trPr>
        <w:tc>
          <w:tcPr>
            <w:tcW w:w="2144" w:type="dxa"/>
            <w:vAlign w:val="center"/>
          </w:tcPr>
          <w:p w:rsidR="002F45D1" w:rsidRDefault="00B75E8E">
            <w:pPr>
              <w:spacing w:before="40" w:after="40"/>
              <w:rPr>
                <w:noProof/>
                <w:sz w:val="18"/>
              </w:rPr>
            </w:pPr>
            <w:r>
              <w:rPr>
                <w:noProof/>
                <w:sz w:val="18"/>
              </w:rPr>
              <w:t>Статия ….</w:t>
            </w:r>
          </w:p>
        </w:tc>
        <w:tc>
          <w:tcPr>
            <w:tcW w:w="1276" w:type="dxa"/>
          </w:tcPr>
          <w:p w:rsidR="002F45D1" w:rsidRDefault="002F45D1">
            <w:pPr>
              <w:spacing w:beforeLines="40" w:before="96" w:afterLines="40" w:after="96"/>
              <w:jc w:val="center"/>
              <w:rPr>
                <w:i/>
                <w:noProof/>
                <w:sz w:val="18"/>
              </w:rPr>
            </w:pPr>
          </w:p>
        </w:tc>
        <w:tc>
          <w:tcPr>
            <w:tcW w:w="1080" w:type="dxa"/>
          </w:tcPr>
          <w:p w:rsidR="002F45D1" w:rsidRDefault="002F45D1">
            <w:pPr>
              <w:spacing w:beforeLines="40" w:before="96" w:afterLines="40" w:after="96"/>
              <w:jc w:val="center"/>
              <w:rPr>
                <w:noProof/>
                <w:sz w:val="18"/>
              </w:rPr>
            </w:pPr>
          </w:p>
        </w:tc>
        <w:tc>
          <w:tcPr>
            <w:tcW w:w="900" w:type="dxa"/>
          </w:tcPr>
          <w:p w:rsidR="002F45D1" w:rsidRDefault="002F45D1">
            <w:pPr>
              <w:spacing w:beforeLines="40" w:before="96" w:afterLines="40" w:after="96"/>
              <w:jc w:val="center"/>
              <w:rPr>
                <w:noProof/>
                <w:sz w:val="18"/>
              </w:rPr>
            </w:pPr>
          </w:p>
        </w:tc>
        <w:tc>
          <w:tcPr>
            <w:tcW w:w="900" w:type="dxa"/>
          </w:tcPr>
          <w:p w:rsidR="002F45D1" w:rsidRDefault="002F45D1">
            <w:pPr>
              <w:spacing w:beforeLines="40" w:before="96" w:afterLines="40" w:after="96"/>
              <w:jc w:val="center"/>
              <w:rPr>
                <w:noProof/>
                <w:sz w:val="18"/>
              </w:rPr>
            </w:pPr>
          </w:p>
        </w:tc>
        <w:tc>
          <w:tcPr>
            <w:tcW w:w="1080" w:type="dxa"/>
          </w:tcPr>
          <w:p w:rsidR="002F45D1" w:rsidRDefault="002F45D1">
            <w:pPr>
              <w:spacing w:beforeLines="40" w:before="96" w:afterLines="40" w:after="96"/>
              <w:jc w:val="center"/>
              <w:rPr>
                <w:noProof/>
                <w:sz w:val="18"/>
              </w:rPr>
            </w:pPr>
          </w:p>
        </w:tc>
        <w:tc>
          <w:tcPr>
            <w:tcW w:w="1080" w:type="dxa"/>
          </w:tcPr>
          <w:p w:rsidR="002F45D1" w:rsidRDefault="002F45D1">
            <w:pPr>
              <w:spacing w:beforeLines="40" w:before="96" w:afterLines="40" w:after="96"/>
              <w:jc w:val="center"/>
              <w:rPr>
                <w:noProof/>
                <w:sz w:val="18"/>
              </w:rPr>
            </w:pPr>
          </w:p>
        </w:tc>
        <w:tc>
          <w:tcPr>
            <w:tcW w:w="1080" w:type="dxa"/>
          </w:tcPr>
          <w:p w:rsidR="002F45D1" w:rsidRDefault="002F45D1">
            <w:pPr>
              <w:spacing w:beforeLines="40" w:before="96" w:afterLines="40" w:after="96"/>
              <w:jc w:val="center"/>
              <w:rPr>
                <w:noProof/>
                <w:sz w:val="18"/>
              </w:rPr>
            </w:pPr>
          </w:p>
        </w:tc>
        <w:tc>
          <w:tcPr>
            <w:tcW w:w="1080" w:type="dxa"/>
          </w:tcPr>
          <w:p w:rsidR="002F45D1" w:rsidRDefault="002F45D1">
            <w:pPr>
              <w:spacing w:beforeLines="40" w:before="96" w:afterLines="40" w:after="96"/>
              <w:jc w:val="center"/>
              <w:rPr>
                <w:noProof/>
                <w:sz w:val="18"/>
              </w:rPr>
            </w:pPr>
          </w:p>
        </w:tc>
      </w:tr>
    </w:tbl>
    <w:p w:rsidR="002F45D1" w:rsidRDefault="00B75E8E">
      <w:pPr>
        <w:pStyle w:val="Text1"/>
        <w:rPr>
          <w:noProof/>
          <w:sz w:val="20"/>
        </w:rPr>
      </w:pPr>
      <w:r>
        <w:rPr>
          <w:noProof/>
          <w:sz w:val="20"/>
        </w:rPr>
        <w:t>За разните „целеви“ приходи да се посочат съответните разходни бюджетни редове.</w:t>
      </w:r>
    </w:p>
    <w:p w:rsidR="002F45D1" w:rsidRDefault="002F45D1">
      <w:pPr>
        <w:pStyle w:val="Text1"/>
        <w:pBdr>
          <w:top w:val="single" w:sz="4" w:space="1" w:color="auto"/>
          <w:left w:val="single" w:sz="4" w:space="4" w:color="auto"/>
          <w:bottom w:val="single" w:sz="4" w:space="1" w:color="auto"/>
          <w:right w:val="single" w:sz="4" w:space="4" w:color="auto"/>
        </w:pBdr>
        <w:rPr>
          <w:noProof/>
        </w:rPr>
      </w:pPr>
    </w:p>
    <w:p w:rsidR="002F45D1" w:rsidRDefault="00B75E8E">
      <w:pPr>
        <w:pStyle w:val="Text1"/>
        <w:rPr>
          <w:noProof/>
          <w:sz w:val="20"/>
        </w:rPr>
      </w:pPr>
      <w:r>
        <w:rPr>
          <w:noProof/>
          <w:sz w:val="20"/>
        </w:rPr>
        <w:t>Да се посочи методът за изчисляване на отражението върху приходите.</w:t>
      </w:r>
    </w:p>
    <w:p w:rsidR="002F45D1" w:rsidRDefault="002F45D1">
      <w:pPr>
        <w:pStyle w:val="Text1"/>
        <w:pBdr>
          <w:top w:val="single" w:sz="4" w:space="1" w:color="auto"/>
          <w:left w:val="single" w:sz="4" w:space="4" w:color="auto"/>
          <w:bottom w:val="single" w:sz="4" w:space="1" w:color="auto"/>
          <w:right w:val="single" w:sz="4" w:space="4" w:color="auto"/>
        </w:pBdr>
        <w:rPr>
          <w:noProof/>
        </w:rPr>
      </w:pPr>
    </w:p>
    <w:sectPr w:rsidR="002F45D1">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D1" w:rsidRDefault="00B75E8E">
      <w:pPr>
        <w:spacing w:before="0" w:after="0"/>
      </w:pPr>
      <w:r>
        <w:separator/>
      </w:r>
    </w:p>
  </w:endnote>
  <w:endnote w:type="continuationSeparator" w:id="0">
    <w:p w:rsidR="002F45D1" w:rsidRDefault="00B75E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EU 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B75E8E">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B75E8E">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2F45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B75E8E">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2F45D1">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B75E8E">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w:instrText>
    </w:r>
    <w:r>
      <w:instrText xml:space="preserve">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2F4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D1" w:rsidRDefault="00B75E8E">
      <w:pPr>
        <w:spacing w:before="0" w:after="0"/>
      </w:pPr>
      <w:r>
        <w:separator/>
      </w:r>
    </w:p>
  </w:footnote>
  <w:footnote w:type="continuationSeparator" w:id="0">
    <w:p w:rsidR="002F45D1" w:rsidRDefault="00B75E8E">
      <w:pPr>
        <w:spacing w:before="0" w:after="0"/>
      </w:pPr>
      <w:r>
        <w:continuationSeparator/>
      </w:r>
    </w:p>
  </w:footnote>
  <w:footnote w:id="1">
    <w:p w:rsidR="002F45D1" w:rsidRDefault="00B75E8E">
      <w:pPr>
        <w:pStyle w:val="FootnoteText"/>
        <w:ind w:left="142" w:hanging="142"/>
      </w:pPr>
      <w:r>
        <w:rPr>
          <w:rStyle w:val="FootnoteReference"/>
        </w:rPr>
        <w:footnoteRef/>
      </w:r>
      <w:r>
        <w:rPr>
          <w:lang w:val="ru-RU"/>
        </w:rPr>
        <w:tab/>
      </w:r>
      <w:hyperlink r:id="rId1">
        <w:r>
          <w:rPr>
            <w:rStyle w:val="Hyperlink"/>
          </w:rPr>
          <w:t>Препоръка на Комисията от 6.12.2012 г.</w:t>
        </w:r>
      </w:hyperlink>
      <w:r>
        <w:t xml:space="preserve"> относно агресивното данъчно планиране </w:t>
      </w:r>
    </w:p>
  </w:footnote>
  <w:footnote w:id="2">
    <w:p w:rsidR="002F45D1" w:rsidRDefault="00B75E8E">
      <w:pPr>
        <w:pStyle w:val="FootnoteText"/>
        <w:ind w:left="142" w:hanging="142"/>
      </w:pPr>
      <w:r>
        <w:rPr>
          <w:rStyle w:val="FootnoteReference"/>
        </w:rPr>
        <w:footnoteRef/>
      </w:r>
      <w:r>
        <w:tab/>
      </w:r>
      <w:r>
        <w:t>ОВ 98/C 2/01.</w:t>
      </w:r>
    </w:p>
  </w:footnote>
  <w:footnote w:id="3">
    <w:p w:rsidR="002F45D1" w:rsidRDefault="00B75E8E">
      <w:pPr>
        <w:pStyle w:val="FootnoteText"/>
        <w:ind w:left="142" w:hanging="142"/>
      </w:pPr>
      <w:r>
        <w:rPr>
          <w:rStyle w:val="FootnoteReference"/>
        </w:rPr>
        <w:footnoteRef/>
      </w:r>
      <w:r>
        <w:tab/>
      </w:r>
      <w:r>
        <w:t xml:space="preserve">Документ 10903/12 FISC 77 </w:t>
      </w:r>
    </w:p>
  </w:footnote>
  <w:footnote w:id="4">
    <w:p w:rsidR="002F45D1" w:rsidRDefault="00B75E8E">
      <w:pPr>
        <w:pStyle w:val="FootnoteText"/>
        <w:ind w:left="142" w:hanging="142"/>
      </w:pPr>
      <w:r>
        <w:rPr>
          <w:rStyle w:val="FootnoteReference"/>
        </w:rPr>
        <w:footnoteRef/>
      </w:r>
      <w:r>
        <w:tab/>
      </w:r>
      <w:hyperlink r:id="rId2">
        <w:r>
          <w:rPr>
            <w:rStyle w:val="Hyperlink"/>
          </w:rPr>
          <w:t>http://ec.europa.eu/priorities/work-programme/index_en.htm</w:t>
        </w:r>
      </w:hyperlink>
      <w:r>
        <w:t xml:space="preserve"> </w:t>
      </w:r>
    </w:p>
  </w:footnote>
  <w:footnote w:id="5">
    <w:p w:rsidR="002F45D1" w:rsidRDefault="00B75E8E">
      <w:pPr>
        <w:spacing w:before="0" w:after="0"/>
        <w:ind w:left="142" w:hanging="142"/>
      </w:pPr>
      <w:r>
        <w:rPr>
          <w:rStyle w:val="FootnoteReference"/>
        </w:rPr>
        <w:footnoteRef/>
      </w:r>
      <w:r>
        <w:tab/>
      </w:r>
      <w:r>
        <w:rPr>
          <w:sz w:val="20"/>
        </w:rPr>
        <w:t xml:space="preserve">Резолюция на Европейския парламент от 21 май 2013 г. относно борбата срещу данъчните измами, укриването на данъци и данъчните </w:t>
      </w:r>
      <w:r>
        <w:rPr>
          <w:sz w:val="20"/>
        </w:rPr>
        <w:t xml:space="preserve">убежища (доклад </w:t>
      </w:r>
      <w:proofErr w:type="spellStart"/>
      <w:r>
        <w:rPr>
          <w:sz w:val="20"/>
        </w:rPr>
        <w:t>Kleva</w:t>
      </w:r>
      <w:proofErr w:type="spellEnd"/>
      <w:r>
        <w:rPr>
          <w:sz w:val="20"/>
        </w:rPr>
        <w:t>) — 2013/2025 (INI).</w:t>
      </w:r>
    </w:p>
  </w:footnote>
  <w:footnote w:id="6">
    <w:p w:rsidR="002F45D1" w:rsidRDefault="00B75E8E">
      <w:pPr>
        <w:spacing w:before="0" w:after="0"/>
        <w:ind w:left="142" w:hanging="142"/>
      </w:pPr>
      <w:r>
        <w:rPr>
          <w:rStyle w:val="FootnoteReference"/>
        </w:rPr>
        <w:footnoteRef/>
      </w:r>
      <w:r>
        <w:tab/>
      </w:r>
      <w:r>
        <w:rPr>
          <w:sz w:val="20"/>
        </w:rPr>
        <w:t>Становище на Европейския икономически и социален комитет от 17 април 2013 г. относно Съобщение на Комисията до Европейския парламент и Съвета — План за действие за укрепване на борбата срещу данъчните измами и ук</w:t>
      </w:r>
      <w:r>
        <w:rPr>
          <w:sz w:val="20"/>
        </w:rPr>
        <w:t xml:space="preserve">риването на данъци, COM (2012) 722 </w:t>
      </w:r>
      <w:proofErr w:type="spellStart"/>
      <w:r>
        <w:rPr>
          <w:sz w:val="20"/>
        </w:rPr>
        <w:t>final</w:t>
      </w:r>
      <w:proofErr w:type="spellEnd"/>
      <w:r>
        <w:rPr>
          <w:sz w:val="20"/>
        </w:rPr>
        <w:t xml:space="preserve"> (доклад </w:t>
      </w:r>
      <w:proofErr w:type="spellStart"/>
      <w:r>
        <w:rPr>
          <w:sz w:val="20"/>
        </w:rPr>
        <w:t>Dandea</w:t>
      </w:r>
      <w:proofErr w:type="spellEnd"/>
      <w:r>
        <w:rPr>
          <w:sz w:val="20"/>
        </w:rPr>
        <w:t>) — CESE 101/2013.</w:t>
      </w:r>
    </w:p>
  </w:footnote>
  <w:footnote w:id="7">
    <w:p w:rsidR="002F45D1" w:rsidRDefault="00B75E8E">
      <w:pPr>
        <w:pStyle w:val="FootnoteText"/>
        <w:ind w:left="142" w:hanging="142"/>
      </w:pPr>
      <w:r>
        <w:rPr>
          <w:rStyle w:val="FootnoteReference"/>
        </w:rPr>
        <w:footnoteRef/>
      </w:r>
      <w:r>
        <w:tab/>
      </w:r>
      <w:r>
        <w:t xml:space="preserve">Публичните доклади от работата групата „Кодекс за поведение“ (Данъчно облагане на предприятия) са достъпни на следния интернет адрес: </w:t>
      </w:r>
      <w:hyperlink r:id="rId3">
        <w:r>
          <w:rPr>
            <w:rStyle w:val="Hyperlink"/>
          </w:rPr>
          <w:t>тук</w:t>
        </w:r>
      </w:hyperlink>
      <w:r>
        <w:rPr>
          <w:rStyle w:val="Hyperlink"/>
        </w:rPr>
        <w:t>.</w:t>
      </w:r>
    </w:p>
  </w:footnote>
  <w:footnote w:id="8">
    <w:p w:rsidR="002F45D1" w:rsidRDefault="00B75E8E">
      <w:pPr>
        <w:pStyle w:val="FootnoteText"/>
        <w:ind w:left="142" w:hanging="142"/>
      </w:pPr>
      <w:r>
        <w:rPr>
          <w:rStyle w:val="FootnoteReference"/>
        </w:rPr>
        <w:footnoteRef/>
      </w:r>
      <w:r>
        <w:tab/>
      </w:r>
      <w:r>
        <w:t>Съгласно проекта на ОИСР за предотвратяване на намаляването на данъ</w:t>
      </w:r>
      <w:r>
        <w:t>чната основа и прехвърлянето на печалби.</w:t>
      </w:r>
    </w:p>
  </w:footnote>
  <w:footnote w:id="9">
    <w:p w:rsidR="002F45D1" w:rsidRDefault="00B75E8E">
      <w:pPr>
        <w:pStyle w:val="FootnoteText"/>
        <w:ind w:left="142" w:hanging="142"/>
      </w:pPr>
      <w:r>
        <w:rPr>
          <w:rStyle w:val="FootnoteReference"/>
        </w:rPr>
        <w:footnoteRef/>
      </w:r>
      <w:r>
        <w:tab/>
      </w:r>
      <w:r>
        <w:t xml:space="preserve">OВ L 359, 16.12.2014 г. </w:t>
      </w:r>
    </w:p>
  </w:footnote>
  <w:footnote w:id="10">
    <w:p w:rsidR="002F45D1" w:rsidRDefault="00B75E8E">
      <w:pPr>
        <w:pStyle w:val="FootnoteText"/>
        <w:ind w:left="142" w:hanging="142"/>
      </w:pPr>
      <w:r>
        <w:rPr>
          <w:rStyle w:val="FootnoteReference"/>
        </w:rPr>
        <w:footnoteRef/>
      </w:r>
      <w:r>
        <w:tab/>
      </w:r>
      <w:r>
        <w:t>ОВ C [...], [...] г., стр. [...].</w:t>
      </w:r>
    </w:p>
  </w:footnote>
  <w:footnote w:id="11">
    <w:p w:rsidR="002F45D1" w:rsidRDefault="00B75E8E">
      <w:pPr>
        <w:pStyle w:val="FootnoteText"/>
        <w:ind w:left="142" w:hanging="142"/>
      </w:pPr>
      <w:r>
        <w:rPr>
          <w:rStyle w:val="FootnoteReference"/>
        </w:rPr>
        <w:footnoteRef/>
      </w:r>
      <w:r>
        <w:tab/>
      </w:r>
      <w:r>
        <w:t>ОВ C [...], [...] г., стр. [...].</w:t>
      </w:r>
    </w:p>
  </w:footnote>
  <w:footnote w:id="12">
    <w:p w:rsidR="002F45D1" w:rsidRDefault="00B75E8E">
      <w:pPr>
        <w:pStyle w:val="FootnoteText"/>
        <w:ind w:left="142" w:hanging="142"/>
      </w:pPr>
      <w:r>
        <w:rPr>
          <w:rStyle w:val="FootnoteReference"/>
        </w:rPr>
        <w:footnoteRef/>
      </w:r>
      <w:r>
        <w:tab/>
      </w:r>
      <w:r>
        <w:t>ОВ C [...], [...] г., стр. [...].</w:t>
      </w:r>
    </w:p>
  </w:footnote>
  <w:footnote w:id="13">
    <w:p w:rsidR="002F45D1" w:rsidRDefault="00B75E8E">
      <w:pPr>
        <w:pStyle w:val="FootnoteText"/>
        <w:ind w:left="142" w:hanging="142"/>
      </w:pPr>
      <w:r>
        <w:rPr>
          <w:rStyle w:val="FootnoteReference"/>
        </w:rPr>
        <w:footnoteRef/>
      </w:r>
      <w:r>
        <w:tab/>
      </w:r>
      <w:r>
        <w:t>Директива 2011/16/ЕС на Съвета от 15 февруари 2011 г. относно административнот</w:t>
      </w:r>
      <w:r>
        <w:t>о сътрудничество в областта на данъчното облагане и за отмяна на Директива 77/799/ЕИО (ОВ L 64, 11.3.2011 г., стр. 1).</w:t>
      </w:r>
    </w:p>
  </w:footnote>
  <w:footnote w:id="14">
    <w:p w:rsidR="002F45D1" w:rsidRDefault="00B75E8E">
      <w:pPr>
        <w:pStyle w:val="FootnoteText"/>
        <w:ind w:left="142" w:hanging="142"/>
      </w:pPr>
      <w:r>
        <w:rPr>
          <w:rStyle w:val="FootnoteReference"/>
        </w:rPr>
        <w:footnoteRef/>
      </w:r>
      <w:r>
        <w:tab/>
      </w:r>
      <w:r>
        <w:t>ОВ С 369, 17.12.2011 г., стр. 14.</w:t>
      </w:r>
    </w:p>
  </w:footnote>
  <w:footnote w:id="15">
    <w:p w:rsidR="002F45D1" w:rsidRDefault="00B75E8E">
      <w:pPr>
        <w:pStyle w:val="FootnoteText"/>
        <w:rPr>
          <w:szCs w:val="24"/>
        </w:rPr>
      </w:pPr>
      <w:r>
        <w:rPr>
          <w:rStyle w:val="FootnoteReference"/>
        </w:rPr>
        <w:footnoteRef/>
      </w:r>
      <w:r>
        <w:tab/>
      </w:r>
      <w:r>
        <w:t xml:space="preserve">УД — управление по дейности; БД — </w:t>
      </w:r>
      <w:proofErr w:type="spellStart"/>
      <w:r>
        <w:t>бюджетиране</w:t>
      </w:r>
      <w:proofErr w:type="spellEnd"/>
      <w:r>
        <w:t xml:space="preserve"> по дейности.</w:t>
      </w:r>
    </w:p>
  </w:footnote>
  <w:footnote w:id="16">
    <w:p w:rsidR="002F45D1" w:rsidRDefault="00B75E8E">
      <w:pPr>
        <w:pStyle w:val="FootnoteText"/>
        <w:rPr>
          <w:szCs w:val="24"/>
        </w:rPr>
      </w:pPr>
      <w:r>
        <w:rPr>
          <w:rStyle w:val="FootnoteReference"/>
        </w:rPr>
        <w:footnoteRef/>
      </w:r>
      <w:r>
        <w:tab/>
      </w:r>
      <w:r>
        <w:t>Съгласно член 54, параграф 2, буква а)</w:t>
      </w:r>
      <w:r>
        <w:t xml:space="preserve"> или б) от Финансовия регламент.</w:t>
      </w:r>
    </w:p>
  </w:footnote>
  <w:footnote w:id="17">
    <w:p w:rsidR="002F45D1" w:rsidRDefault="00B75E8E">
      <w:pPr>
        <w:pStyle w:val="FootnoteText"/>
        <w:rPr>
          <w:szCs w:val="24"/>
        </w:rPr>
      </w:pPr>
      <w:r>
        <w:rPr>
          <w:rStyle w:val="FootnoteReference"/>
        </w:rPr>
        <w:footnoteRef/>
      </w:r>
      <w:r>
        <w:tab/>
      </w:r>
      <w:r>
        <w:t xml:space="preserve">Подробна информация за методите на управление и позовавания на Финансовия регламент могат да бъдат намерени на уебсайта </w:t>
      </w:r>
      <w:proofErr w:type="spellStart"/>
      <w:r>
        <w:t>BudgWeb</w:t>
      </w:r>
      <w:proofErr w:type="spellEnd"/>
      <w:r>
        <w:t xml:space="preserve">: </w:t>
      </w:r>
      <w:r>
        <w:rPr>
          <w:sz w:val="18"/>
        </w:rPr>
        <w:t>http://www.cc.cec/budg/man/budgmanag/budgmanag_en.html</w:t>
      </w:r>
    </w:p>
  </w:footnote>
  <w:footnote w:id="18">
    <w:p w:rsidR="002F45D1" w:rsidRDefault="00B75E8E">
      <w:pPr>
        <w:pStyle w:val="FootnoteText"/>
        <w:rPr>
          <w:szCs w:val="24"/>
        </w:rPr>
      </w:pPr>
      <w:r>
        <w:rPr>
          <w:rStyle w:val="FootnoteReference"/>
        </w:rPr>
        <w:footnoteRef/>
      </w:r>
      <w:r>
        <w:tab/>
      </w:r>
      <w:proofErr w:type="spellStart"/>
      <w:r>
        <w:t>Многогод</w:t>
      </w:r>
      <w:proofErr w:type="spellEnd"/>
      <w:r>
        <w:t>. = многогодишни бюджетни к</w:t>
      </w:r>
      <w:r>
        <w:t xml:space="preserve">редити / </w:t>
      </w:r>
      <w:proofErr w:type="spellStart"/>
      <w:r>
        <w:t>едногод</w:t>
      </w:r>
      <w:proofErr w:type="spellEnd"/>
      <w:r>
        <w:t>. = едногодишни бюджетни кредити.</w:t>
      </w:r>
    </w:p>
  </w:footnote>
  <w:footnote w:id="19">
    <w:p w:rsidR="002F45D1" w:rsidRDefault="00B75E8E">
      <w:pPr>
        <w:pStyle w:val="FootnoteText"/>
        <w:rPr>
          <w:szCs w:val="24"/>
        </w:rPr>
      </w:pPr>
      <w:r>
        <w:rPr>
          <w:rStyle w:val="FootnoteReference"/>
        </w:rPr>
        <w:footnoteRef/>
      </w:r>
      <w:r>
        <w:tab/>
      </w:r>
      <w:r>
        <w:t xml:space="preserve">ЕАСТ: Европейска асоциация за свободна търговия. </w:t>
      </w:r>
    </w:p>
  </w:footnote>
  <w:footnote w:id="20">
    <w:p w:rsidR="002F45D1" w:rsidRDefault="00B75E8E">
      <w:pPr>
        <w:pStyle w:val="FootnoteText"/>
        <w:rPr>
          <w:szCs w:val="24"/>
        </w:rPr>
      </w:pPr>
      <w:r>
        <w:rPr>
          <w:rStyle w:val="FootnoteReference"/>
        </w:rPr>
        <w:footnoteRef/>
      </w:r>
      <w:r>
        <w:tab/>
      </w:r>
      <w:r>
        <w:t>Държави кандидатки и ако е приложимо, държави потенциални кандидатки от Западните Балкани.</w:t>
      </w:r>
    </w:p>
  </w:footnote>
  <w:footnote w:id="21">
    <w:p w:rsidR="002F45D1" w:rsidRDefault="00B75E8E">
      <w:pPr>
        <w:pStyle w:val="FootnoteText"/>
        <w:rPr>
          <w:szCs w:val="24"/>
        </w:rPr>
      </w:pPr>
      <w:r>
        <w:rPr>
          <w:rStyle w:val="FootnoteReference"/>
        </w:rPr>
        <w:footnoteRef/>
      </w:r>
      <w:r>
        <w:tab/>
      </w:r>
      <w:r>
        <w:t>2016 е годината, през която започва изпълнението на предлож</w:t>
      </w:r>
      <w:r>
        <w:t>ението/инициативата.</w:t>
      </w:r>
    </w:p>
  </w:footnote>
  <w:footnote w:id="22">
    <w:p w:rsidR="002F45D1" w:rsidRDefault="00B75E8E">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3">
    <w:p w:rsidR="002F45D1" w:rsidRDefault="00B75E8E">
      <w:pPr>
        <w:pStyle w:val="FootnoteText"/>
        <w:rPr>
          <w:szCs w:val="24"/>
        </w:rPr>
      </w:pPr>
      <w:r>
        <w:rPr>
          <w:rStyle w:val="FootnoteReference"/>
        </w:rPr>
        <w:footnoteRef/>
      </w:r>
      <w:r>
        <w:tab/>
      </w:r>
      <w:r>
        <w:t>2016 е годината, през която започва изпълнение</w:t>
      </w:r>
      <w:r>
        <w:t>то на предложението/инициативата.</w:t>
      </w:r>
    </w:p>
  </w:footnote>
  <w:footnote w:id="24">
    <w:p w:rsidR="002F45D1" w:rsidRDefault="00B75E8E">
      <w:pPr>
        <w:pStyle w:val="FootnoteText"/>
        <w:rPr>
          <w:szCs w:val="24"/>
        </w:rPr>
      </w:pPr>
      <w:r>
        <w:rPr>
          <w:rStyle w:val="FootnoteReference"/>
        </w:rPr>
        <w:footnoteRef/>
      </w:r>
      <w:r>
        <w:tab/>
      </w:r>
      <w:r>
        <w:t>Резултатите са продуктите и услугите, които ще бъдат доставени (например брой финансирани обмени на учащи се, дължина на построените пътища в километри и т.н.).</w:t>
      </w:r>
    </w:p>
  </w:footnote>
  <w:footnote w:id="25">
    <w:p w:rsidR="002F45D1" w:rsidRDefault="00B75E8E">
      <w:pPr>
        <w:pStyle w:val="FootnoteText"/>
        <w:rPr>
          <w:szCs w:val="24"/>
        </w:rPr>
      </w:pPr>
      <w:r>
        <w:rPr>
          <w:rStyle w:val="FootnoteReference"/>
        </w:rPr>
        <w:footnoteRef/>
      </w:r>
      <w:r>
        <w:tab/>
      </w:r>
      <w:r>
        <w:t xml:space="preserve">Съгласно описанието в точка 1.4.2. „Конкретни цели…“. </w:t>
      </w:r>
    </w:p>
  </w:footnote>
  <w:footnote w:id="26">
    <w:p w:rsidR="002F45D1" w:rsidRDefault="00B75E8E">
      <w:pPr>
        <w:pStyle w:val="FootnoteText"/>
        <w:rPr>
          <w:szCs w:val="24"/>
        </w:rPr>
      </w:pPr>
      <w:r>
        <w:rPr>
          <w:rStyle w:val="FootnoteReference"/>
        </w:rPr>
        <w:footnoteRef/>
      </w:r>
      <w:r>
        <w:tab/>
      </w:r>
      <w:r>
        <w:t>2016 е годината, през която започва изпълнението на предложението/инициативата.</w:t>
      </w:r>
    </w:p>
  </w:footnote>
  <w:footnote w:id="27">
    <w:p w:rsidR="002F45D1" w:rsidRDefault="00B75E8E">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w:t>
      </w:r>
      <w:r>
        <w:t>следвания.</w:t>
      </w:r>
    </w:p>
  </w:footnote>
  <w:footnote w:id="28">
    <w:p w:rsidR="002F45D1" w:rsidRDefault="00B75E8E">
      <w:pPr>
        <w:pStyle w:val="FootnoteText"/>
        <w:rPr>
          <w:szCs w:val="24"/>
        </w:rPr>
      </w:pPr>
      <w:r>
        <w:rPr>
          <w:rStyle w:val="FootnoteReference"/>
        </w:rPr>
        <w:footnoteRef/>
      </w:r>
      <w:r>
        <w:tab/>
      </w:r>
      <w: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9">
    <w:p w:rsidR="002F45D1" w:rsidRDefault="00B75E8E">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w:t>
      </w:r>
      <w:r>
        <w:t>а оперативни разходи (предишни редове BA).</w:t>
      </w:r>
    </w:p>
  </w:footnote>
  <w:footnote w:id="30">
    <w:p w:rsidR="002F45D1" w:rsidRDefault="00B75E8E">
      <w:pPr>
        <w:pStyle w:val="FootnoteText"/>
        <w:rPr>
          <w:szCs w:val="24"/>
        </w:rPr>
      </w:pPr>
      <w:r>
        <w:rPr>
          <w:rStyle w:val="FootnoteReference"/>
        </w:rPr>
        <w:footnoteRef/>
      </w:r>
      <w:r>
        <w:tab/>
      </w:r>
      <w:r>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2F45D1">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2F45D1">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2F45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D1" w:rsidRDefault="002F4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06A1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B49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3E12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0C0C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EE33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8B82B26"/>
    <w:multiLevelType w:val="multilevel"/>
    <w:tmpl w:val="0809001F"/>
    <w:styleLink w:val="Style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EE75F5"/>
    <w:multiLevelType w:val="multilevel"/>
    <w:tmpl w:val="DE226A70"/>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7E1619A"/>
    <w:multiLevelType w:val="multilevel"/>
    <w:tmpl w:val="08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6"/>
  </w:num>
  <w:num w:numId="5">
    <w:abstractNumId w:val="20"/>
  </w:num>
  <w:num w:numId="6">
    <w:abstractNumId w:val="27"/>
  </w:num>
  <w:num w:numId="7">
    <w:abstractNumId w:val="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
  </w:num>
  <w:num w:numId="12">
    <w:abstractNumId w:val="0"/>
  </w:num>
  <w:num w:numId="13">
    <w:abstractNumId w:val="24"/>
  </w:num>
  <w:num w:numId="14">
    <w:abstractNumId w:val="6"/>
  </w:num>
  <w:num w:numId="15">
    <w:abstractNumId w:val="25"/>
  </w:num>
  <w:num w:numId="16">
    <w:abstractNumId w:val="22"/>
  </w:num>
  <w:num w:numId="17">
    <w:abstractNumId w:val="28"/>
    <w:lvlOverride w:ilvl="0">
      <w:startOverride w:val="1"/>
    </w:lvlOverride>
  </w:num>
  <w:num w:numId="18">
    <w:abstractNumId w:val="19"/>
  </w:num>
  <w:num w:numId="19">
    <w:abstractNumId w:val="11"/>
  </w:num>
  <w:num w:numId="20">
    <w:abstractNumId w:val="23"/>
  </w:num>
  <w:num w:numId="21">
    <w:abstractNumId w:val="10"/>
  </w:num>
  <w:num w:numId="22">
    <w:abstractNumId w:val="12"/>
  </w:num>
  <w:num w:numId="23">
    <w:abstractNumId w:val="8"/>
  </w:num>
  <w:num w:numId="24">
    <w:abstractNumId w:val="21"/>
  </w:num>
  <w:num w:numId="25">
    <w:abstractNumId w:val="7"/>
  </w:num>
  <w:num w:numId="26">
    <w:abstractNumId w:val="13"/>
  </w:num>
  <w:num w:numId="27">
    <w:abstractNumId w:val="17"/>
  </w:num>
  <w:num w:numId="28">
    <w:abstractNumId w:val="18"/>
  </w:num>
  <w:num w:numId="29">
    <w:abstractNumId w:val="9"/>
  </w:num>
  <w:num w:numId="30">
    <w:abstractNumId w:val="16"/>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proofState w:spelling="clean" w:grammar="clean"/>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19 10:18: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0"/>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4"/>
    <w:docVar w:name="DQCStatus" w:val="Yellow"/>
    <w:docVar w:name="DQCVersion" w:val="2"/>
    <w:docVar w:name="DQCWithWarnings" w:val="0"/>
    <w:docVar w:name="LW_CONFIDENCE" w:val=" "/>
    <w:docVar w:name="LW_CONST_RESTREINT_UE" w:val="RESTREINT UE"/>
    <w:docVar w:name="LW_CORRIGENDUM" w:val="&lt;UNUSED&gt;"/>
    <w:docVar w:name="LW_COVERPAGE_GUID" w:val="577FA8710AC44228996EE7B9790B4C2E"/>
    <w:docVar w:name="LW_CROSSREFERENCE" w:val="{SWD(2015) 60 final}"/>
    <w:docVar w:name="LW_DocType" w:val="COM"/>
    <w:docVar w:name="LW_EMISSION" w:val="18.3.2015"/>
    <w:docVar w:name="LW_EMISSION_ISODATE" w:val="2015-03-18"/>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68"/>
    <w:docVar w:name="LW_REF.II.NEW.CP_YEAR" w:val="2015"/>
    <w:docVar w:name="LW_REF.INST.NEW" w:val="COM"/>
    <w:docVar w:name="LW_REF.INST.NEW_ADOPTED" w:val="final"/>
    <w:docVar w:name="LW_REF.INST.NEW_TEXT" w:val="(2015) 13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1/16/\u1045?\u1057? \u1087?\u1086? \u1086?\u1090?\u1085?\u1086?\u1096?\u1077?\u1085?\u1080?\u1077? \u1085?\u1072? \u1079?\u1072?\u1076?\u1098?\u1083?\u1078?\u1080?\u1090?\u1077?\u1083?\u1085?\u1080?\u1103? \u1072?\u1074?\u1090?\u1086?\u1084?\u1072?\u1090?\u1080?\u1095?\u1077?\u1085? \u1086?\u1073?\u1084?\u1077?\u1085? \u1085?\u1072? \u1080?\u1085?\u1092?\u1086?\u1088?\u1084?\u1072?\u1094?\u1080?\u1103? \u1074? \u1086?\u1073?\u1083?\u1072?\u1089?\u1090?\u1090?\u1072? \u1085?\u1072? \u1076?\u1072?\u1085?\u1098?\u1095?\u1085?\u1086?\u1090?\u1086? \u1086?\u1073?\u1083?\u1072?\u1075?\u1072?\u1085?\u1077?"/>
    <w:docVar w:name="LW_TYPE.DOC.CP" w:val="\u1044?\u1048?\u1056?\u1045?\u1050?\u1058?\u1048?\u1042?\u1040? \u1053?\u1040? \u1057?\u1066?\u1042?\u1045?\u1058?\u1040?"/>
  </w:docVars>
  <w:rsids>
    <w:rsidRoot w:val="002F45D1"/>
    <w:rsid w:val="002F45D1"/>
    <w:rsid w:val="00B7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rPr>
      <w:rFonts w:eastAsia="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rPr>
      <w:rFonts w:eastAsia="Times New Roman"/>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val="bg-BG" w:eastAsia="bg-BG"/>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NoSpacing">
    <w:name w:val="No Spacing"/>
    <w:uiPriority w:val="1"/>
    <w:qFormat/>
    <w:pPr>
      <w:jc w:val="both"/>
    </w:pPr>
    <w:rPr>
      <w:rFonts w:ascii="Times New Roman" w:eastAsia="Times New Roman" w:hAnsi="Times New Roman"/>
      <w:sz w:val="24"/>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bg-BG" w:eastAsia="bg-BG"/>
    </w:rPr>
  </w:style>
  <w:style w:type="paragraph" w:customStyle="1" w:styleId="Default">
    <w:name w:val="Default"/>
    <w:pPr>
      <w:autoSpaceDE w:val="0"/>
      <w:autoSpaceDN w:val="0"/>
      <w:adjustRightInd w:val="0"/>
    </w:pPr>
    <w:rPr>
      <w:rFonts w:ascii="EU Albertina" w:eastAsia="Times New Roman" w:hAnsi="EU Albertina" w:cs="EU Albertina"/>
      <w:color w:val="000000"/>
      <w:sz w:val="24"/>
      <w:szCs w:val="24"/>
    </w:rPr>
  </w:style>
  <w:style w:type="paragraph" w:styleId="Revision">
    <w:name w:val="Revision"/>
    <w:hidden/>
    <w:uiPriority w:val="99"/>
    <w:semiHidden/>
    <w:rPr>
      <w:rFonts w:ascii="Times New Roman" w:eastAsia="Times New Roman" w:hAnsi="Times New Roman"/>
      <w:sz w:val="24"/>
    </w:rPr>
  </w:style>
  <w:style w:type="paragraph" w:styleId="EndnoteText">
    <w:name w:val="endnote text"/>
    <w:basedOn w:val="Normal"/>
    <w:link w:val="EndnoteTextChar"/>
    <w:uiPriority w:val="99"/>
    <w:semiHidden/>
    <w:unhideWhenUsed/>
    <w:rPr>
      <w:rFonts w:eastAsia="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val="bg-BG" w:eastAsia="bg-BG"/>
    </w:rPr>
  </w:style>
  <w:style w:type="character" w:styleId="EndnoteReference">
    <w:name w:val="endnote reference"/>
    <w:uiPriority w:val="99"/>
    <w:semiHidden/>
    <w:unhideWhenUsed/>
    <w:rPr>
      <w:vertAlign w:val="superscript"/>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Number1">
    <w:name w:val="List Number 1"/>
    <w:basedOn w:val="Text1"/>
    <w:pPr>
      <w:numPr>
        <w:numId w:val="16"/>
      </w:numPr>
      <w:spacing w:before="0" w:after="240"/>
    </w:pPr>
    <w:rPr>
      <w:rFonts w:eastAsia="Times New Roman"/>
      <w:szCs w:val="20"/>
    </w:rPr>
  </w:style>
  <w:style w:type="paragraph" w:customStyle="1" w:styleId="ListNumber1Level2">
    <w:name w:val="List Number 1 (Level 2)"/>
    <w:basedOn w:val="Text1"/>
    <w:pPr>
      <w:numPr>
        <w:ilvl w:val="1"/>
        <w:numId w:val="16"/>
      </w:numPr>
      <w:spacing w:before="0" w:after="240"/>
    </w:pPr>
    <w:rPr>
      <w:rFonts w:eastAsia="Times New Roman"/>
      <w:szCs w:val="20"/>
    </w:rPr>
  </w:style>
  <w:style w:type="paragraph" w:customStyle="1" w:styleId="ListNumber1Level3">
    <w:name w:val="List Number 1 (Level 3)"/>
    <w:basedOn w:val="Text1"/>
    <w:pPr>
      <w:numPr>
        <w:ilvl w:val="2"/>
        <w:numId w:val="16"/>
      </w:numPr>
      <w:spacing w:before="0" w:after="240"/>
    </w:pPr>
    <w:rPr>
      <w:rFonts w:eastAsia="Times New Roman"/>
      <w:szCs w:val="20"/>
    </w:rPr>
  </w:style>
  <w:style w:type="paragraph" w:customStyle="1" w:styleId="ListNumber1Level4">
    <w:name w:val="List Number 1 (Level 4)"/>
    <w:basedOn w:val="Text1"/>
    <w:pPr>
      <w:numPr>
        <w:ilvl w:val="3"/>
        <w:numId w:val="16"/>
      </w:numPr>
      <w:spacing w:before="0" w:after="240"/>
    </w:pPr>
    <w:rPr>
      <w:rFonts w:eastAsia="Times New Roman"/>
      <w:szCs w:val="20"/>
    </w:rPr>
  </w:style>
  <w:style w:type="numbering" w:customStyle="1" w:styleId="Style2">
    <w:name w:val="Style2"/>
    <w:pPr>
      <w:numPr>
        <w:numId w:val="14"/>
      </w:numPr>
    </w:pPr>
  </w:style>
  <w:style w:type="numbering" w:customStyle="1" w:styleId="Style1">
    <w:name w:val="Style1"/>
    <w:pPr>
      <w:numPr>
        <w:numId w:val="13"/>
      </w:numPr>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rPr>
      <w:rFonts w:eastAsia="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rPr>
      <w:rFonts w:eastAsia="Times New Roman"/>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val="bg-BG" w:eastAsia="bg-BG"/>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NoSpacing">
    <w:name w:val="No Spacing"/>
    <w:uiPriority w:val="1"/>
    <w:qFormat/>
    <w:pPr>
      <w:jc w:val="both"/>
    </w:pPr>
    <w:rPr>
      <w:rFonts w:ascii="Times New Roman" w:eastAsia="Times New Roman" w:hAnsi="Times New Roman"/>
      <w:sz w:val="24"/>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bg-BG" w:eastAsia="bg-BG"/>
    </w:rPr>
  </w:style>
  <w:style w:type="paragraph" w:customStyle="1" w:styleId="Default">
    <w:name w:val="Default"/>
    <w:pPr>
      <w:autoSpaceDE w:val="0"/>
      <w:autoSpaceDN w:val="0"/>
      <w:adjustRightInd w:val="0"/>
    </w:pPr>
    <w:rPr>
      <w:rFonts w:ascii="EU Albertina" w:eastAsia="Times New Roman" w:hAnsi="EU Albertina" w:cs="EU Albertina"/>
      <w:color w:val="000000"/>
      <w:sz w:val="24"/>
      <w:szCs w:val="24"/>
    </w:rPr>
  </w:style>
  <w:style w:type="paragraph" w:styleId="Revision">
    <w:name w:val="Revision"/>
    <w:hidden/>
    <w:uiPriority w:val="99"/>
    <w:semiHidden/>
    <w:rPr>
      <w:rFonts w:ascii="Times New Roman" w:eastAsia="Times New Roman" w:hAnsi="Times New Roman"/>
      <w:sz w:val="24"/>
    </w:rPr>
  </w:style>
  <w:style w:type="paragraph" w:styleId="EndnoteText">
    <w:name w:val="endnote text"/>
    <w:basedOn w:val="Normal"/>
    <w:link w:val="EndnoteTextChar"/>
    <w:uiPriority w:val="99"/>
    <w:semiHidden/>
    <w:unhideWhenUsed/>
    <w:rPr>
      <w:rFonts w:eastAsia="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val="bg-BG" w:eastAsia="bg-BG"/>
    </w:rPr>
  </w:style>
  <w:style w:type="character" w:styleId="EndnoteReference">
    <w:name w:val="endnote reference"/>
    <w:uiPriority w:val="99"/>
    <w:semiHidden/>
    <w:unhideWhenUsed/>
    <w:rPr>
      <w:vertAlign w:val="superscript"/>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Number1">
    <w:name w:val="List Number 1"/>
    <w:basedOn w:val="Text1"/>
    <w:pPr>
      <w:numPr>
        <w:numId w:val="16"/>
      </w:numPr>
      <w:spacing w:before="0" w:after="240"/>
    </w:pPr>
    <w:rPr>
      <w:rFonts w:eastAsia="Times New Roman"/>
      <w:szCs w:val="20"/>
    </w:rPr>
  </w:style>
  <w:style w:type="paragraph" w:customStyle="1" w:styleId="ListNumber1Level2">
    <w:name w:val="List Number 1 (Level 2)"/>
    <w:basedOn w:val="Text1"/>
    <w:pPr>
      <w:numPr>
        <w:ilvl w:val="1"/>
        <w:numId w:val="16"/>
      </w:numPr>
      <w:spacing w:before="0" w:after="240"/>
    </w:pPr>
    <w:rPr>
      <w:rFonts w:eastAsia="Times New Roman"/>
      <w:szCs w:val="20"/>
    </w:rPr>
  </w:style>
  <w:style w:type="paragraph" w:customStyle="1" w:styleId="ListNumber1Level3">
    <w:name w:val="List Number 1 (Level 3)"/>
    <w:basedOn w:val="Text1"/>
    <w:pPr>
      <w:numPr>
        <w:ilvl w:val="2"/>
        <w:numId w:val="16"/>
      </w:numPr>
      <w:spacing w:before="0" w:after="240"/>
    </w:pPr>
    <w:rPr>
      <w:rFonts w:eastAsia="Times New Roman"/>
      <w:szCs w:val="20"/>
    </w:rPr>
  </w:style>
  <w:style w:type="paragraph" w:customStyle="1" w:styleId="ListNumber1Level4">
    <w:name w:val="List Number 1 (Level 4)"/>
    <w:basedOn w:val="Text1"/>
    <w:pPr>
      <w:numPr>
        <w:ilvl w:val="3"/>
        <w:numId w:val="16"/>
      </w:numPr>
      <w:spacing w:before="0" w:after="240"/>
    </w:pPr>
    <w:rPr>
      <w:rFonts w:eastAsia="Times New Roman"/>
      <w:szCs w:val="20"/>
    </w:rPr>
  </w:style>
  <w:style w:type="numbering" w:customStyle="1" w:styleId="Style2">
    <w:name w:val="Style2"/>
    <w:pPr>
      <w:numPr>
        <w:numId w:val="14"/>
      </w:numPr>
    </w:pPr>
  </w:style>
  <w:style w:type="numbering" w:customStyle="1" w:styleId="Style1">
    <w:name w:val="Style1"/>
    <w:pPr>
      <w:numPr>
        <w:numId w:val="13"/>
      </w:numPr>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7496">
      <w:bodyDiv w:val="1"/>
      <w:marLeft w:val="0"/>
      <w:marRight w:val="0"/>
      <w:marTop w:val="0"/>
      <w:marBottom w:val="0"/>
      <w:divBdr>
        <w:top w:val="none" w:sz="0" w:space="0" w:color="auto"/>
        <w:left w:val="none" w:sz="0" w:space="0" w:color="auto"/>
        <w:bottom w:val="none" w:sz="0" w:space="0" w:color="auto"/>
        <w:right w:val="none" w:sz="0" w:space="0" w:color="auto"/>
      </w:divBdr>
    </w:div>
    <w:div w:id="19499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cec/budg/leg/internal/leg-070_internal_en.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register/en/content/out/?typ=SET&amp;i=ADV&amp;RESULTSET=1&amp;DOC_ID=&amp;DOS_INTERINST=&amp;DOC_TITLE=Code+Conduct+Business+Taxation+Report&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2" Type="http://schemas.openxmlformats.org/officeDocument/2006/relationships/hyperlink" Target="http://ec.europa.eu/priorities/work-programme/index_en.htm" TargetMode="External"/><Relationship Id="rId1" Type="http://schemas.openxmlformats.org/officeDocument/2006/relationships/hyperlink" Target="http://ec.europa.eu/taxation_customs/resources/documents/taxation/tax_fraud_evasion/c_2012_8806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908B55AC52C4FAF7A8AE6DC3F0E00" ma:contentTypeVersion="0" ma:contentTypeDescription="Create a new document." ma:contentTypeScope="" ma:versionID="e1674feb5aa7bee42ad47ea36a32e5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1663-9444-41DF-A356-41837CAE8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AE787-327E-44B8-BFA2-5BA46F2D48AD}">
  <ds:schemaRefs>
    <ds:schemaRef ds:uri="http://schemas.microsoft.com/sharepoint/v3/contenttype/forms"/>
  </ds:schemaRefs>
</ds:datastoreItem>
</file>

<file path=customXml/itemProps3.xml><?xml version="1.0" encoding="utf-8"?>
<ds:datastoreItem xmlns:ds="http://schemas.openxmlformats.org/officeDocument/2006/customXml" ds:itemID="{7DFE735B-F98B-4419-85C3-5BDC7C752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9E6608-981E-45DD-BDC8-DDDADBB0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38</Pages>
  <Words>9730</Words>
  <Characters>59457</Characters>
  <Application>Microsoft Office Word</Application>
  <DocSecurity>0</DocSecurity>
  <Lines>2050</Lines>
  <Paragraphs>887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68300</CharactersWithSpaces>
  <SharedDoc>false</SharedDoc>
  <HLinks>
    <vt:vector size="24" baseType="variant">
      <vt:variant>
        <vt:i4>7209064</vt:i4>
      </vt:variant>
      <vt:variant>
        <vt:i4>0</vt:i4>
      </vt:variant>
      <vt:variant>
        <vt:i4>0</vt:i4>
      </vt:variant>
      <vt:variant>
        <vt:i4>5</vt:i4>
      </vt:variant>
      <vt:variant>
        <vt:lpwstr>http://www.cc.cec/budg/leg/internal/leg-070_internal_en.html</vt:lpwstr>
      </vt:variant>
      <vt:variant>
        <vt:lpwstr/>
      </vt:variant>
      <vt:variant>
        <vt:i4>8192002</vt:i4>
      </vt:variant>
      <vt:variant>
        <vt:i4>6</vt:i4>
      </vt:variant>
      <vt:variant>
        <vt:i4>0</vt:i4>
      </vt:variant>
      <vt:variant>
        <vt:i4>5</vt:i4>
      </vt:variant>
      <vt:variant>
        <vt:lpwstr>http://www.consilium.europa.eu/register/en/content/out/?typ=SET&amp;i=ADV&amp;RESULTSET=1&amp;DOC_ID=&amp;DOS_INTERINST=&amp;DOC_TITLE=Code+Conduct+Business+Taxation+Report&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vt:lpwstr>
      </vt:variant>
      <vt:variant>
        <vt:lpwstr/>
      </vt:variant>
      <vt:variant>
        <vt:i4>1966120</vt:i4>
      </vt:variant>
      <vt:variant>
        <vt:i4>3</vt:i4>
      </vt:variant>
      <vt:variant>
        <vt:i4>0</vt:i4>
      </vt:variant>
      <vt:variant>
        <vt:i4>5</vt:i4>
      </vt:variant>
      <vt:variant>
        <vt:lpwstr>http://ec.europa.eu/priorities/work-programme/index_en.htm</vt:lpwstr>
      </vt:variant>
      <vt:variant>
        <vt:lpwstr/>
      </vt:variant>
      <vt:variant>
        <vt:i4>2097214</vt:i4>
      </vt:variant>
      <vt:variant>
        <vt:i4>0</vt:i4>
      </vt:variant>
      <vt:variant>
        <vt:i4>0</vt:i4>
      </vt:variant>
      <vt:variant>
        <vt:i4>5</vt:i4>
      </vt:variant>
      <vt:variant>
        <vt:lpwstr>http://ec.europa.eu/taxation_customs/resources/documents/taxation/tax_fraud_evasion/c_2012_8806_en.pdf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2015-03-13T15:11:00Z</cp:lastPrinted>
  <dcterms:created xsi:type="dcterms:W3CDTF">2015-03-18T15:33:00Z</dcterms:created>
  <dcterms:modified xsi:type="dcterms:W3CDTF">2015-03-19T09:24:00Z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ContentTypeId">
    <vt:lpwstr>0x010100929908B55AC52C4FAF7A8AE6DC3F0E00</vt:lpwstr>
  </property>
  <property fmtid="{D5CDD505-2E9C-101B-9397-08002B2CF9AE}" pid="11" name="DQCStatus">
    <vt:lpwstr>Yellow (DQC version 02)</vt:lpwstr>
  </property>
</Properties>
</file>