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66B1" w:rsidRPr="00307401" w:rsidRDefault="00092B4E" w:rsidP="00307401">
      <w:pPr>
        <w:pStyle w:val="TechnicalBlock"/>
        <w:ind w:left="-1134" w:right="-1134"/>
      </w:pPr>
      <w:bookmarkStart w:id="0" w:name="DW_BM_COVERPAGE"/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971f18b0-2269-4cf3-9618-ac88a4fb0cd4" style="width:568.5pt;height:299.25pt">
            <v:imagedata r:id="rId8" o:title=""/>
          </v:shape>
        </w:pict>
      </w:r>
      <w:bookmarkEnd w:id="0"/>
    </w:p>
    <w:p w:rsidR="00D5323C" w:rsidRPr="00317552" w:rsidRDefault="00D5323C" w:rsidP="00250F1B">
      <w:pPr>
        <w:pStyle w:val="HeadingCentered"/>
        <w:spacing w:before="360"/>
      </w:pPr>
      <w:r w:rsidRPr="00317552">
        <w:br w:type="page"/>
      </w:r>
      <w:r w:rsidRPr="00317552">
        <w:lastRenderedPageBreak/>
        <w:t>ТОЧКИ ЗА ОТКРИТО ОБСЪЖДАНЕ</w:t>
      </w:r>
      <w:r w:rsidRPr="00317552">
        <w:rPr>
          <w:rStyle w:val="FootnoteReference"/>
        </w:rPr>
        <w:footnoteReference w:id="1"/>
      </w:r>
    </w:p>
    <w:p w:rsidR="00D5323C" w:rsidRPr="00317552" w:rsidRDefault="00D5323C" w:rsidP="00D5323C">
      <w:pPr>
        <w:pStyle w:val="NormalRight"/>
        <w:spacing w:before="600"/>
        <w:rPr>
          <w:b/>
        </w:rPr>
      </w:pPr>
      <w:r w:rsidRPr="00317552">
        <w:rPr>
          <w:b/>
        </w:rPr>
        <w:t>Страница</w:t>
      </w:r>
    </w:p>
    <w:p w:rsidR="00D5323C" w:rsidRPr="00317552" w:rsidRDefault="00D5323C" w:rsidP="00250F1B">
      <w:pPr>
        <w:pStyle w:val="HeadingLeft"/>
        <w:spacing w:before="120"/>
        <w:rPr>
          <w:u w:val="none"/>
        </w:rPr>
      </w:pPr>
      <w:r w:rsidRPr="00317552">
        <w:rPr>
          <w:u w:val="none"/>
        </w:rPr>
        <w:t>ОБСЪЖДАНИЯ НА ЗАКОНОДАТЕЛНИ АКТОВЕ</w:t>
      </w:r>
    </w:p>
    <w:p w:rsidR="00D5323C" w:rsidRPr="00317552" w:rsidRDefault="00D5323C" w:rsidP="00D5323C">
      <w:pPr>
        <w:spacing w:before="480"/>
        <w:rPr>
          <w:bCs/>
        </w:rPr>
      </w:pPr>
      <w:r w:rsidRPr="00317552">
        <w:rPr>
          <w:u w:val="single"/>
        </w:rPr>
        <w:t>ТОЧКИ „A“</w:t>
      </w:r>
      <w:r w:rsidRPr="00317552">
        <w:t xml:space="preserve"> (док. 5463/15 PTS A 3)</w:t>
      </w:r>
    </w:p>
    <w:p w:rsidR="00D5323C" w:rsidRPr="00317552" w:rsidRDefault="00D5323C" w:rsidP="0006277D">
      <w:pPr>
        <w:pStyle w:val="PointManual"/>
        <w:tabs>
          <w:tab w:val="right" w:leader="dot" w:pos="9639"/>
        </w:tabs>
      </w:pPr>
      <w:r w:rsidRPr="00317552">
        <w:t>1.</w:t>
      </w:r>
      <w:r w:rsidRPr="00317552">
        <w:tab/>
        <w:t>Предложение за регламент на Европейския парламент и на Съвета за изменение на Регламент (EО) № 223/2009 относно европейската статистика [първо четене] (ЗА)</w:t>
      </w:r>
      <w:r w:rsidRPr="00317552">
        <w:tab/>
      </w:r>
      <w:r w:rsidRPr="00317552">
        <w:tab/>
        <w:t>3</w:t>
      </w:r>
    </w:p>
    <w:p w:rsidR="00D5323C" w:rsidRPr="00317552" w:rsidRDefault="00D5323C" w:rsidP="0006277D">
      <w:pPr>
        <w:pStyle w:val="PointDoubleManual"/>
      </w:pPr>
      <w:r w:rsidRPr="00317552">
        <w:t>2.</w:t>
      </w:r>
      <w:r w:rsidRPr="00317552">
        <w:tab/>
        <w:t>—</w:t>
      </w:r>
      <w:r w:rsidRPr="00317552">
        <w:tab/>
        <w:t>Предложение за директива на Европейския парламент и на Съвета за предотвратяване на използването на финансовата система за целите на изпирането на пари и финансирането на тероризма (директива срещу изпирането на пари) [първо четене] (ЗА + И)</w:t>
      </w:r>
    </w:p>
    <w:p w:rsidR="00D5323C" w:rsidRPr="00317552" w:rsidRDefault="00D5323C" w:rsidP="00250F1B">
      <w:pPr>
        <w:pStyle w:val="PointManual1"/>
        <w:tabs>
          <w:tab w:val="left" w:leader="dot" w:pos="9639"/>
        </w:tabs>
      </w:pPr>
      <w:r w:rsidRPr="00317552">
        <w:t>—</w:t>
      </w:r>
      <w:r w:rsidRPr="00317552">
        <w:tab/>
        <w:t>Предложение за регламент на Европейския парламент и на Съвета относно информацията, придружаваща паричните преводи (регламент срещу изпирането на пари) [първо четене] (ЗА + И)</w:t>
      </w:r>
      <w:r w:rsidRPr="00317552">
        <w:tab/>
        <w:t>3</w:t>
      </w:r>
    </w:p>
    <w:p w:rsidR="00D5323C" w:rsidRPr="00317552" w:rsidRDefault="00D5323C" w:rsidP="00215771">
      <w:pPr>
        <w:pStyle w:val="PointManual"/>
        <w:tabs>
          <w:tab w:val="right" w:leader="dot" w:pos="9639"/>
        </w:tabs>
      </w:pPr>
      <w:r w:rsidRPr="00317552">
        <w:t>3.</w:t>
      </w:r>
      <w:r w:rsidRPr="00317552">
        <w:tab/>
        <w:t>Директива на Съвета за изменение на Директива 2011/96/ЕС относно общата система за данъчно облагане на дружества майки и дъщерни дружества от различни държави членки (ЗА + И)</w:t>
      </w:r>
      <w:r w:rsidRPr="00317552">
        <w:tab/>
      </w:r>
      <w:r w:rsidRPr="00317552">
        <w:tab/>
        <w:t>4</w:t>
      </w:r>
    </w:p>
    <w:p w:rsidR="00D5323C" w:rsidRPr="00317552" w:rsidRDefault="00D5323C" w:rsidP="00250F1B">
      <w:pPr>
        <w:pStyle w:val="PointManual"/>
        <w:tabs>
          <w:tab w:val="right" w:leader="dot" w:pos="9639"/>
        </w:tabs>
      </w:pPr>
      <w:r w:rsidRPr="00317552">
        <w:t>4.</w:t>
      </w:r>
      <w:r w:rsidRPr="00317552">
        <w:tab/>
        <w:t>Директива на Европейския парламент и на Съвета за отмяна на Директива 93/5/ЕИО на Съвета от 25 февруари 1993 г. за подпомагане на Комисията и сътрудничество на държавите членки при научното проучване на въпроси, свързани с храните [първо четене](ЗА)</w:t>
      </w:r>
      <w:r w:rsidRPr="00317552">
        <w:tab/>
      </w:r>
      <w:r w:rsidRPr="00317552">
        <w:tab/>
        <w:t>4</w:t>
      </w:r>
    </w:p>
    <w:p w:rsidR="00D5323C" w:rsidRPr="00317552" w:rsidRDefault="00D5323C" w:rsidP="00D5323C">
      <w:pPr>
        <w:spacing w:before="480"/>
        <w:rPr>
          <w:bCs/>
        </w:rPr>
      </w:pPr>
      <w:r w:rsidRPr="00317552">
        <w:rPr>
          <w:u w:val="single"/>
        </w:rPr>
        <w:t>ТОЧКИ „Б“</w:t>
      </w:r>
      <w:r w:rsidRPr="00317552">
        <w:t xml:space="preserve"> (док. 5462/15 OJ CONS 3 ECOFIN 39)</w:t>
      </w:r>
    </w:p>
    <w:p w:rsidR="00D5323C" w:rsidRPr="00317552" w:rsidRDefault="00D5323C" w:rsidP="00A74589">
      <w:pPr>
        <w:pStyle w:val="PointManual"/>
        <w:tabs>
          <w:tab w:val="right" w:leader="dot" w:pos="9639"/>
        </w:tabs>
      </w:pPr>
      <w:r w:rsidRPr="00317552">
        <w:t>3.</w:t>
      </w:r>
      <w:r w:rsidRPr="00317552">
        <w:tab/>
        <w:t>Инвестиционен план за Европа Европейски фонд за стратегически инвестиции</w:t>
      </w:r>
      <w:r w:rsidRPr="00317552">
        <w:tab/>
      </w:r>
      <w:r w:rsidRPr="00317552">
        <w:tab/>
        <w:t>5</w:t>
      </w:r>
    </w:p>
    <w:p w:rsidR="00D5323C" w:rsidRPr="00317552" w:rsidRDefault="00D5323C" w:rsidP="00A74589">
      <w:pPr>
        <w:pStyle w:val="PointManual"/>
        <w:tabs>
          <w:tab w:val="left" w:leader="dot" w:pos="9639"/>
        </w:tabs>
        <w:rPr>
          <w:bCs/>
        </w:rPr>
      </w:pPr>
      <w:r w:rsidRPr="00317552">
        <w:t>4.</w:t>
      </w:r>
      <w:r w:rsidRPr="00317552">
        <w:tab/>
        <w:t>Други въпроси</w:t>
      </w:r>
      <w:r w:rsidRPr="00317552">
        <w:tab/>
        <w:t>5</w:t>
      </w:r>
    </w:p>
    <w:p w:rsidR="00250F1B" w:rsidRPr="00317552" w:rsidRDefault="00250F1B" w:rsidP="00250F1B">
      <w:pPr>
        <w:pStyle w:val="HeadingLeft"/>
        <w:spacing w:before="360"/>
        <w:rPr>
          <w:u w:val="none"/>
        </w:rPr>
      </w:pPr>
      <w:r w:rsidRPr="00317552">
        <w:rPr>
          <w:u w:val="none"/>
        </w:rPr>
        <w:t>НЕЗАКОНОДАТЕЛНИ ДЕЙНОСТИ — ОТКРИТИ ДЕБАТИ</w:t>
      </w:r>
    </w:p>
    <w:p w:rsidR="00215771" w:rsidRPr="00317552" w:rsidRDefault="00215771" w:rsidP="00A74589">
      <w:pPr>
        <w:pStyle w:val="PointManual"/>
        <w:tabs>
          <w:tab w:val="right" w:leader="dot" w:pos="9639"/>
        </w:tabs>
      </w:pPr>
      <w:r w:rsidRPr="00317552">
        <w:t>6.</w:t>
      </w:r>
      <w:r w:rsidRPr="00317552">
        <w:tab/>
        <w:t>Представяне на работната програма на председателството</w:t>
      </w:r>
      <w:r w:rsidRPr="00317552">
        <w:tab/>
      </w:r>
      <w:r w:rsidRPr="00317552">
        <w:tab/>
        <w:t>5</w:t>
      </w:r>
    </w:p>
    <w:p w:rsidR="00215771" w:rsidRPr="00317552" w:rsidRDefault="00215771" w:rsidP="00A74589">
      <w:pPr>
        <w:pStyle w:val="PointManual"/>
        <w:tabs>
          <w:tab w:val="right" w:leader="dot" w:pos="9639"/>
        </w:tabs>
      </w:pPr>
      <w:r w:rsidRPr="00317552">
        <w:t>7.</w:t>
      </w:r>
      <w:r w:rsidRPr="00317552">
        <w:tab/>
        <w:t>Работна програма на Комисията за 2015 г. — Ново начало</w:t>
      </w:r>
      <w:r w:rsidRPr="00317552">
        <w:tab/>
      </w:r>
      <w:r w:rsidRPr="00317552">
        <w:tab/>
        <w:t>5</w:t>
      </w:r>
    </w:p>
    <w:p w:rsidR="00D5323C" w:rsidRPr="00317552" w:rsidRDefault="00D5323C" w:rsidP="00D5323C">
      <w:pPr>
        <w:pStyle w:val="NormalCentered"/>
        <w:spacing w:before="600"/>
      </w:pPr>
      <w:r w:rsidRPr="00317552">
        <w:t>*</w:t>
      </w:r>
    </w:p>
    <w:p w:rsidR="00D5323C" w:rsidRPr="00317552" w:rsidRDefault="00D5323C" w:rsidP="00D5323C">
      <w:pPr>
        <w:pStyle w:val="NormalCentered"/>
        <w:spacing w:before="120"/>
      </w:pPr>
      <w:r w:rsidRPr="00317552">
        <w:t>*</w:t>
      </w:r>
      <w:r w:rsidRPr="00317552">
        <w:tab/>
        <w:t>*</w:t>
      </w:r>
    </w:p>
    <w:p w:rsidR="00D5323C" w:rsidRPr="00317552" w:rsidRDefault="00D5323C" w:rsidP="00092B4E">
      <w:pPr>
        <w:pageBreakBefore/>
        <w:rPr>
          <w:b/>
          <w:u w:val="single"/>
        </w:rPr>
      </w:pPr>
      <w:r w:rsidRPr="00317552">
        <w:rPr>
          <w:b/>
          <w:u w:val="single"/>
        </w:rPr>
        <w:lastRenderedPageBreak/>
        <w:t>ОБСЪЖДАНИЯ НА ЗАКОНОДАТЕЛНИ АКТ</w:t>
      </w:r>
      <w:bookmarkStart w:id="1" w:name="_GoBack"/>
      <w:bookmarkEnd w:id="1"/>
      <w:r w:rsidRPr="00317552">
        <w:rPr>
          <w:b/>
          <w:u w:val="single"/>
        </w:rPr>
        <w:t>ОВЕ</w:t>
      </w:r>
    </w:p>
    <w:p w:rsidR="00D5323C" w:rsidRPr="00317552" w:rsidRDefault="00D5323C" w:rsidP="00092B4E">
      <w:pPr>
        <w:rPr>
          <w:b/>
          <w:i/>
          <w:iCs/>
        </w:rPr>
      </w:pPr>
      <w:r w:rsidRPr="00317552">
        <w:rPr>
          <w:b/>
          <w:i/>
        </w:rPr>
        <w:t>(открито обсъждане съгласно член 16, параграф 8 от Договора за Европейския съюз)</w:t>
      </w:r>
    </w:p>
    <w:p w:rsidR="00D5323C" w:rsidRPr="00317552" w:rsidRDefault="00D5323C" w:rsidP="00092B4E">
      <w:pPr>
        <w:rPr>
          <w:bCs/>
        </w:rPr>
      </w:pPr>
      <w:r w:rsidRPr="00317552">
        <w:rPr>
          <w:u w:val="single"/>
        </w:rPr>
        <w:t>ТОЧКИ „A“</w:t>
      </w:r>
      <w:r w:rsidRPr="00317552">
        <w:t xml:space="preserve"> (док. 5463/15 PTS A 3)</w:t>
      </w:r>
    </w:p>
    <w:p w:rsidR="00D5323C" w:rsidRPr="00317552" w:rsidRDefault="00D5323C" w:rsidP="00092B4E">
      <w:pPr>
        <w:pStyle w:val="PointManual"/>
        <w:spacing w:before="0"/>
        <w:rPr>
          <w:b/>
          <w:bCs/>
        </w:rPr>
      </w:pPr>
      <w:r w:rsidRPr="00317552">
        <w:rPr>
          <w:b/>
        </w:rPr>
        <w:t>1.</w:t>
      </w:r>
      <w:r w:rsidRPr="00317552">
        <w:tab/>
      </w:r>
      <w:r w:rsidRPr="00317552">
        <w:rPr>
          <w:b/>
        </w:rPr>
        <w:t>Предложение за регламент на Европейския парламент и на Съвета за изменение на Регламент (EО) № 223/2009 относно европейската статистика [първо четене] (ЗА)</w:t>
      </w:r>
    </w:p>
    <w:p w:rsidR="00D5323C" w:rsidRPr="00317552" w:rsidRDefault="00D5323C" w:rsidP="00092B4E">
      <w:pPr>
        <w:pStyle w:val="Dash1"/>
      </w:pPr>
      <w:r w:rsidRPr="00317552">
        <w:t>Приемане на политическо споразумение с оглед на ранно споразумение на второ четене с Европейския парламент</w:t>
      </w:r>
    </w:p>
    <w:p w:rsidR="00D5323C" w:rsidRPr="00317552" w:rsidRDefault="00D5323C" w:rsidP="00092B4E">
      <w:pPr>
        <w:pStyle w:val="Text3"/>
      </w:pPr>
      <w:r w:rsidRPr="00317552">
        <w:t>Док. 5109/15 STATIS 1 ECOFIN 10 CODEC 18</w:t>
      </w:r>
    </w:p>
    <w:p w:rsidR="00D5323C" w:rsidRPr="00317552" w:rsidRDefault="00D5323C" w:rsidP="00092B4E">
      <w:pPr>
        <w:pStyle w:val="Text3"/>
      </w:pPr>
      <w:r w:rsidRPr="00317552">
        <w:t>одобрено от Корепер (ІІ част) на 21.1.2015 г.</w:t>
      </w:r>
    </w:p>
    <w:p w:rsidR="00250F1B" w:rsidRPr="00317552" w:rsidRDefault="0006277D" w:rsidP="00092B4E">
      <w:pPr>
        <w:pStyle w:val="Text1"/>
      </w:pPr>
      <w:r w:rsidRPr="00317552">
        <w:rPr>
          <w:u w:val="single"/>
        </w:rPr>
        <w:t>Съветът</w:t>
      </w:r>
      <w:r w:rsidRPr="00317552">
        <w:t xml:space="preserve"> постигна политическо споразумение по посочения по-горе текст. </w:t>
      </w:r>
      <w:r w:rsidRPr="00317552">
        <w:rPr>
          <w:u w:val="single"/>
        </w:rPr>
        <w:t>Делегациите на Австрия и на Обединеното кралство</w:t>
      </w:r>
      <w:r w:rsidRPr="00317552">
        <w:t xml:space="preserve"> заявиха намерението си да гласуват против официалното приемане на законодателния текст. </w:t>
      </w:r>
      <w:r w:rsidRPr="00317552">
        <w:rPr>
          <w:u w:val="single"/>
        </w:rPr>
        <w:t>Делегацията на UK</w:t>
      </w:r>
      <w:r w:rsidRPr="00317552">
        <w:t xml:space="preserve"> внесе следното изявление:</w:t>
      </w:r>
    </w:p>
    <w:p w:rsidR="00250F1B" w:rsidRPr="00317552" w:rsidRDefault="00250F1B" w:rsidP="00092B4E">
      <w:pPr>
        <w:pStyle w:val="Text1"/>
        <w:rPr>
          <w:b/>
          <w:bCs/>
          <w:u w:val="single"/>
        </w:rPr>
      </w:pPr>
      <w:r w:rsidRPr="00317552">
        <w:rPr>
          <w:b/>
          <w:u w:val="single"/>
        </w:rPr>
        <w:t>Изявление на Обединеното кралство</w:t>
      </w:r>
    </w:p>
    <w:p w:rsidR="0006277D" w:rsidRPr="00317552" w:rsidRDefault="00215771" w:rsidP="00092B4E">
      <w:pPr>
        <w:pStyle w:val="Text1"/>
      </w:pPr>
      <w:r w:rsidRPr="00317552">
        <w:t>„Във връзка с предложението за регламент на Европейския парламент и на Съвета за изменение на Регламент (EО) № 223/2009 относно европейската статистика Обединеното кралство смята, че тъй като член 338, параграф 1 от ДФЕС е правното основание за Регламент 223/2009, той не представлява подходящо правно основание за член 12, параграф 3, буква б) от предложения регламент. Въпросният член дава правомощия на Европейската комисия за започване и провеждане на разследване, докато в секторното законодателство се предвиждат глоби в случаите, когато държавите членки представят погрешни статистически данни. Обединеното кралство подчертава, че член 338 от ДФЕС не предвижда налагането на глоби или други санкции в областта на статистиката в секторното законодателство, следователно член 12, параграф 3, буква б) не се счита за правно допустимо основание за бъдещото секторно законодателство“.</w:t>
      </w:r>
    </w:p>
    <w:p w:rsidR="00D5323C" w:rsidRPr="00317552" w:rsidRDefault="00D5323C" w:rsidP="00092B4E">
      <w:pPr>
        <w:pStyle w:val="PointDoubleManual"/>
        <w:spacing w:before="0"/>
        <w:rPr>
          <w:b/>
          <w:bCs/>
        </w:rPr>
      </w:pPr>
      <w:r w:rsidRPr="00317552">
        <w:rPr>
          <w:b/>
        </w:rPr>
        <w:t>2.</w:t>
      </w:r>
      <w:r w:rsidRPr="00317552">
        <w:tab/>
      </w:r>
      <w:r w:rsidRPr="00317552">
        <w:rPr>
          <w:b/>
        </w:rPr>
        <w:t>-</w:t>
      </w:r>
      <w:r w:rsidRPr="00317552">
        <w:tab/>
      </w:r>
      <w:r w:rsidRPr="00317552">
        <w:rPr>
          <w:b/>
        </w:rPr>
        <w:t>Предложение за директива на Европейския парламент и на Съвета за предотвратяване на използването на финансовата система за целите на изпирането на пари и финансирането на тероризма (директива срещу изпирането на пари) [първо четене] (ЗА + И)</w:t>
      </w:r>
    </w:p>
    <w:p w:rsidR="00D5323C" w:rsidRPr="00317552" w:rsidRDefault="00D5323C" w:rsidP="00092B4E">
      <w:pPr>
        <w:pStyle w:val="PointManual1"/>
        <w:rPr>
          <w:b/>
          <w:bCs/>
        </w:rPr>
      </w:pPr>
      <w:r w:rsidRPr="00317552">
        <w:rPr>
          <w:b/>
        </w:rPr>
        <w:t>-</w:t>
      </w:r>
      <w:r w:rsidRPr="00317552">
        <w:tab/>
      </w:r>
      <w:r w:rsidRPr="00317552">
        <w:rPr>
          <w:b/>
        </w:rPr>
        <w:t>Предложение за регламент на Европейския парламент и на Съвета относно информацията, придружаваща паричните преводи (регламент срещу изпирането на пари) [първо четене] (ЗА + И)</w:t>
      </w:r>
    </w:p>
    <w:p w:rsidR="00D5323C" w:rsidRPr="00317552" w:rsidRDefault="00D5323C" w:rsidP="00092B4E">
      <w:pPr>
        <w:pStyle w:val="DashEqual2"/>
      </w:pPr>
      <w:r w:rsidRPr="00317552">
        <w:t>Одобряване на окончателния компромисен текст</w:t>
      </w:r>
    </w:p>
    <w:p w:rsidR="00D5323C" w:rsidRPr="00317552" w:rsidRDefault="00D5323C" w:rsidP="00092B4E">
      <w:pPr>
        <w:pStyle w:val="Text3"/>
      </w:pPr>
      <w:r w:rsidRPr="00317552">
        <w:t>Док. 5535/15 EF 15 ECOFIN 41 DROIPEN 7 CRIMORG 12 CODEC 82</w:t>
      </w:r>
    </w:p>
    <w:p w:rsidR="00D5323C" w:rsidRPr="00317552" w:rsidRDefault="00D5323C" w:rsidP="00092B4E">
      <w:pPr>
        <w:pStyle w:val="Text3"/>
      </w:pPr>
      <w:r w:rsidRPr="00317552">
        <w:t>Док. 5116/15 ADD 1 EF 6 ECOFIN 12 DROIPEN 1 CRIMORG 7 CODEC 20</w:t>
      </w:r>
    </w:p>
    <w:p w:rsidR="00D5323C" w:rsidRPr="00317552" w:rsidRDefault="00D5323C" w:rsidP="00092B4E">
      <w:pPr>
        <w:pStyle w:val="Text3"/>
      </w:pPr>
      <w:r w:rsidRPr="00317552">
        <w:t>Док. 5116/15 ADD 2 EF 6 ECOFIN 12 DROIPEN 1 CRIMORG 7 CODEC 20</w:t>
      </w:r>
    </w:p>
    <w:p w:rsidR="00D5323C" w:rsidRPr="00317552" w:rsidRDefault="00D5323C" w:rsidP="00092B4E">
      <w:pPr>
        <w:pStyle w:val="Text3"/>
      </w:pPr>
      <w:r w:rsidRPr="00317552">
        <w:t>Док. 5116/15 ADD 3 EF 6 ECOFIN 12 DROIPEN 1 CRIMORG 7 CODEC 20</w:t>
      </w:r>
    </w:p>
    <w:p w:rsidR="00D5323C" w:rsidRPr="00317552" w:rsidRDefault="00D5323C" w:rsidP="00092B4E">
      <w:pPr>
        <w:pStyle w:val="Text3"/>
      </w:pPr>
      <w:r w:rsidRPr="00317552">
        <w:t>одобрено от Корепер (ІІ част) на 21.1.2015 г.</w:t>
      </w:r>
    </w:p>
    <w:p w:rsidR="0006277D" w:rsidRPr="00317552" w:rsidRDefault="0006277D" w:rsidP="00092B4E">
      <w:pPr>
        <w:pStyle w:val="Text1"/>
      </w:pPr>
      <w:r w:rsidRPr="00317552">
        <w:rPr>
          <w:u w:val="single"/>
        </w:rPr>
        <w:t>Съветът</w:t>
      </w:r>
      <w:r w:rsidRPr="00317552">
        <w:t xml:space="preserve"> одобри окончателните компромисни текстове, поместени в док. 5116/15 ADD 1 и ADD 2, и взе под внимание съвместното изявление на Съвета и на Комисията, както и изявленията на </w:t>
      </w:r>
      <w:r w:rsidRPr="00317552">
        <w:rPr>
          <w:u w:val="single"/>
        </w:rPr>
        <w:t>Австрия, Чешката република, Обединеното кралство и Франция</w:t>
      </w:r>
      <w:r w:rsidRPr="00317552">
        <w:t>, изложени в док. 5116/15 ADD 3 REV 4.</w:t>
      </w:r>
    </w:p>
    <w:p w:rsidR="00D5323C" w:rsidRPr="00317552" w:rsidRDefault="00D5323C" w:rsidP="00092B4E">
      <w:pPr>
        <w:pStyle w:val="PointManual"/>
        <w:spacing w:before="0"/>
        <w:rPr>
          <w:b/>
          <w:bCs/>
        </w:rPr>
      </w:pPr>
      <w:r w:rsidRPr="00317552">
        <w:rPr>
          <w:b/>
        </w:rPr>
        <w:t>3.</w:t>
      </w:r>
      <w:r w:rsidRPr="00317552">
        <w:tab/>
      </w:r>
      <w:r w:rsidRPr="00317552">
        <w:rPr>
          <w:b/>
        </w:rPr>
        <w:t>Директива на Съвета за изменение на Директива 2011/96/ЕС относно общата система за данъчно облагане на дружества майки и дъщерни дружества от различни държави членки</w:t>
      </w:r>
      <w:r w:rsidRPr="00317552">
        <w:rPr>
          <w:b/>
          <w:bCs/>
        </w:rPr>
        <w:br/>
      </w:r>
      <w:r w:rsidRPr="00317552">
        <w:rPr>
          <w:b/>
        </w:rPr>
        <w:t>(ЗА + И)</w:t>
      </w:r>
    </w:p>
    <w:p w:rsidR="00D5323C" w:rsidRPr="00317552" w:rsidRDefault="00D5323C" w:rsidP="00092B4E">
      <w:pPr>
        <w:pStyle w:val="Text3"/>
      </w:pPr>
      <w:r w:rsidRPr="00317552">
        <w:t>Док. 16633/14 FISC 228 ECOFIN 1179</w:t>
      </w:r>
    </w:p>
    <w:p w:rsidR="0006277D" w:rsidRPr="00317552" w:rsidRDefault="0006277D" w:rsidP="008F4D2E">
      <w:pPr>
        <w:pStyle w:val="Text1"/>
        <w:pageBreakBefore/>
        <w:spacing w:before="200" w:line="360" w:lineRule="auto"/>
      </w:pPr>
      <w:r w:rsidRPr="00317552">
        <w:rPr>
          <w:u w:val="single"/>
        </w:rPr>
        <w:lastRenderedPageBreak/>
        <w:t>Съветът</w:t>
      </w:r>
      <w:r w:rsidRPr="00317552">
        <w:t xml:space="preserve"> прие посочената по-горе директива, изложена в док. 16633/14. (правно основание: член 115 от ДФЕС)</w:t>
      </w:r>
    </w:p>
    <w:p w:rsidR="00215771" w:rsidRPr="00317552" w:rsidRDefault="00215771" w:rsidP="00250F1B">
      <w:pPr>
        <w:pStyle w:val="Text1"/>
        <w:spacing w:before="200" w:line="360" w:lineRule="auto"/>
      </w:pPr>
      <w:r w:rsidRPr="00317552">
        <w:t>Съветът реши да включи в настоящия протокол следните изявления:</w:t>
      </w:r>
    </w:p>
    <w:p w:rsidR="0006277D" w:rsidRPr="00317552" w:rsidRDefault="0006277D" w:rsidP="00250F1B">
      <w:pPr>
        <w:pStyle w:val="Text1"/>
        <w:spacing w:before="240"/>
        <w:rPr>
          <w:b/>
          <w:bCs/>
          <w:u w:val="single"/>
        </w:rPr>
      </w:pPr>
      <w:r w:rsidRPr="00317552">
        <w:rPr>
          <w:b/>
          <w:u w:val="single"/>
        </w:rPr>
        <w:t>Изявление на Съвета</w:t>
      </w:r>
    </w:p>
    <w:p w:rsidR="0006277D" w:rsidRPr="00317552" w:rsidRDefault="0006277D" w:rsidP="0006277D">
      <w:pPr>
        <w:pStyle w:val="Text1"/>
        <w:spacing w:before="200" w:after="120"/>
        <w:rPr>
          <w:b/>
          <w:bCs/>
          <w:u w:val="single"/>
        </w:rPr>
      </w:pPr>
      <w:r w:rsidRPr="00317552">
        <w:t>„При прилагането на разпоредбата за борба със злоупотребите от Директива 2011/96/ЕС държавите членки ще полагат усилия да обменят информация помежду си, в рамките на действащите правни инструменти на ЕС, когато информацията може да е от полза на другата държава членка.“</w:t>
      </w:r>
    </w:p>
    <w:p w:rsidR="0006277D" w:rsidRPr="00317552" w:rsidRDefault="0006277D" w:rsidP="00250F1B">
      <w:pPr>
        <w:pStyle w:val="Text1"/>
        <w:spacing w:before="240"/>
        <w:rPr>
          <w:b/>
          <w:bCs/>
          <w:u w:val="single"/>
        </w:rPr>
      </w:pPr>
      <w:r w:rsidRPr="00317552">
        <w:rPr>
          <w:b/>
          <w:u w:val="single"/>
        </w:rPr>
        <w:t>Изявление на Съвета</w:t>
      </w:r>
    </w:p>
    <w:p w:rsidR="0006277D" w:rsidRPr="00317552" w:rsidRDefault="0006277D" w:rsidP="0006277D">
      <w:pPr>
        <w:pStyle w:val="Text1"/>
        <w:spacing w:before="200" w:after="120"/>
        <w:rPr>
          <w:b/>
          <w:bCs/>
          <w:u w:val="single"/>
        </w:rPr>
      </w:pPr>
      <w:r w:rsidRPr="00317552">
        <w:t>„Съветът ще вземе под внимание разпоредбата за борба със злоупотребите от Директива 2011/96/ЕС в бъдещата си работа по евентуална разпоредба за борба със злоупотребите, която да бъде включена в Директива 2003/49/ЕО.“</w:t>
      </w:r>
    </w:p>
    <w:p w:rsidR="0006277D" w:rsidRPr="00317552" w:rsidRDefault="0006277D" w:rsidP="00250F1B">
      <w:pPr>
        <w:pStyle w:val="Text1"/>
        <w:spacing w:before="240"/>
        <w:rPr>
          <w:b/>
          <w:bCs/>
          <w:u w:val="single"/>
        </w:rPr>
      </w:pPr>
      <w:r w:rsidRPr="00317552">
        <w:rPr>
          <w:b/>
          <w:u w:val="single"/>
        </w:rPr>
        <w:t>Изявление на Комисията</w:t>
      </w:r>
    </w:p>
    <w:p w:rsidR="0006277D" w:rsidRPr="00317552" w:rsidRDefault="0006277D" w:rsidP="0006277D">
      <w:pPr>
        <w:pStyle w:val="Text1"/>
        <w:spacing w:before="200" w:after="120"/>
      </w:pPr>
      <w:r w:rsidRPr="00317552">
        <w:t>„Комисията потвърждава, че предложените изменения на член 1, параграф 2 от директивата за данъчно облагане на дружества майки и дъщерни дружества нямат за цел да засегнат националните системи за освобождаване от данък на дялово участие, доколкото последните са съвместими с разпоредбите на Договора.“</w:t>
      </w:r>
    </w:p>
    <w:p w:rsidR="00D5323C" w:rsidRPr="00317552" w:rsidRDefault="00D5323C" w:rsidP="0006277D">
      <w:pPr>
        <w:pStyle w:val="PointManual"/>
        <w:spacing w:before="840"/>
        <w:rPr>
          <w:b/>
          <w:bCs/>
        </w:rPr>
      </w:pPr>
      <w:r w:rsidRPr="00317552">
        <w:rPr>
          <w:b/>
        </w:rPr>
        <w:t>4.</w:t>
      </w:r>
      <w:r w:rsidRPr="00317552">
        <w:tab/>
      </w:r>
      <w:r w:rsidRPr="00317552">
        <w:rPr>
          <w:b/>
        </w:rPr>
        <w:t>Директива на Европейския парламент и на Съвета за отмяна на Директива 93/5/ЕИО на Съвета за подпомагане на Комисията и сътрудничество на държавите членки при научното проучване на въпроси, свързани с храните [първо четене](ЗА)</w:t>
      </w:r>
    </w:p>
    <w:p w:rsidR="00D5323C" w:rsidRPr="00317552" w:rsidRDefault="00D5323C" w:rsidP="00D5323C">
      <w:pPr>
        <w:pStyle w:val="Dash1"/>
      </w:pPr>
      <w:r w:rsidRPr="00317552">
        <w:t>Приемане на законодателния акт</w:t>
      </w:r>
    </w:p>
    <w:p w:rsidR="00D5323C" w:rsidRPr="00317552" w:rsidRDefault="00D5323C" w:rsidP="00D5323C">
      <w:pPr>
        <w:pStyle w:val="Text3"/>
      </w:pPr>
      <w:r w:rsidRPr="00317552">
        <w:t>Док. 5196/15 CODEC 35 AGRILEG 5 CONSOM 9 DENLEG 7 MI 17 RECH 3</w:t>
      </w:r>
    </w:p>
    <w:p w:rsidR="00D5323C" w:rsidRPr="00317552" w:rsidRDefault="00D5323C" w:rsidP="00D5323C">
      <w:pPr>
        <w:pStyle w:val="Text5"/>
      </w:pPr>
      <w:r w:rsidRPr="00317552">
        <w:t>SAN 8</w:t>
      </w:r>
    </w:p>
    <w:p w:rsidR="008F4D2E" w:rsidRPr="00317552" w:rsidRDefault="00D5323C" w:rsidP="00D5323C">
      <w:pPr>
        <w:pStyle w:val="Text3"/>
      </w:pPr>
      <w:r w:rsidRPr="00317552">
        <w:t>Док. PE-CONS 94/14 AGRILEG 209 CONSOM 214 DENLEG 162 MI 810</w:t>
      </w:r>
    </w:p>
    <w:p w:rsidR="00D5323C" w:rsidRPr="00317552" w:rsidRDefault="00D5323C" w:rsidP="00D5323C">
      <w:pPr>
        <w:pStyle w:val="Text5"/>
      </w:pPr>
      <w:r w:rsidRPr="00317552">
        <w:t>RECH 410 SAN 403 CODEC 2101</w:t>
      </w:r>
    </w:p>
    <w:p w:rsidR="00D5323C" w:rsidRPr="00317552" w:rsidRDefault="00D5323C" w:rsidP="00D5323C">
      <w:pPr>
        <w:pStyle w:val="Text3"/>
      </w:pPr>
      <w:r w:rsidRPr="00317552">
        <w:t>одобрено от Корепер (І част) на 21.1.2015 г.</w:t>
      </w:r>
    </w:p>
    <w:p w:rsidR="00D5323C" w:rsidRPr="00317552" w:rsidRDefault="0006277D" w:rsidP="0006277D">
      <w:pPr>
        <w:pStyle w:val="Text1"/>
        <w:spacing w:before="200" w:line="360" w:lineRule="auto"/>
      </w:pPr>
      <w:r w:rsidRPr="00317552">
        <w:rPr>
          <w:u w:val="single"/>
        </w:rPr>
        <w:t>Съветът</w:t>
      </w:r>
      <w:r w:rsidRPr="00317552">
        <w:t xml:space="preserve"> одобри позицията на Европейския парламент на първо четене и предложеният акт беше приет съгласно член 294, параграф 4 от Договора за функционирането на Европейския съюз. (правно основание: член 114 от ДФЕС)</w:t>
      </w:r>
    </w:p>
    <w:p w:rsidR="00D5323C" w:rsidRPr="00317552" w:rsidRDefault="00D5323C" w:rsidP="00092B4E">
      <w:pPr>
        <w:pageBreakBefore/>
        <w:rPr>
          <w:bCs/>
        </w:rPr>
      </w:pPr>
      <w:r w:rsidRPr="00317552">
        <w:rPr>
          <w:u w:val="single"/>
        </w:rPr>
        <w:lastRenderedPageBreak/>
        <w:t>ТОЧКИ „Б“</w:t>
      </w:r>
      <w:r w:rsidRPr="00317552">
        <w:t xml:space="preserve"> (док. 5462/15 OJ CONS 3 ECOFIN 39)</w:t>
      </w:r>
    </w:p>
    <w:p w:rsidR="00D5323C" w:rsidRPr="00317552" w:rsidRDefault="00D5323C" w:rsidP="00092B4E">
      <w:pPr>
        <w:pStyle w:val="PointManual"/>
        <w:spacing w:before="240"/>
        <w:rPr>
          <w:b/>
          <w:bCs/>
        </w:rPr>
      </w:pPr>
      <w:r w:rsidRPr="00317552">
        <w:rPr>
          <w:b/>
        </w:rPr>
        <w:t>3.</w:t>
      </w:r>
      <w:r w:rsidRPr="00317552">
        <w:tab/>
      </w:r>
      <w:r w:rsidRPr="00317552">
        <w:rPr>
          <w:b/>
        </w:rPr>
        <w:t>Инвестиционен план за Европа Европейски фонд за стратегически инвестиции</w:t>
      </w:r>
    </w:p>
    <w:p w:rsidR="00D5323C" w:rsidRPr="00317552" w:rsidRDefault="00D5323C" w:rsidP="00092B4E">
      <w:pPr>
        <w:pStyle w:val="Dash1"/>
        <w:numPr>
          <w:ilvl w:val="0"/>
          <w:numId w:val="30"/>
        </w:numPr>
        <w:rPr>
          <w:b/>
          <w:bCs/>
        </w:rPr>
      </w:pPr>
      <w:r w:rsidRPr="00317552">
        <w:rPr>
          <w:b/>
        </w:rPr>
        <w:t>Предложение за Регламент на Европейския парламент и на Съвета относно Европейския фонд за стратегически инвестиции и за изменение на регламенти (ЕС) № 1291/2013 и (ЕС) № 1316/2013</w:t>
      </w:r>
    </w:p>
    <w:p w:rsidR="00D5323C" w:rsidRPr="00317552" w:rsidRDefault="00D5323C" w:rsidP="00092B4E">
      <w:pPr>
        <w:pStyle w:val="DashEqual2"/>
        <w:numPr>
          <w:ilvl w:val="0"/>
          <w:numId w:val="31"/>
        </w:numPr>
      </w:pPr>
      <w:r w:rsidRPr="00317552">
        <w:t>Представяне от Комисията и обмен на мнения</w:t>
      </w:r>
    </w:p>
    <w:p w:rsidR="00D5323C" w:rsidRPr="00317552" w:rsidRDefault="00D5323C" w:rsidP="00092B4E">
      <w:pPr>
        <w:pStyle w:val="Text4"/>
      </w:pPr>
      <w:r w:rsidRPr="00317552">
        <w:t>Док. 5112/15 ECOFIN 11 CODEC 19 POLGEN 5 COMPET 8 RECH 2 ENER 6</w:t>
      </w:r>
    </w:p>
    <w:p w:rsidR="00D5323C" w:rsidRPr="00317552" w:rsidRDefault="00D5323C" w:rsidP="00092B4E">
      <w:pPr>
        <w:pStyle w:val="Text6"/>
      </w:pPr>
      <w:r w:rsidRPr="00317552">
        <w:t>TRANS 9 ENV 7 EDUC 4 SOC 5 EMPL 3 EF 5 AGRI 14</w:t>
      </w:r>
    </w:p>
    <w:p w:rsidR="00D5323C" w:rsidRPr="00317552" w:rsidRDefault="00D5323C" w:rsidP="00092B4E">
      <w:pPr>
        <w:pStyle w:val="Text6"/>
      </w:pPr>
      <w:r w:rsidRPr="00317552">
        <w:t>TELECOM 7</w:t>
      </w:r>
    </w:p>
    <w:p w:rsidR="00D5323C" w:rsidRPr="00317552" w:rsidRDefault="00D5323C" w:rsidP="00092B4E">
      <w:pPr>
        <w:pStyle w:val="Text5"/>
      </w:pPr>
      <w:r w:rsidRPr="00317552">
        <w:t>+ ADD 1</w:t>
      </w:r>
    </w:p>
    <w:p w:rsidR="00D5323C" w:rsidRPr="00317552" w:rsidRDefault="00D5323C" w:rsidP="00092B4E">
      <w:pPr>
        <w:pStyle w:val="Text1"/>
        <w:spacing w:before="160"/>
      </w:pPr>
      <w:r w:rsidRPr="00317552">
        <w:rPr>
          <w:u w:val="single"/>
        </w:rPr>
        <w:t>Комисията</w:t>
      </w:r>
      <w:r w:rsidRPr="00317552">
        <w:t xml:space="preserve"> представи своето предложение за Европейския фонд за стратегически инвестиции, по което Съветът проведе първоначален обмен на мнения. </w:t>
      </w:r>
      <w:r w:rsidRPr="00317552">
        <w:rPr>
          <w:u w:val="single"/>
        </w:rPr>
        <w:t>Председателството</w:t>
      </w:r>
      <w:r w:rsidRPr="00317552">
        <w:t xml:space="preserve"> очерта организацията на работата в Съвета във връзка с разглеждането на предложението.</w:t>
      </w:r>
    </w:p>
    <w:p w:rsidR="00D5323C" w:rsidRPr="00317552" w:rsidRDefault="00D5323C" w:rsidP="00092B4E">
      <w:pPr>
        <w:pStyle w:val="PointManual"/>
        <w:spacing w:before="600"/>
        <w:rPr>
          <w:b/>
          <w:bCs/>
        </w:rPr>
      </w:pPr>
      <w:r w:rsidRPr="00317552">
        <w:rPr>
          <w:b/>
        </w:rPr>
        <w:t>4.</w:t>
      </w:r>
      <w:r w:rsidRPr="00317552">
        <w:tab/>
      </w:r>
      <w:r w:rsidRPr="00317552">
        <w:rPr>
          <w:b/>
        </w:rPr>
        <w:t>Други въпроси</w:t>
      </w:r>
    </w:p>
    <w:p w:rsidR="00D5323C" w:rsidRPr="00317552" w:rsidRDefault="00D5323C" w:rsidP="00092B4E">
      <w:pPr>
        <w:pStyle w:val="Dash1"/>
        <w:spacing w:before="200"/>
        <w:rPr>
          <w:b/>
          <w:bCs/>
        </w:rPr>
      </w:pPr>
      <w:r w:rsidRPr="00317552">
        <w:rPr>
          <w:b/>
        </w:rPr>
        <w:t>Текущи законодателни предложения</w:t>
      </w:r>
    </w:p>
    <w:p w:rsidR="00D5323C" w:rsidRPr="00317552" w:rsidRDefault="00D5323C" w:rsidP="00092B4E">
      <w:pPr>
        <w:pStyle w:val="DashEqual2"/>
        <w:rPr>
          <w:iCs/>
        </w:rPr>
      </w:pPr>
      <w:r w:rsidRPr="00317552">
        <w:t>Информация от председателството</w:t>
      </w:r>
    </w:p>
    <w:p w:rsidR="002A66B1" w:rsidRPr="00317552" w:rsidRDefault="00D5323C" w:rsidP="00092B4E">
      <w:pPr>
        <w:pStyle w:val="Text1"/>
        <w:spacing w:before="160"/>
      </w:pPr>
      <w:r w:rsidRPr="00317552">
        <w:rPr>
          <w:u w:val="single"/>
        </w:rPr>
        <w:t>Съветът</w:t>
      </w:r>
      <w:r w:rsidRPr="00317552">
        <w:t xml:space="preserve"> взе под внимание актуалното състояние във връзка със законодателните досиета в областта на финансовите услуги.</w:t>
      </w:r>
    </w:p>
    <w:p w:rsidR="00215771" w:rsidRPr="00317552" w:rsidRDefault="00215771" w:rsidP="00092B4E">
      <w:pPr>
        <w:spacing w:before="600"/>
        <w:rPr>
          <w:b/>
          <w:bCs/>
          <w:u w:val="single"/>
        </w:rPr>
      </w:pPr>
      <w:r w:rsidRPr="00317552">
        <w:rPr>
          <w:b/>
          <w:u w:val="single"/>
        </w:rPr>
        <w:t>НЕЗАКОНОДАТЕЛНИ ДЕЙНОСТИ — ОТКРИТИ ДЕБАТИ</w:t>
      </w:r>
    </w:p>
    <w:p w:rsidR="00215771" w:rsidRPr="00317552" w:rsidRDefault="00250F1B" w:rsidP="00092B4E">
      <w:pPr>
        <w:rPr>
          <w:b/>
          <w:bCs/>
          <w:i/>
          <w:iCs/>
        </w:rPr>
      </w:pPr>
      <w:r w:rsidRPr="00317552">
        <w:rPr>
          <w:b/>
          <w:i/>
        </w:rPr>
        <w:t>(съгласно член 8, параграфи 2 и 3 от Процедурния правилник на Съвета)</w:t>
      </w:r>
    </w:p>
    <w:p w:rsidR="00215771" w:rsidRPr="00317552" w:rsidRDefault="00215771" w:rsidP="00092B4E">
      <w:pPr>
        <w:pStyle w:val="PointManual"/>
        <w:spacing w:before="240"/>
        <w:rPr>
          <w:b/>
          <w:bCs/>
        </w:rPr>
      </w:pPr>
      <w:r w:rsidRPr="00317552">
        <w:rPr>
          <w:b/>
        </w:rPr>
        <w:t>6.</w:t>
      </w:r>
      <w:r w:rsidRPr="00317552">
        <w:tab/>
      </w:r>
      <w:r w:rsidRPr="00317552">
        <w:rPr>
          <w:b/>
        </w:rPr>
        <w:t>Представяне на програмата на председателството</w:t>
      </w:r>
    </w:p>
    <w:p w:rsidR="00215771" w:rsidRPr="00317552" w:rsidRDefault="00215771" w:rsidP="00092B4E">
      <w:pPr>
        <w:pStyle w:val="Dash1"/>
      </w:pPr>
      <w:r w:rsidRPr="00317552">
        <w:t>Обмен на мнения</w:t>
      </w:r>
    </w:p>
    <w:p w:rsidR="00215771" w:rsidRPr="00317552" w:rsidRDefault="00215771" w:rsidP="00092B4E">
      <w:pPr>
        <w:pStyle w:val="Text4"/>
      </w:pPr>
      <w:r w:rsidRPr="00317552">
        <w:t>Док. 5335/15 ECOFIN 29</w:t>
      </w:r>
    </w:p>
    <w:p w:rsidR="00215771" w:rsidRPr="00317552" w:rsidRDefault="00215771" w:rsidP="00092B4E">
      <w:pPr>
        <w:pStyle w:val="Text1"/>
        <w:spacing w:before="160"/>
      </w:pPr>
      <w:r w:rsidRPr="00317552">
        <w:rPr>
          <w:u w:val="single"/>
        </w:rPr>
        <w:t>Латвийското председателство</w:t>
      </w:r>
      <w:r w:rsidRPr="00317552">
        <w:t xml:space="preserve"> представи работната си програма по отношение на икономическите и финансовите въпроси.</w:t>
      </w:r>
    </w:p>
    <w:p w:rsidR="00215771" w:rsidRPr="00317552" w:rsidRDefault="00215771" w:rsidP="00092B4E">
      <w:pPr>
        <w:pStyle w:val="PointManual"/>
        <w:spacing w:before="600"/>
        <w:rPr>
          <w:b/>
          <w:bCs/>
        </w:rPr>
      </w:pPr>
      <w:r w:rsidRPr="00317552">
        <w:rPr>
          <w:b/>
        </w:rPr>
        <w:t>7.</w:t>
      </w:r>
      <w:r w:rsidRPr="00317552">
        <w:tab/>
      </w:r>
      <w:r w:rsidRPr="00317552">
        <w:rPr>
          <w:b/>
        </w:rPr>
        <w:t>Работна програма на Комисията за 2015 г. — Ново начало</w:t>
      </w:r>
    </w:p>
    <w:p w:rsidR="00215771" w:rsidRPr="00317552" w:rsidRDefault="00215771" w:rsidP="00092B4E">
      <w:pPr>
        <w:pStyle w:val="Dash1"/>
        <w:rPr>
          <w:b/>
          <w:bCs/>
        </w:rPr>
      </w:pPr>
      <w:r w:rsidRPr="00317552">
        <w:rPr>
          <w:b/>
        </w:rPr>
        <w:t>Съобщение на Комисията до Европейския парламент, Съвета, Европейския икономически и социален комитет и Комитета на регионите: Работна програма на Комисията за 2015 г. — Ново начало</w:t>
      </w:r>
    </w:p>
    <w:p w:rsidR="00215771" w:rsidRPr="00317552" w:rsidRDefault="00215771" w:rsidP="00092B4E">
      <w:pPr>
        <w:pStyle w:val="DashEqual2"/>
      </w:pPr>
      <w:r w:rsidRPr="00317552">
        <w:t>Представяне от Комисията и обмен на мнения</w:t>
      </w:r>
    </w:p>
    <w:p w:rsidR="00215771" w:rsidRPr="00317552" w:rsidRDefault="00215771" w:rsidP="00092B4E">
      <w:pPr>
        <w:pStyle w:val="Text4"/>
      </w:pPr>
      <w:r w:rsidRPr="00317552">
        <w:t>Док. 5080/15 POLGEN 4</w:t>
      </w:r>
    </w:p>
    <w:p w:rsidR="00215771" w:rsidRPr="00317552" w:rsidRDefault="00215771" w:rsidP="00092B4E">
      <w:pPr>
        <w:pStyle w:val="Text5"/>
      </w:pPr>
      <w:r w:rsidRPr="00317552">
        <w:t>+ ADD 1 до ADD 4</w:t>
      </w:r>
    </w:p>
    <w:p w:rsidR="00215771" w:rsidRPr="00317552" w:rsidRDefault="00215771" w:rsidP="00092B4E">
      <w:pPr>
        <w:pStyle w:val="Text1"/>
        <w:spacing w:before="160"/>
      </w:pPr>
      <w:r w:rsidRPr="00317552">
        <w:rPr>
          <w:u w:val="single"/>
        </w:rPr>
        <w:t>Съветът</w:t>
      </w:r>
      <w:r w:rsidRPr="00317552">
        <w:t xml:space="preserve"> проведе обмен на мнения въз основа на представената работна програма на Комисията по отношение на икономическите и финансовите въпроси за 2015 г.</w:t>
      </w:r>
    </w:p>
    <w:p w:rsidR="00FC4670" w:rsidRPr="0004055C" w:rsidRDefault="00FC4670" w:rsidP="00215771">
      <w:pPr>
        <w:pStyle w:val="FinalLine"/>
        <w:spacing w:before="120" w:after="0"/>
        <w:ind w:left="3402" w:right="3402"/>
      </w:pPr>
    </w:p>
    <w:sectPr w:rsidR="00FC4670" w:rsidRPr="0004055C" w:rsidSect="0030740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624" w:right="1134" w:bottom="1134" w:left="1134" w:header="567" w:footer="567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66B1" w:rsidRDefault="002A66B1" w:rsidP="002A66B1">
      <w:r>
        <w:separator/>
      </w:r>
    </w:p>
  </w:endnote>
  <w:endnote w:type="continuationSeparator" w:id="0">
    <w:p w:rsidR="002A66B1" w:rsidRDefault="002A66B1" w:rsidP="002A66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EE" w:rsidRPr="00307401" w:rsidRDefault="002C43EE" w:rsidP="0030740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07401" w:rsidRPr="00D94637" w:rsidTr="0030740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07401" w:rsidRPr="00D94637" w:rsidRDefault="0030740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  <w:bookmarkStart w:id="2" w:name="FOOTER_STANDARD"/>
        </w:p>
      </w:tc>
    </w:tr>
    <w:tr w:rsidR="00307401" w:rsidRPr="00B310DC" w:rsidTr="0030740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07401" w:rsidRPr="00AD7BF2" w:rsidRDefault="00307401" w:rsidP="004F54B2">
          <w:pPr>
            <w:pStyle w:val="FooterText"/>
          </w:pPr>
          <w:r>
            <w:t>5547/15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07401" w:rsidRPr="00AD7BF2" w:rsidRDefault="0030740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07401" w:rsidRPr="002511D8" w:rsidRDefault="00307401" w:rsidP="00D94637">
          <w:pPr>
            <w:pStyle w:val="FooterText"/>
            <w:jc w:val="center"/>
          </w:pPr>
          <w:proofErr w:type="spellStart"/>
          <w:r>
            <w:t>agv</w:t>
          </w:r>
          <w:proofErr w:type="spellEnd"/>
          <w:r>
            <w:t>/</w:t>
          </w:r>
          <w:proofErr w:type="spellStart"/>
          <w:r>
            <w:t>rg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07401" w:rsidRPr="00B310DC" w:rsidRDefault="0030740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92B4E">
            <w:rPr>
              <w:noProof/>
            </w:rPr>
            <w:t>2</w:t>
          </w:r>
          <w:r>
            <w:fldChar w:fldCharType="end"/>
          </w:r>
        </w:p>
      </w:tc>
    </w:tr>
    <w:tr w:rsidR="00307401" w:rsidRPr="00D94637" w:rsidTr="00307401">
      <w:trPr>
        <w:jc w:val="center"/>
      </w:trPr>
      <w:tc>
        <w:tcPr>
          <w:tcW w:w="1774" w:type="pct"/>
          <w:shd w:val="clear" w:color="auto" w:fill="auto"/>
        </w:tcPr>
        <w:p w:rsidR="00307401" w:rsidRPr="00AD7BF2" w:rsidRDefault="0030740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07401" w:rsidRPr="00AD7BF2" w:rsidRDefault="0030740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07401" w:rsidRPr="00D94637" w:rsidRDefault="0030740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07401" w:rsidRPr="00D94637" w:rsidRDefault="0030740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  <w:bookmarkEnd w:id="2"/>
  </w:tbl>
  <w:p w:rsidR="002A66B1" w:rsidRPr="00307401" w:rsidRDefault="002A66B1" w:rsidP="00307401">
    <w:pPr>
      <w:pStyle w:val="FooterCouncil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jc w:val="center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3420"/>
      <w:gridCol w:w="1400"/>
      <w:gridCol w:w="1205"/>
      <w:gridCol w:w="200"/>
      <w:gridCol w:w="2211"/>
      <w:gridCol w:w="69"/>
      <w:gridCol w:w="1134"/>
    </w:tblGrid>
    <w:tr w:rsidR="00307401" w:rsidRPr="00D94637" w:rsidTr="00307401">
      <w:trPr>
        <w:jc w:val="center"/>
      </w:trPr>
      <w:tc>
        <w:tcPr>
          <w:tcW w:w="5000" w:type="pct"/>
          <w:gridSpan w:val="7"/>
          <w:shd w:val="clear" w:color="auto" w:fill="auto"/>
          <w:tcMar>
            <w:top w:w="57" w:type="dxa"/>
          </w:tcMar>
        </w:tcPr>
        <w:p w:rsidR="00307401" w:rsidRPr="00D94637" w:rsidRDefault="00307401" w:rsidP="00D94637">
          <w:pPr>
            <w:pStyle w:val="FooterText"/>
            <w:pBdr>
              <w:top w:val="single" w:sz="4" w:space="1" w:color="auto"/>
            </w:pBdr>
            <w:spacing w:before="200"/>
            <w:rPr>
              <w:sz w:val="2"/>
              <w:szCs w:val="2"/>
            </w:rPr>
          </w:pPr>
        </w:p>
      </w:tc>
    </w:tr>
    <w:tr w:rsidR="00307401" w:rsidRPr="00B310DC" w:rsidTr="00307401">
      <w:trPr>
        <w:jc w:val="center"/>
      </w:trPr>
      <w:tc>
        <w:tcPr>
          <w:tcW w:w="2500" w:type="pct"/>
          <w:gridSpan w:val="2"/>
          <w:shd w:val="clear" w:color="auto" w:fill="auto"/>
          <w:tcMar>
            <w:top w:w="0" w:type="dxa"/>
          </w:tcMar>
        </w:tcPr>
        <w:p w:rsidR="00307401" w:rsidRPr="00AD7BF2" w:rsidRDefault="00307401" w:rsidP="004F54B2">
          <w:pPr>
            <w:pStyle w:val="FooterText"/>
          </w:pPr>
          <w:r>
            <w:t>5547/15</w:t>
          </w:r>
          <w:r w:rsidRPr="002511D8">
            <w:t xml:space="preserve"> </w:t>
          </w:r>
          <w:r>
            <w:t>ADD 1</w:t>
          </w:r>
        </w:p>
      </w:tc>
      <w:tc>
        <w:tcPr>
          <w:tcW w:w="625" w:type="pct"/>
          <w:shd w:val="clear" w:color="auto" w:fill="auto"/>
          <w:tcMar>
            <w:top w:w="0" w:type="dxa"/>
          </w:tcMar>
        </w:tcPr>
        <w:p w:rsidR="00307401" w:rsidRPr="00AD7BF2" w:rsidRDefault="00307401" w:rsidP="00D94637">
          <w:pPr>
            <w:pStyle w:val="FooterText"/>
            <w:jc w:val="center"/>
          </w:pPr>
        </w:p>
      </w:tc>
      <w:tc>
        <w:tcPr>
          <w:tcW w:w="1287" w:type="pct"/>
          <w:gridSpan w:val="3"/>
          <w:shd w:val="clear" w:color="auto" w:fill="auto"/>
          <w:tcMar>
            <w:top w:w="0" w:type="dxa"/>
          </w:tcMar>
        </w:tcPr>
        <w:p w:rsidR="00307401" w:rsidRPr="002511D8" w:rsidRDefault="00307401" w:rsidP="00D94637">
          <w:pPr>
            <w:pStyle w:val="FooterText"/>
            <w:jc w:val="center"/>
          </w:pPr>
          <w:proofErr w:type="spellStart"/>
          <w:r>
            <w:t>agv</w:t>
          </w:r>
          <w:proofErr w:type="spellEnd"/>
          <w:r>
            <w:t>/</w:t>
          </w:r>
          <w:proofErr w:type="spellStart"/>
          <w:r>
            <w:t>rg</w:t>
          </w:r>
          <w:proofErr w:type="spellEnd"/>
        </w:p>
      </w:tc>
      <w:tc>
        <w:tcPr>
          <w:tcW w:w="588" w:type="pct"/>
          <w:shd w:val="clear" w:color="auto" w:fill="auto"/>
          <w:tcMar>
            <w:top w:w="0" w:type="dxa"/>
          </w:tcMar>
        </w:tcPr>
        <w:p w:rsidR="00307401" w:rsidRPr="00B310DC" w:rsidRDefault="00307401" w:rsidP="00D94637">
          <w:pPr>
            <w:pStyle w:val="FooterText"/>
            <w:jc w:val="right"/>
          </w:pPr>
          <w:r>
            <w:fldChar w:fldCharType="begin"/>
          </w:r>
          <w:r>
            <w:instrText xml:space="preserve"> PAGE  \* MERGEFORMAT </w:instrText>
          </w:r>
          <w:r>
            <w:fldChar w:fldCharType="separate"/>
          </w:r>
          <w:r w:rsidR="00092B4E">
            <w:rPr>
              <w:noProof/>
            </w:rPr>
            <w:t>1</w:t>
          </w:r>
          <w:r>
            <w:fldChar w:fldCharType="end"/>
          </w:r>
        </w:p>
      </w:tc>
    </w:tr>
    <w:tr w:rsidR="00307401" w:rsidRPr="00D94637" w:rsidTr="00307401">
      <w:trPr>
        <w:jc w:val="center"/>
      </w:trPr>
      <w:tc>
        <w:tcPr>
          <w:tcW w:w="1774" w:type="pct"/>
          <w:shd w:val="clear" w:color="auto" w:fill="auto"/>
        </w:tcPr>
        <w:p w:rsidR="00307401" w:rsidRPr="00AD7BF2" w:rsidRDefault="00307401" w:rsidP="00D94637">
          <w:pPr>
            <w:pStyle w:val="FooterText"/>
            <w:spacing w:before="40"/>
          </w:pPr>
        </w:p>
      </w:tc>
      <w:tc>
        <w:tcPr>
          <w:tcW w:w="1455" w:type="pct"/>
          <w:gridSpan w:val="3"/>
          <w:shd w:val="clear" w:color="auto" w:fill="auto"/>
        </w:tcPr>
        <w:p w:rsidR="00307401" w:rsidRPr="00AD7BF2" w:rsidRDefault="00307401" w:rsidP="00D204D6">
          <w:pPr>
            <w:pStyle w:val="FooterText"/>
            <w:spacing w:before="40"/>
            <w:jc w:val="center"/>
          </w:pPr>
          <w:r>
            <w:t>DPG</w:t>
          </w:r>
        </w:p>
      </w:tc>
      <w:tc>
        <w:tcPr>
          <w:tcW w:w="1147" w:type="pct"/>
          <w:shd w:val="clear" w:color="auto" w:fill="auto"/>
        </w:tcPr>
        <w:p w:rsidR="00307401" w:rsidRPr="00D94637" w:rsidRDefault="00307401" w:rsidP="00D94637">
          <w:pPr>
            <w:pStyle w:val="FooterText"/>
            <w:jc w:val="right"/>
            <w:rPr>
              <w:b/>
              <w:position w:val="-4"/>
              <w:sz w:val="36"/>
            </w:rPr>
          </w:pPr>
        </w:p>
      </w:tc>
      <w:tc>
        <w:tcPr>
          <w:tcW w:w="625" w:type="pct"/>
          <w:gridSpan w:val="2"/>
          <w:shd w:val="clear" w:color="auto" w:fill="auto"/>
        </w:tcPr>
        <w:p w:rsidR="00307401" w:rsidRPr="00D94637" w:rsidRDefault="00307401" w:rsidP="00D94637">
          <w:pPr>
            <w:pStyle w:val="FooterText"/>
            <w:jc w:val="right"/>
            <w:rPr>
              <w:sz w:val="16"/>
            </w:rPr>
          </w:pPr>
          <w:r>
            <w:rPr>
              <w:b/>
              <w:position w:val="-4"/>
              <w:sz w:val="36"/>
            </w:rPr>
            <w:t>BG</w:t>
          </w:r>
        </w:p>
      </w:tc>
    </w:tr>
  </w:tbl>
  <w:p w:rsidR="002A66B1" w:rsidRPr="00307401" w:rsidRDefault="002A66B1" w:rsidP="00307401">
    <w:pPr>
      <w:pStyle w:val="FooterCouncil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66B1" w:rsidRDefault="002A66B1" w:rsidP="002A66B1">
      <w:r>
        <w:separator/>
      </w:r>
    </w:p>
  </w:footnote>
  <w:footnote w:type="continuationSeparator" w:id="0">
    <w:p w:rsidR="002A66B1" w:rsidRDefault="002A66B1" w:rsidP="002A66B1">
      <w:r>
        <w:continuationSeparator/>
      </w:r>
    </w:p>
  </w:footnote>
  <w:footnote w:id="1">
    <w:p w:rsidR="00D5323C" w:rsidRPr="00555D80" w:rsidRDefault="00D5323C" w:rsidP="00D5323C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ab/>
        <w:t>Обсъждания на законодателни актове на Съюза (член 16, параграф 8 от Договора за Европейския съюз), други обсъждания, открити за обществеността, и открити дебати (член 8 от Процедурния правилник на Съвета).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EE" w:rsidRPr="00307401" w:rsidRDefault="002C43EE" w:rsidP="0030740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EE" w:rsidRPr="00307401" w:rsidRDefault="002C43EE" w:rsidP="00307401">
    <w:pPr>
      <w:pStyle w:val="HeaderCouncilLar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3EE" w:rsidRPr="00307401" w:rsidRDefault="002C43EE" w:rsidP="00307401">
    <w:pPr>
      <w:pStyle w:val="HeaderCounci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26E47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65BE98C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F592929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96A98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E96C6AD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CC46150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D504A85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83ACCD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388EC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B868EB0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1E52873"/>
    <w:multiLevelType w:val="multilevel"/>
    <w:tmpl w:val="04547F5A"/>
    <w:name w:val="Points roman"/>
    <w:lvl w:ilvl="0">
      <w:start w:val="1"/>
      <w:numFmt w:val="lowerRoman"/>
      <w:lvlRestart w:val="0"/>
      <w:pStyle w:val="Pointivx"/>
      <w:lvlText w:val="%1)"/>
      <w:lvlJc w:val="left"/>
      <w:pPr>
        <w:tabs>
          <w:tab w:val="num" w:pos="567"/>
        </w:tabs>
        <w:ind w:left="567" w:hanging="567"/>
      </w:pPr>
    </w:lvl>
    <w:lvl w:ilvl="1">
      <w:start w:val="1"/>
      <w:numFmt w:val="lowerRoman"/>
      <w:pStyle w:val="Pointivx1"/>
      <w:lvlText w:val="%2)"/>
      <w:lvlJc w:val="left"/>
      <w:pPr>
        <w:tabs>
          <w:tab w:val="num" w:pos="1134"/>
        </w:tabs>
        <w:ind w:left="1134" w:hanging="567"/>
      </w:pPr>
    </w:lvl>
    <w:lvl w:ilvl="2">
      <w:start w:val="1"/>
      <w:numFmt w:val="lowerRoman"/>
      <w:pStyle w:val="Pointivx2"/>
      <w:lvlText w:val="%3)"/>
      <w:lvlJc w:val="left"/>
      <w:pPr>
        <w:tabs>
          <w:tab w:val="num" w:pos="1701"/>
        </w:tabs>
        <w:ind w:left="1701" w:hanging="567"/>
      </w:pPr>
    </w:lvl>
    <w:lvl w:ilvl="3">
      <w:start w:val="1"/>
      <w:numFmt w:val="lowerRoman"/>
      <w:pStyle w:val="Pointivx3"/>
      <w:lvlText w:val="%4)"/>
      <w:lvlJc w:val="left"/>
      <w:pPr>
        <w:tabs>
          <w:tab w:val="num" w:pos="2268"/>
        </w:tabs>
        <w:ind w:left="2268" w:hanging="567"/>
      </w:pPr>
    </w:lvl>
    <w:lvl w:ilvl="4">
      <w:start w:val="1"/>
      <w:numFmt w:val="lowerRoman"/>
      <w:pStyle w:val="Pointivx4"/>
      <w:lvlText w:val="%5)"/>
      <w:lvlJc w:val="left"/>
      <w:pPr>
        <w:tabs>
          <w:tab w:val="num" w:pos="2835"/>
        </w:tabs>
        <w:ind w:left="2835" w:hanging="567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>
    <w:nsid w:val="131E23BC"/>
    <w:multiLevelType w:val="singleLevel"/>
    <w:tmpl w:val="E9D07EDA"/>
    <w:name w:val="Bullet (0)"/>
    <w:lvl w:ilvl="0">
      <w:start w:val="1"/>
      <w:numFmt w:val="bullet"/>
      <w:lvlRestart w:val="0"/>
      <w:pStyle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2">
    <w:nsid w:val="172B0495"/>
    <w:multiLevelType w:val="multilevel"/>
    <w:tmpl w:val="FED03EAA"/>
    <w:name w:val="Heading ABC"/>
    <w:lvl w:ilvl="0">
      <w:start w:val="1"/>
      <w:numFmt w:val="upperLetter"/>
      <w:lvlRestart w:val="0"/>
      <w:pStyle w:val="HeadingABC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1A793794"/>
    <w:multiLevelType w:val="multilevel"/>
    <w:tmpl w:val="EC68FEFC"/>
    <w:name w:val="Default"/>
    <w:lvl w:ilvl="0">
      <w:start w:val="1"/>
      <w:numFmt w:val="decimal"/>
      <w:lvlRestart w:val="0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1B606C4A"/>
    <w:multiLevelType w:val="singleLevel"/>
    <w:tmpl w:val="F968B8FA"/>
    <w:name w:val="Dash 4"/>
    <w:lvl w:ilvl="0">
      <w:start w:val="1"/>
      <w:numFmt w:val="bullet"/>
      <w:lvlRestart w:val="0"/>
      <w:pStyle w:val="Dash4"/>
      <w:lvlText w:val="–"/>
      <w:lvlJc w:val="left"/>
      <w:pPr>
        <w:tabs>
          <w:tab w:val="num" w:pos="2835"/>
        </w:tabs>
        <w:ind w:left="2835" w:hanging="567"/>
      </w:pPr>
    </w:lvl>
  </w:abstractNum>
  <w:abstractNum w:abstractNumId="15">
    <w:nsid w:val="215327E2"/>
    <w:multiLevelType w:val="singleLevel"/>
    <w:tmpl w:val="5C5E034C"/>
    <w:name w:val="Bullet (3)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268"/>
        </w:tabs>
        <w:ind w:left="2268" w:hanging="567"/>
      </w:pPr>
      <w:rPr>
        <w:rFonts w:ascii="Symbol" w:hAnsi="Symbol" w:hint="default"/>
      </w:rPr>
    </w:lvl>
  </w:abstractNum>
  <w:abstractNum w:abstractNumId="16">
    <w:nsid w:val="2D140E3B"/>
    <w:multiLevelType w:val="singleLevel"/>
    <w:tmpl w:val="A78C1CA0"/>
    <w:name w:val="Dash 2"/>
    <w:lvl w:ilvl="0">
      <w:start w:val="1"/>
      <w:numFmt w:val="bullet"/>
      <w:lvlRestart w:val="0"/>
      <w:pStyle w:val="Dash2"/>
      <w:lvlText w:val="–"/>
      <w:lvlJc w:val="left"/>
      <w:pPr>
        <w:tabs>
          <w:tab w:val="num" w:pos="1701"/>
        </w:tabs>
        <w:ind w:left="1701" w:hanging="567"/>
      </w:pPr>
    </w:lvl>
  </w:abstractNum>
  <w:abstractNum w:abstractNumId="17">
    <w:nsid w:val="2F296E77"/>
    <w:multiLevelType w:val="multilevel"/>
    <w:tmpl w:val="1B96AD68"/>
    <w:name w:val="Points"/>
    <w:lvl w:ilvl="0">
      <w:start w:val="1"/>
      <w:numFmt w:val="decimal"/>
      <w:lvlRestart w:val="0"/>
      <w:pStyle w:val="Point123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pStyle w:val="Pointabc"/>
      <w:lvlText w:val="%2)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Point1231"/>
      <w:lvlText w:val="%3."/>
      <w:lvlJc w:val="left"/>
      <w:pPr>
        <w:tabs>
          <w:tab w:val="num" w:pos="1134"/>
        </w:tabs>
        <w:ind w:left="1134" w:hanging="567"/>
      </w:pPr>
    </w:lvl>
    <w:lvl w:ilvl="3">
      <w:start w:val="1"/>
      <w:numFmt w:val="lowerLetter"/>
      <w:pStyle w:val="Pointabc1"/>
      <w:lvlText w:val="%4)"/>
      <w:lvlJc w:val="left"/>
      <w:pPr>
        <w:tabs>
          <w:tab w:val="num" w:pos="1134"/>
        </w:tabs>
        <w:ind w:left="1134" w:hanging="567"/>
      </w:pPr>
    </w:lvl>
    <w:lvl w:ilvl="4">
      <w:start w:val="1"/>
      <w:numFmt w:val="decimal"/>
      <w:pStyle w:val="Point1232"/>
      <w:lvlText w:val="%5."/>
      <w:lvlJc w:val="left"/>
      <w:pPr>
        <w:tabs>
          <w:tab w:val="num" w:pos="1701"/>
        </w:tabs>
        <w:ind w:left="1701" w:hanging="567"/>
      </w:pPr>
    </w:lvl>
    <w:lvl w:ilvl="5">
      <w:start w:val="1"/>
      <w:numFmt w:val="lowerLetter"/>
      <w:pStyle w:val="Pointabc2"/>
      <w:lvlText w:val="%6)"/>
      <w:lvlJc w:val="left"/>
      <w:pPr>
        <w:tabs>
          <w:tab w:val="num" w:pos="1701"/>
        </w:tabs>
        <w:ind w:left="1701" w:hanging="567"/>
      </w:pPr>
    </w:lvl>
    <w:lvl w:ilvl="6">
      <w:start w:val="1"/>
      <w:numFmt w:val="decimal"/>
      <w:pStyle w:val="Point1233"/>
      <w:lvlText w:val="%7."/>
      <w:lvlJc w:val="left"/>
      <w:pPr>
        <w:tabs>
          <w:tab w:val="num" w:pos="2268"/>
        </w:tabs>
        <w:ind w:left="2268" w:hanging="567"/>
      </w:pPr>
    </w:lvl>
    <w:lvl w:ilvl="7">
      <w:start w:val="1"/>
      <w:numFmt w:val="lowerLetter"/>
      <w:pStyle w:val="Pointabc3"/>
      <w:lvlText w:val="%8)"/>
      <w:lvlJc w:val="left"/>
      <w:pPr>
        <w:tabs>
          <w:tab w:val="num" w:pos="2268"/>
        </w:tabs>
        <w:ind w:left="2268" w:hanging="567"/>
      </w:pPr>
    </w:lvl>
    <w:lvl w:ilvl="8">
      <w:start w:val="1"/>
      <w:numFmt w:val="lowerLetter"/>
      <w:pStyle w:val="Pointabc4"/>
      <w:lvlText w:val="%9)"/>
      <w:lvlJc w:val="left"/>
      <w:pPr>
        <w:tabs>
          <w:tab w:val="num" w:pos="2835"/>
        </w:tabs>
        <w:ind w:left="2835" w:hanging="567"/>
      </w:pPr>
    </w:lvl>
  </w:abstractNum>
  <w:abstractNum w:abstractNumId="18">
    <w:nsid w:val="38A602DD"/>
    <w:multiLevelType w:val="multilevel"/>
    <w:tmpl w:val="954AA234"/>
    <w:name w:val="Heading IVX"/>
    <w:lvl w:ilvl="0">
      <w:start w:val="1"/>
      <w:numFmt w:val="upperRoman"/>
      <w:lvlRestart w:val="0"/>
      <w:pStyle w:val="HeadingIVX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3D1C21E4"/>
    <w:multiLevelType w:val="singleLevel"/>
    <w:tmpl w:val="455E9DFC"/>
    <w:name w:val="Bullet (2)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</w:rPr>
    </w:lvl>
  </w:abstractNum>
  <w:abstractNum w:abstractNumId="20">
    <w:nsid w:val="3FD35560"/>
    <w:multiLevelType w:val="singleLevel"/>
    <w:tmpl w:val="17E041BC"/>
    <w:name w:val="Dash Equal 4"/>
    <w:lvl w:ilvl="0">
      <w:start w:val="1"/>
      <w:numFmt w:val="bullet"/>
      <w:lvlRestart w:val="0"/>
      <w:pStyle w:val="DashEqual4"/>
      <w:lvlText w:val="="/>
      <w:lvlJc w:val="left"/>
      <w:pPr>
        <w:tabs>
          <w:tab w:val="num" w:pos="2835"/>
        </w:tabs>
        <w:ind w:left="2835" w:hanging="567"/>
      </w:pPr>
    </w:lvl>
  </w:abstractNum>
  <w:abstractNum w:abstractNumId="21">
    <w:nsid w:val="4DCC621E"/>
    <w:multiLevelType w:val="singleLevel"/>
    <w:tmpl w:val="2CD8C9DC"/>
    <w:name w:val="Dash Equal 1"/>
    <w:lvl w:ilvl="0">
      <w:start w:val="1"/>
      <w:numFmt w:val="bullet"/>
      <w:lvlRestart w:val="0"/>
      <w:pStyle w:val="DashEqual1"/>
      <w:lvlText w:val="="/>
      <w:lvlJc w:val="left"/>
      <w:pPr>
        <w:tabs>
          <w:tab w:val="num" w:pos="1134"/>
        </w:tabs>
        <w:ind w:left="1134" w:hanging="567"/>
      </w:pPr>
    </w:lvl>
  </w:abstractNum>
  <w:abstractNum w:abstractNumId="22">
    <w:nsid w:val="4FE70774"/>
    <w:multiLevelType w:val="singleLevel"/>
    <w:tmpl w:val="DB9EBC56"/>
    <w:name w:val="Dash 0"/>
    <w:lvl w:ilvl="0">
      <w:start w:val="1"/>
      <w:numFmt w:val="bullet"/>
      <w:lvlRestart w:val="0"/>
      <w:pStyle w:val="Dash"/>
      <w:lvlText w:val="–"/>
      <w:lvlJc w:val="left"/>
      <w:pPr>
        <w:tabs>
          <w:tab w:val="num" w:pos="567"/>
        </w:tabs>
        <w:ind w:left="567" w:hanging="567"/>
      </w:pPr>
    </w:lvl>
  </w:abstractNum>
  <w:abstractNum w:abstractNumId="23">
    <w:nsid w:val="51A16676"/>
    <w:multiLevelType w:val="singleLevel"/>
    <w:tmpl w:val="DB12E56A"/>
    <w:name w:val="Dash Equal 2"/>
    <w:lvl w:ilvl="0">
      <w:start w:val="1"/>
      <w:numFmt w:val="bullet"/>
      <w:lvlRestart w:val="0"/>
      <w:pStyle w:val="DashEqual2"/>
      <w:lvlText w:val="="/>
      <w:lvlJc w:val="left"/>
      <w:pPr>
        <w:tabs>
          <w:tab w:val="num" w:pos="1701"/>
        </w:tabs>
        <w:ind w:left="1701" w:hanging="567"/>
      </w:pPr>
    </w:lvl>
  </w:abstractNum>
  <w:abstractNum w:abstractNumId="24">
    <w:nsid w:val="54D83456"/>
    <w:multiLevelType w:val="multilevel"/>
    <w:tmpl w:val="8CAE848E"/>
    <w:name w:val="LegalNumbering"/>
    <w:lvl w:ilvl="0">
      <w:start w:val="1"/>
      <w:numFmt w:val="decimal"/>
      <w:lvlRestart w:val="0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5">
    <w:nsid w:val="554D45C1"/>
    <w:multiLevelType w:val="singleLevel"/>
    <w:tmpl w:val="6E52D2FA"/>
    <w:name w:val="Dash 3"/>
    <w:lvl w:ilvl="0">
      <w:start w:val="1"/>
      <w:numFmt w:val="bullet"/>
      <w:lvlRestart w:val="0"/>
      <w:pStyle w:val="Dash3"/>
      <w:lvlText w:val="–"/>
      <w:lvlJc w:val="left"/>
      <w:pPr>
        <w:tabs>
          <w:tab w:val="num" w:pos="2268"/>
        </w:tabs>
        <w:ind w:left="2268" w:hanging="567"/>
      </w:pPr>
    </w:lvl>
  </w:abstractNum>
  <w:abstractNum w:abstractNumId="26">
    <w:nsid w:val="567764B2"/>
    <w:multiLevelType w:val="singleLevel"/>
    <w:tmpl w:val="265C038C"/>
    <w:name w:val="Dash Equal 3"/>
    <w:lvl w:ilvl="0">
      <w:start w:val="1"/>
      <w:numFmt w:val="bullet"/>
      <w:lvlRestart w:val="0"/>
      <w:pStyle w:val="DashEqual3"/>
      <w:lvlText w:val="="/>
      <w:lvlJc w:val="left"/>
      <w:pPr>
        <w:tabs>
          <w:tab w:val="num" w:pos="2268"/>
        </w:tabs>
        <w:ind w:left="2268" w:hanging="567"/>
      </w:pPr>
    </w:lvl>
  </w:abstractNum>
  <w:abstractNum w:abstractNumId="27">
    <w:nsid w:val="6C6F3913"/>
    <w:multiLevelType w:val="singleLevel"/>
    <w:tmpl w:val="AD808DE8"/>
    <w:name w:val="Bullet (1)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</w:rPr>
    </w:lvl>
  </w:abstractNum>
  <w:abstractNum w:abstractNumId="28">
    <w:nsid w:val="749F4014"/>
    <w:multiLevelType w:val="singleLevel"/>
    <w:tmpl w:val="B9CC7FEE"/>
    <w:name w:val="Bullet (4)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2835"/>
        </w:tabs>
        <w:ind w:left="2835" w:hanging="567"/>
      </w:pPr>
      <w:rPr>
        <w:rFonts w:ascii="Symbol" w:hAnsi="Symbol" w:hint="default"/>
      </w:rPr>
    </w:lvl>
  </w:abstractNum>
  <w:abstractNum w:abstractNumId="29">
    <w:nsid w:val="74A41B13"/>
    <w:multiLevelType w:val="singleLevel"/>
    <w:tmpl w:val="2EC82C78"/>
    <w:name w:val="Dash 1"/>
    <w:lvl w:ilvl="0">
      <w:start w:val="1"/>
      <w:numFmt w:val="bullet"/>
      <w:lvlRestart w:val="0"/>
      <w:pStyle w:val="Dash1"/>
      <w:lvlText w:val="–"/>
      <w:lvlJc w:val="left"/>
      <w:pPr>
        <w:tabs>
          <w:tab w:val="num" w:pos="1134"/>
        </w:tabs>
        <w:ind w:left="1134" w:hanging="567"/>
      </w:pPr>
    </w:lvl>
  </w:abstractNum>
  <w:abstractNum w:abstractNumId="30">
    <w:nsid w:val="76F97E47"/>
    <w:multiLevelType w:val="singleLevel"/>
    <w:tmpl w:val="B61CF564"/>
    <w:name w:val="Dash Equal 0"/>
    <w:lvl w:ilvl="0">
      <w:start w:val="1"/>
      <w:numFmt w:val="bullet"/>
      <w:lvlRestart w:val="0"/>
      <w:pStyle w:val="DashEqual"/>
      <w:lvlText w:val="="/>
      <w:lvlJc w:val="left"/>
      <w:pPr>
        <w:tabs>
          <w:tab w:val="num" w:pos="567"/>
        </w:tabs>
        <w:ind w:left="567" w:hanging="567"/>
      </w:pPr>
    </w:lvl>
  </w:abstractNum>
  <w:num w:numId="1">
    <w:abstractNumId w:val="22"/>
  </w:num>
  <w:num w:numId="2">
    <w:abstractNumId w:val="29"/>
  </w:num>
  <w:num w:numId="3">
    <w:abstractNumId w:val="16"/>
  </w:num>
  <w:num w:numId="4">
    <w:abstractNumId w:val="25"/>
  </w:num>
  <w:num w:numId="5">
    <w:abstractNumId w:val="14"/>
  </w:num>
  <w:num w:numId="6">
    <w:abstractNumId w:val="30"/>
  </w:num>
  <w:num w:numId="7">
    <w:abstractNumId w:val="21"/>
  </w:num>
  <w:num w:numId="8">
    <w:abstractNumId w:val="23"/>
  </w:num>
  <w:num w:numId="9">
    <w:abstractNumId w:val="26"/>
  </w:num>
  <w:num w:numId="10">
    <w:abstractNumId w:val="20"/>
  </w:num>
  <w:num w:numId="11">
    <w:abstractNumId w:val="11"/>
  </w:num>
  <w:num w:numId="12">
    <w:abstractNumId w:val="27"/>
  </w:num>
  <w:num w:numId="13">
    <w:abstractNumId w:val="19"/>
  </w:num>
  <w:num w:numId="14">
    <w:abstractNumId w:val="15"/>
  </w:num>
  <w:num w:numId="15">
    <w:abstractNumId w:val="28"/>
  </w:num>
  <w:num w:numId="16">
    <w:abstractNumId w:val="17"/>
  </w:num>
  <w:num w:numId="17">
    <w:abstractNumId w:val="10"/>
  </w:num>
  <w:num w:numId="18">
    <w:abstractNumId w:val="12"/>
  </w:num>
  <w:num w:numId="19">
    <w:abstractNumId w:val="18"/>
  </w:num>
  <w:num w:numId="20">
    <w:abstractNumId w:val="9"/>
  </w:num>
  <w:num w:numId="21">
    <w:abstractNumId w:val="7"/>
  </w:num>
  <w:num w:numId="22">
    <w:abstractNumId w:val="6"/>
  </w:num>
  <w:num w:numId="23">
    <w:abstractNumId w:val="5"/>
  </w:num>
  <w:num w:numId="24">
    <w:abstractNumId w:val="4"/>
  </w:num>
  <w:num w:numId="25">
    <w:abstractNumId w:val="8"/>
  </w:num>
  <w:num w:numId="26">
    <w:abstractNumId w:val="3"/>
  </w:num>
  <w:num w:numId="27">
    <w:abstractNumId w:val="2"/>
  </w:num>
  <w:num w:numId="28">
    <w:abstractNumId w:val="1"/>
  </w:num>
  <w:num w:numId="29">
    <w:abstractNumId w:val="0"/>
  </w:num>
  <w:num w:numId="30">
    <w:abstractNumId w:val="29"/>
    <w:lvlOverride w:ilvl="0">
      <w:startOverride w:val="1"/>
    </w:lvlOverride>
  </w:num>
  <w:num w:numId="31">
    <w:abstractNumId w:val="23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567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4"/>
  </w:compat>
  <w:docVars>
    <w:docVar w:name="Copylist_Path" w:val="\\at100\user\WK\SEILEG\DocuWrite\Copylist"/>
    <w:docVar w:name="Council" w:val="true"/>
    <w:docVar w:name="DocuWriteMetaData" w:val="&lt;metadataset docuwriteversion=&quot;3.4.3&quot; technicalblockguid=&quot;971f18b0-2269-4cf3-9618-ac88a4fb0cd4&quot;&gt;_x000d__x000a_  &lt;metadata key=&quot;md_DocumentLanguages&quot; translate=&quot;false&quot;&gt;_x000d__x000a_    &lt;basicdatatypelist&gt;_x000d__x000a_      &lt;language key=&quot;BG&quot; text=&quot;BG&quot; /&gt;_x000d__x000a_    &lt;/basicdatatypelist&gt;_x000d__x000a_  &lt;/metadata&gt;_x000d__x000a_  &lt;metadata key=&quot;md_OriginalLanguages&quot; translate=&quot;false&quot;&gt;_x000d__x000a_    &lt;basicdatatypelist&gt;_x000d__x000a_      &lt;language key=&quot;EN&quot; text=&quot;EN&quot; /&gt;_x000d__x000a_    &lt;/basicdatatypelist&gt;_x000d__x000a_  &lt;/metadata&gt;_x000d__x000a_  &lt;metadata key=&quot;md_UniqueHeading&quot; translate=&quot;false&quot;&gt;_x000d__x000a_    &lt;basicdatatype&gt;_x000d__x000a_      &lt;heading key=&quot;uh_49&quot; text=&quot;&amp;#1055;&amp;#1056;&amp;#1054;&amp;#1045;&amp;#1050;&amp;#1058; &amp;#1047;&amp;#1040; &amp;#1055;&amp;#1056;&amp;#1054;&amp;#1058;&amp;#1054;&amp;#1050;&amp;#1054;&amp;#1051;&quot; /&gt;_x000d__x000a_    &lt;/basicdatatype&gt;_x000d__x000a_  &lt;/metadata&gt;_x000d__x000a_  &lt;metadata key=&quot;md_HeadingText&quot; translate=&quot;false&quot;&gt;_x000d__x000a_    &lt;headingtext text=&quot;&amp;#1055;&amp;#1056;&amp;#1054;&amp;#1045;&amp;#1050;&amp;#1058; &amp;#1047;&amp;#1040; &amp;#1055;&amp;#1056;&amp;#1054;&amp;#1058;&amp;#1054;&amp;#1050;&amp;#1054;&amp;#1051;&quot;&gt;_x000d__x000a_      &lt;formattedtext&gt;_x000d__x000a_        &lt;xaml text=&quot;&amp;#1055;&amp;#1056;&amp;#1054;&amp;#1045;&amp;#1050;&amp;#1058; &amp;#1047;&amp;#1040; &amp;#1055;&amp;#1056;&amp;#1054;&amp;#1058;&amp;#1054;&amp;#1050;&amp;#1054;&amp;#1051;&quot;&gt;&amp;lt;FlowDocument xmlns=&quot;http://schemas.microsoft.com/winfx/2006/xaml/presentation&quot;&amp;gt;&amp;lt;Paragraph&amp;gt;&amp;#1055;&amp;#1056;&amp;#1054;&amp;#1045;&amp;#1050;&amp;#1058; &amp;#1047;&amp;#1040; &amp;#1055;&amp;#1056;&amp;#1054;&amp;#1058;&amp;#1054;&amp;#1050;&amp;#1054;&amp;#1051;&amp;lt;/Paragraph&amp;gt;&amp;lt;/FlowDocument&amp;gt;&lt;/xaml&gt;_x000d__x000a_      &lt;/formattedtext&gt;_x000d__x000a_    &lt;/headingtext&gt;_x000d__x000a_  &lt;/metadata&gt;_x000d__x000a_  &lt;metadata key=&quot;md_DocumentGroup&quot; translate=&quot;false&quot;&gt;_x000d__x000a_    &lt;basicdatatype&gt;_x000d__x000a_      &lt;document_group key=&quot;dg_07&quot; text=&quot;Note&quot; /&gt;_x000d__x000a_    &lt;/basicdatatype&gt;_x000d__x000a_  &lt;/metadata&gt;_x000d__x000a_  &lt;metadata key=&quot;md_DocumentType&quot; translate=&quot;false&quot;&gt;_x000d__x000a_    &lt;basicdatatype&gt;_x000d__x000a_      &lt;doc_type key=&quot;dt_ST&quot; text=&quot;ST&quot; /&gt;_x000d__x000a_    &lt;/basicdatatype&gt;_x000d__x000a_  &lt;/metadata&gt;_x000d__x000a_  &lt;metadata key=&quot;md_InstitutionalFramework&quot; translate=&quot;false&quot;&gt;_x000d__x000a_    &lt;basicdatatype&gt;_x000d__x000a_      &lt;framework key=&quot;if_01&quot; text=&quot;&amp;#1057;&amp;#1098;&amp;#1074;&amp;#1077;&amp;#1090; &amp;#1085;&amp;#1072; &amp;#1045;&amp;#1074;&amp;#1088;&amp;#1086;&amp;#1087;&amp;#1077;&amp;#1081;&amp;#1089;&amp;#1082;&amp;#1080;&amp;#1103; &amp;#1089;&amp;#1098;&amp;#1102;&amp;#1079;&quot; institution=&quot;instfr_institution&quot; acronym=&quot;instfr_acronym&quot; /&gt;_x000d__x000a_    &lt;/basicdatatype&gt;_x000d__x000a_  &lt;/metadata&gt;_x000d__x000a_  &lt;metadata key=&quot;md_DraftNote&quot; /&gt;_x000d__x000a_  &lt;metadata key=&quot;md_DocumentLocation&quot; translate=&quot;false&quot;&gt;_x000d__x000a_    &lt;basicdatatype&gt;_x000d__x000a_      &lt;location key=&quot;loc_01&quot; text=&quot;&amp;#1041;&amp;#1088;&amp;#1102;&amp;#1082;&amp;#1089;&amp;#1077;&amp;#1083;&quot; /&gt;_x000d__x000a_    &lt;/basicdatatype&gt;_x000d__x000a_  &lt;/metadata&gt;_x000d__x000a_  &lt;metadata key=&quot;md_DocumentDate&quot; translate=&quot;false&quot;&gt;_x000d__x000a_    &lt;text&gt;2015-02-10&lt;/text&gt;_x000d__x000a_  &lt;/metadata&gt;_x000d__x000a_  &lt;metadata key=&quot;md_Prefix&quot; translate=&quot;false&quot;&gt;_x000d__x000a_    &lt;text&gt;&lt;/text&gt;_x000d__x000a_  &lt;/metadata&gt;_x000d__x000a_  &lt;metadata key=&quot;md_DocumentNumber&quot; translate=&quot;false&quot;&gt;_x000d__x000a_    &lt;text&gt;5547&lt;/text&gt;_x000d__x000a_  &lt;/metadata&gt;_x000d__x000a_  &lt;metadata key=&quot;md_YearDocumentNumber&quot; translate=&quot;false&quot;&gt;_x000d__x000a_    &lt;text&gt;2015&lt;/text&gt;_x000d__x000a_  &lt;/metadata&gt;_x000d__x000a_  &lt;metadata key=&quot;md_Suffixes&quot; translate=&quot;false&quot;&gt;_x000d__x000a_    &lt;text&gt;ADD 1&lt;/text&gt;_x000d__x000a_  &lt;/metadata&gt;_x000d__x000a_  &lt;metadata key=&quot;md_SuffixLanguagesInvolved&quot; translate=&quot;false&quot;&gt;_x000d__x000a_    &lt;text&gt;&lt;/text&gt;_x000d__x000a_  &lt;/metadata&gt;_x000d__x000a_  &lt;metadata key=&quot;md_FirstRevNumber&quot; translate=&quot;false&quot;&gt;_x000d__x000a_    &lt;text&gt;&lt;/text&gt;_x000d__x000a_  &lt;/metadata&gt;_x000d__x000a_  &lt;metadata key=&quot;md_Distribution&quot; translate=&quot;false&quot;&gt;_x000d__x000a_    &lt;basicdatatype&gt;_x000d__x000a_      &lt;distribution key=&quot;dis_01&quot; text=&quot;PUBLIC&quot; /&gt;_x000d__x000a_    &lt;/basicdatatype&gt;_x000d__x000a_  &lt;/metadata&gt;_x000d__x000a_  &lt;metadata key=&quot;md_SubjectCodes&quot; translate=&quot;false&quot;&gt;_x000d__x000a_    &lt;textlist&gt;_x000d__x000a_      &lt;text&gt;PV/CONS 3&lt;/text&gt;_x000d__x000a_      &lt;text&gt;ECOFIN 43&lt;/text&gt;_x000d__x000a_    &lt;/textlist&gt;_x000d__x000a_  &lt;/metadata&gt;_x000d__x000a_  &lt;metadata key=&quot;md_Contact&quot; /&gt;_x000d__x000a_  &lt;metadata key=&quot;md_ContactPhoneFax&quot; /&gt;_x000d__x000a_  &lt;metadata key=&quot;md_MeetingVenue&quot; /&gt;_x000d__x000a_  &lt;metadata key=&quot;md_ProvisionalVersion&quot; translate=&quot;false&quot;&gt;_x000d__x000a_    &lt;text&gt;&lt;/text&gt;_x000d__x000a_  &lt;/metadata&gt;_x000d__x000a_  &lt;metadata key=&quot;md_PresidentInformation&quot; /&gt;_x000d__x000a_  &lt;metadata key=&quot;md_MeetingNumber&quot; /&gt;_x000d__x000a_  &lt;metadata key=&quot;md_CouncilConfiguration&quot; /&gt;_x000d__x000a_  &lt;metadata key=&quot;md_CouncilIssue&quot; /&gt;_x000d__x000a_  &lt;metadata key=&quot;md_PhoneNumber&quot; /&gt;_x000d__x000a_  &lt;metadata key=&quot;md_TypeOfHeading&quot; translate=&quot;false&quot;&gt;_x000d__x000a_    &lt;basicdatatype&gt;_x000d__x000a_      &lt;typeofheading key=&quot;typeofhead_14&quot; text=&quot;Draft - ADD&quot; /&gt;_x000d__x000a_    &lt;/basicdatatype&gt;_x000d__x000a_  &lt;/metadata&gt;_x000d__x000a_  &lt;metadata key=&quot;md_ReplyName&quot; /&gt;_x000d__x000a_  &lt;metadata key=&quot;md_EPQuestionsData&quot; /&gt;_x000d__x000a_  &lt;metadata key=&quot;md_Deadline&quot; /&gt;_x000d__x000a_  &lt;metadata key=&quot;md_InterinstitutionalFiles&quot; /&gt;_x000d__x000a_  &lt;metadata key=&quot;md_AdditionalReferences&quot; /&gt;_x000d__x000a_  &lt;metadata key=&quot;md_LEXNumber&quot; /&gt;_x000d__x000a_  &lt;metadata key=&quot;md_SousEmbargo&quot; translate=&quot;false&quot;&gt;_x000d__x000a_    &lt;text&gt;&lt;/text&gt;_x000d__x000a_  &lt;/metadata&gt;_x000d__x000a_  &lt;metadata key=&quot;md_Originator&quot; /&gt;_x000d__x000a_  &lt;metadata key=&quot;md_Recipient&quot; /&gt;_x000d__x000a_  &lt;metadata key=&quot;md_DateOfReceipt&quot; /&gt;_x000d__x000a_  &lt;metadata key=&quot;md_FreeDate&quot; /&gt;_x000d__x000a_  &lt;metadata key=&quot;md_PrecedingDocuments&quot; /&gt;_x000d__x000a_  &lt;metadata key=&quot;md_CommissionDocuments&quot; /&gt;_x000d__x000a_  &lt;metadata key=&quot;md_DocForDWNDCL&quot; /&gt;_x000d__x000a_  &lt;metadata key=&quot;md_Distribution_NewClassification&quot; /&gt;_x000d__x000a_  &lt;metadata key=&quot;md_DWNDCLAuthorization&quot; /&gt;_x000d__x000a_  &lt;metadata key=&quot;md_DateOfAuthorization&quot; /&gt;_x000d__x000a_  &lt;metadata key=&quot;md_MeetingLocation&quot; /&gt;_x000d__x000a_  &lt;metadata key=&quot;md_MeetingDate&quot; /&gt;_x000d__x000a_  &lt;metadata key=&quot;md_MeetingInformation&quot; /&gt;_x000d__x000a_  &lt;metadata key=&quot;md_Item&quot; /&gt;_x000d__x000a_  &lt;metadata key=&quot;md_Subject&quot;&gt;_x000d__x000a_    &lt;xaml text=&quot;3366-&amp;#1086; 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(&amp;#1048;&amp;#1050;&amp;#1054;&amp;#1053;&amp;#1054;&amp;#1052;&amp;#1048;&amp;#1063;&amp;#1045;&amp;#1057;&amp;#1050;&amp;#1048; &amp;#1048; &amp;#1060;&amp;#1048;&amp;#1053;&amp;#1040;&amp;#1053;&amp;#1057;&amp;#1054;&amp;#1042;&amp;#1048; &amp;#1042;&amp;#1066;&amp;#1055;&amp;#1056;&amp;#1054;&amp;#1057;&amp;#1048;), &amp;#1087;&amp;#1088;&amp;#1086;&amp;#1074;&amp;#1077;&amp;#1076;&amp;#1077;&amp;#1085;&amp;#1086; &amp;#1074; &amp;#1041;&amp;#1088;&amp;#1102;&amp;#1082;&amp;#1089;&amp;#1077;&amp;#1083; &amp;#1085;&amp;#1072; 27 &amp;#1103;&amp;#1085;&amp;#1091;&amp;#1072;&amp;#1088;&amp;#1080; 2015 &amp;#1075;.&quot;&gt;&amp;lt;FlowDocument FontFamily=&quot;Times New Roman&quot; FontSize=&quot;16&quot; PageWidth=&quot;377&quot; PagePadding=&quot;0,0,0,0&quot; AllowDrop=&quot;False&quot; NumberSubstitution.CultureSource=&quot;User&quot; xmlns=&quot;http://schemas.microsoft.com/winfx/2006/xaml/presentation&quot; xmlns:x=&quot;http://schemas.microsoft.com/winfx/2006/xaml&quot;&amp;gt;&amp;lt;Paragraph FontFamily=&quot;Georgia&quot; NumberSubstitution.CultureSource=&quot;Text&quot;&amp;gt;&amp;lt;Run FontFamily=&quot;Times New Roman&quot; FontWeight=&quot;Bold&quot; xml:space=&quot;preserve&quot;&amp;gt;3366-&amp;#1086; &amp;lt;/Run&amp;gt;&amp;lt;Run FontFamily=&quot;Times New Roman&quot; xml:space=&quot;preserve&quot;&amp;gt;&amp;#1079;&amp;#1072;&amp;#1089;&amp;#1077;&amp;#1076;&amp;#1072;&amp;#1085;&amp;#1080;&amp;#1077; &amp;#1085;&amp;#1072; &amp;#1057;&amp;#1098;&amp;#1074;&amp;#1077;&amp;#1090;&amp;#1072; &amp;#1085;&amp;#1072; &amp;#1045;&amp;#1074;&amp;#1088;&amp;#1086;&amp;#1087;&amp;#1077;&amp;#1081;&amp;#1089;&amp;#1082;&amp;#1080;&amp;#1103; &amp;#1089;&amp;#1098;&amp;#1102;&amp;#1079; &amp;lt;/Run&amp;gt;&amp;lt;Run FontFamily=&quot;Times New Roman&quot; FontWeight=&quot;Bold&quot;&amp;gt;(&amp;#1048;&amp;#1050;&amp;#1054;&amp;#1053;&amp;#1054;&amp;#1052;&amp;#1048;&amp;#1063;&amp;#1045;&amp;#1057;&amp;#1050;&amp;#1048; &amp;#1048; &amp;#1060;&amp;#1048;&amp;#1053;&amp;#1040;&amp;#1053;&amp;#1057;&amp;#1054;&amp;#1042;&amp;#1048; &amp;#1042;&amp;#1066;&amp;#1055;&amp;#1056;&amp;#1054;&amp;#1057;&amp;#1048;&amp;lt;/Run&amp;gt;&amp;lt;Run FontFamily=&quot;Times New Roman&quot;&amp;gt;), &amp;#1087;&amp;#1088;&amp;#1086;&amp;#1074;&amp;#1077;&amp;#1076;&amp;#1077;&amp;#1085;&amp;#1086; &amp;#1074; &amp;#1041;&amp;#1088;&amp;#1102;&amp;#1082;&amp;#1089;&amp;#1077;&amp;#1083; &amp;#1085;&amp;#1072; 27 &amp;#1103;&amp;#1085;&amp;#1091;&amp;#1072;&amp;#1088;&amp;#1080; 2015 &amp;#1075;.&amp;lt;/Run&amp;gt;&amp;lt;/Paragraph&amp;gt;&amp;lt;/FlowDocument&amp;gt;&lt;/xaml&gt;_x000d__x000a_  &lt;/metadata&gt;_x000d__x000a_  &lt;metadata key=&quot;md_SubjectFootnote&quot; /&gt;_x000d__x000a_  &lt;metadata key=&quot;md_DG&quot; translate=&quot;false&quot;&gt;_x000d__x000a_    &lt;text&gt;DPG&lt;/text&gt;_x000d__x000a_  &lt;/metadata&gt;_x000d__x000a_  &lt;metadata key=&quot;md_Initials&quot; translate=&quot;false&quot;&gt;_x000d__x000a_    &lt;text&gt;agv/rg&lt;/text&gt;_x000d__x000a_  &lt;/metadata&gt;_x000d__x000a_  &lt;metadata key=&quot;md_RectifProcedureType&quot; translate=&quot;false&quot;&gt;_x000d__x000a_    &lt;basicdatatype&gt;_x000d__x000a_      &lt;rectifprocedure key=&quot;&quot; /&gt;_x000d__x000a_    &lt;/basicdatatype&gt;_x000d__x000a_  &lt;/metadata&gt;_x000d__x000a_  &lt;metadata key=&quot;md_RectifLanguagesBase&quot; /&gt;_x000d__x000a_  &lt;metadata key=&quot;md_RectifLanguagesConcerned&quot; /&gt;_x000d__x000a_  &lt;metadata key=&quot;md_RectifIsLangSpec&quot; /&gt;_x000d__x000a_  &lt;metadata key=&quot;md_RectifLangSpecValue&quot; /&gt;_x000d__x000a_  &lt;metadata key=&quot;md_RectifNumberOfMistakes&quot; /&gt;_x000d__x000a_  &lt;metadata key=&quot;md_RectifHasRemarks&quot; /&gt;_x000d__x000a_  &lt;metadata key=&quot;md_RectifUseDocRef&quot; /&gt;_x000d__x000a_  &lt;metadata key=&quot;md_RectifDocRefNumber&quot; /&gt;_x000d__x000a_  &lt;metadata key=&quot;md_RectifDocRefDate&quot; /&gt;_x000d__x000a_  &lt;metadata key=&quot;md_RectifUseOJRef&quot; /&gt;_x000d__x000a_  &lt;metadata key=&quot;md_RectifOJRefType&quot; /&gt;_x000d__x000a_  &lt;metadata key=&quot;md_RectifOJLRefNumber&quot; /&gt;_x000d__x000a_  &lt;metadata key=&quot;md_RectifOJCRefNumber&quot; /&gt;_x000d__x000a_  &lt;metadata key=&quot;md_RectifOJLRefDate&quot; /&gt;_x000d__x000a_  &lt;metadata key=&quot;md_RectifOJCRefDate&quot; /&gt;_x000d__x000a_  &lt;metadata key=&quot;md_RectifOJLRefPage&quot; /&gt;_x000d__x000a_  &lt;metadata key=&quot;md_RectifOJCRefPage&quot; /&gt;_x000d__x000a_  &lt;metadata key=&quot;md_RectifUseOJCorRef&quot; /&gt;_x000d__x000a_  &lt;metadata key=&quot;md_RectifOJCorRefNumber&quot; /&gt;_x000d__x000a_  &lt;metadata key=&quot;md_RectifOJCorRefDate&quot; /&gt;_x000d__x000a_  &lt;metadata key=&quot;md_RectifOJCorRefPage&quot; /&gt;_x000d__x000a_  &lt;metadata key=&quot;md_RectifTimeLimit&quot; /&gt;_x000d__x000a_  &lt;metadata key=&quot;md_RectifCodecision&quot; /&gt;_x000d__x000a_  &lt;metadata key=&quot;md_RectifCorrectionNewLang&quot; /&gt;_x000d__x000a_  &lt;metadata key=&quot;md_RectifAgreement&quot; /&gt;_x000d__x000a_  &lt;metadata key=&quot;md_RectifSignature&quot; /&gt;_x000d__x000a_  &lt;metadata key=&quot;md_RectifLastMergeDate&quot; /&gt;_x000d__x000a_  &lt;metadata key=&quot;md_Rectif_Source1_UniqueHeading&quot; translate=&quot;false&quot;&gt;_x000d__x000a_    &lt;basicdatatype&gt;_x000d__x000a_      &lt;text&gt;&lt;/text&gt;_x000d__x000a_    &lt;/basicdatatype&gt;_x000d__x000a_  &lt;/metadata&gt;_x000d__x000a_  &lt;metadata key=&quot;md_Rectif_Source1_DocumentType&quot; translate=&quot;false&quot;&gt;_x000d__x000a_    &lt;basicdatatype&gt;_x000d__x000a_      &lt;doc_type key=&quot;&quot; /&gt;_x000d__x000a_    &lt;/basicdatatype&gt;_x000d__x000a_  &lt;/metadata&gt;_x000d__x000a_  &lt;metadata key=&quot;md_Rectif_Source1_DocumentNumber&quot; translate=&quot;false&quot;&gt;_x000d__x000a_    &lt;text&gt;&lt;/text&gt;_x000d__x000a_  &lt;/metadata&gt;_x000d__x000a_  &lt;metadata key=&quot;md_Rectif_Source1_YearDocumentNumber&quot; translate=&quot;false&quot;&gt;_x000d__x000a_    &lt;text&gt;2015&lt;/text&gt;_x000d__x000a_  &lt;/metadata&gt;_x000d__x000a_  &lt;metadata key=&quot;md_Rectif_Source1_Suffixes&quot; translate=&quot;false&quot;&gt;_x000d__x000a_    &lt;text&gt;&lt;/text&gt;_x000d__x000a_  &lt;/metadata&gt;_x000d__x000a_  &lt;metadata key=&quot;md_Rectif_Source2_UniqueHeading&quot; translate=&quot;false&quot;&gt;_x000d__x000a_    &lt;basicdatatype&gt;_x000d__x000a_      &lt;text&gt;&lt;/text&gt;_x000d__x000a_    &lt;/basicdatatype&gt;_x000d__x000a_  &lt;/metadata&gt;_x000d__x000a_  &lt;metadata key=&quot;md_Rectif_Source2_DocumentType&quot; translate=&quot;false&quot;&gt;_x000d__x000a_    &lt;basicdatatype&gt;_x000d__x000a_      &lt;doc_type key=&quot;&quot; /&gt;_x000d__x000a_    &lt;/basicdatatype&gt;_x000d__x000a_  &lt;/metadata&gt;_x000d__x000a_  &lt;metadata key=&quot;md_Rectif_Source2_DocumentNumber&quot; translate=&quot;false&quot;&gt;_x000d__x000a_    &lt;text&gt;&lt;/text&gt;_x000d__x000a_  &lt;/metadata&gt;_x000d__x000a_  &lt;metadata key=&quot;md_Rectif_Source2_YearDocumentNumber&quot; translate=&quot;false&quot;&gt;_x000d__x000a_    &lt;text&gt;&lt;/text&gt;_x000d__x000a_  &lt;/metadata&gt;_x000d__x000a_  &lt;metadata key=&quot;md_Rectif_Source2_Suffixes&quot; translate=&quot;false&quot;&gt;_x000d__x000a_    &lt;text&gt;&lt;/text&gt;_x000d__x000a_  &lt;/metadata&gt;_x000d__x000a_  &lt;metadata key=&quot;md_CoverPageDocWithCouncilFooter&quot; translate=&quot;false&quot;&gt;_x000d__x000a_    &lt;text&gt;false&lt;/text&gt;_x000d__x000a_  &lt;/metadata&gt;_x000d__x000a_  &lt;metadata key=&quot;md_SourceDocLanguage&quot; translate=&quot;false&quot;&gt;_x000d__x000a_    &lt;text&gt;&lt;/text&gt;_x000d__x000a_  &lt;/metadata&gt;_x000d__x000a_  &lt;metadata key=&quot;md_SourceDocType&quot; translate=&quot;false&quot;&gt;_x000d__x000a_    &lt;text&gt;&lt;/text&gt;_x000d__x000a_  &lt;/metadata&gt;_x000d__x000a_  &lt;metadata key=&quot;md_SourceDocTitle&quot; translate=&quot;false&quot;&gt;_x000d__x000a_    &lt;text&gt;&lt;/text&gt;_x000d__x000a_  &lt;/metadata&gt;_x000d__x000a_  &lt;metadata key=&quot;md_SourceDocIsCECDoc&quot; /&gt;_x000d__x000a_  &lt;metadata key=&quot;md_NB1&quot; /&gt;_x000d__x000a_  &lt;metadata key=&quot;md_NB2&quot; /&gt;_x000d__x000a_  &lt;metadata key=&quot;md_NB3&quot; /&gt;_x000d__x000a_  &lt;metadata key=&quot;md_Meetings&quot; /&gt;_x000d__x000a_  &lt;metadata key=&quot;md_VisualRepresentation&quot; translate=&quot;false&quot;&gt;_x000d__x000a_    &lt;basicdatatype&gt;_x000d__x000a_      &lt;visualrepresentation key=&quot;visrep_02&quot; text=&quot;New visual identity&quot; /&gt;_x000d__x000a_    &lt;/basicdatatype&gt;_x000d__x000a_  &lt;/metadata&gt;_x000d__x000a_  &lt;metadata key=&quot;md_LetterData&quot; /&gt;_x000d__x000a_&lt;/metadataset&gt;"/>
    <w:docVar w:name="DW_AutoOpen" w:val="True"/>
    <w:docVar w:name="DW_DocType" w:val="DW_AGENDA"/>
    <w:docVar w:name="LW_DocType" w:val="DW_AGENDA"/>
    <w:docVar w:name="VSSDB_IniPath" w:val="\\at100\user\wovo\SEILEG\vss\srcsafe.ini"/>
    <w:docVar w:name="VSSDB_ProjectPath" w:val="$/DocuWrite/DOT/DW_AGENDA"/>
  </w:docVars>
  <w:rsids>
    <w:rsidRoot w:val="002A66B1"/>
    <w:rsid w:val="00010C1D"/>
    <w:rsid w:val="0004055C"/>
    <w:rsid w:val="0006277D"/>
    <w:rsid w:val="00074C32"/>
    <w:rsid w:val="0008353D"/>
    <w:rsid w:val="00092B4E"/>
    <w:rsid w:val="0009656C"/>
    <w:rsid w:val="00165755"/>
    <w:rsid w:val="00182F2F"/>
    <w:rsid w:val="00215771"/>
    <w:rsid w:val="00250F1B"/>
    <w:rsid w:val="002A2AE8"/>
    <w:rsid w:val="002A66B1"/>
    <w:rsid w:val="002C43EE"/>
    <w:rsid w:val="00307401"/>
    <w:rsid w:val="00317552"/>
    <w:rsid w:val="00376B1B"/>
    <w:rsid w:val="003B0918"/>
    <w:rsid w:val="003C6E8B"/>
    <w:rsid w:val="005157F5"/>
    <w:rsid w:val="005272FB"/>
    <w:rsid w:val="0063379B"/>
    <w:rsid w:val="006A38C5"/>
    <w:rsid w:val="006C1AD4"/>
    <w:rsid w:val="006E33E2"/>
    <w:rsid w:val="006F4741"/>
    <w:rsid w:val="0075756A"/>
    <w:rsid w:val="007575D8"/>
    <w:rsid w:val="00825503"/>
    <w:rsid w:val="008826F8"/>
    <w:rsid w:val="008F4D2E"/>
    <w:rsid w:val="00A469D7"/>
    <w:rsid w:val="00A74589"/>
    <w:rsid w:val="00BE1373"/>
    <w:rsid w:val="00CC05FE"/>
    <w:rsid w:val="00D451E4"/>
    <w:rsid w:val="00D5323C"/>
    <w:rsid w:val="00E01C07"/>
    <w:rsid w:val="00FC46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5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5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5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5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A66B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A66B1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2A66B1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2A66B1"/>
  </w:style>
  <w:style w:type="character" w:customStyle="1" w:styleId="FootnoteTextChar">
    <w:name w:val="Footnote Text Char"/>
    <w:basedOn w:val="DefaultParagraphFont"/>
    <w:link w:val="FootnoteText"/>
    <w:rsid w:val="00D5323C"/>
    <w:rPr>
      <w:sz w:val="24"/>
      <w:lang w:val="bg-BG" w:eastAsia="bg-BG"/>
    </w:rPr>
  </w:style>
  <w:style w:type="character" w:customStyle="1" w:styleId="PointManualChar">
    <w:name w:val="Point Manual Char"/>
    <w:link w:val="PointManual"/>
    <w:rsid w:val="00D5323C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rsid w:val="00D5323C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locked/>
    <w:rsid w:val="00D5323C"/>
    <w:rPr>
      <w:sz w:val="24"/>
      <w:szCs w:val="24"/>
      <w:lang w:val="bg-BG" w:eastAsia="bg-BG"/>
    </w:rPr>
  </w:style>
  <w:style w:type="character" w:customStyle="1" w:styleId="PointManual1Char">
    <w:name w:val="Point Manual (1) Char"/>
    <w:link w:val="PointManual1"/>
    <w:locked/>
    <w:rsid w:val="00D5323C"/>
    <w:rPr>
      <w:sz w:val="24"/>
      <w:szCs w:val="24"/>
      <w:lang w:val="bg-BG" w:eastAsia="bg-BG"/>
    </w:rPr>
  </w:style>
  <w:style w:type="paragraph" w:customStyle="1" w:styleId="Personnequisigne">
    <w:name w:val="Personne qui signe"/>
    <w:basedOn w:val="Normal"/>
    <w:next w:val="Normal"/>
    <w:rsid w:val="0006277D"/>
    <w:pPr>
      <w:tabs>
        <w:tab w:val="left" w:pos="5669"/>
      </w:tabs>
      <w:spacing w:line="360" w:lineRule="auto"/>
    </w:pPr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A74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5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5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bg-BG" w:eastAsia="bg-BG" w:bidi="bg-BG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7458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7458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7458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7458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33E2"/>
    <w:pPr>
      <w:tabs>
        <w:tab w:val="right" w:pos="9638"/>
      </w:tabs>
    </w:pPr>
  </w:style>
  <w:style w:type="paragraph" w:styleId="Footer">
    <w:name w:val="footer"/>
    <w:basedOn w:val="Normal"/>
    <w:rsid w:val="006E33E2"/>
    <w:pPr>
      <w:tabs>
        <w:tab w:val="center" w:pos="4819"/>
        <w:tab w:val="center" w:pos="7370"/>
        <w:tab w:val="right" w:pos="9638"/>
      </w:tabs>
    </w:pPr>
  </w:style>
  <w:style w:type="paragraph" w:styleId="FootnoteText">
    <w:name w:val="footnote text"/>
    <w:basedOn w:val="Normal"/>
    <w:link w:val="FootnoteTextChar"/>
    <w:rsid w:val="006E33E2"/>
    <w:pPr>
      <w:ind w:left="720" w:hanging="720"/>
    </w:pPr>
    <w:rPr>
      <w:szCs w:val="20"/>
    </w:rPr>
  </w:style>
  <w:style w:type="paragraph" w:styleId="Title">
    <w:name w:val="Title"/>
    <w:basedOn w:val="Normal"/>
    <w:qFormat/>
    <w:rsid w:val="006E33E2"/>
    <w:pPr>
      <w:spacing w:before="480" w:after="240"/>
      <w:jc w:val="center"/>
    </w:pPr>
    <w:rPr>
      <w:b/>
      <w:bCs/>
      <w:i/>
      <w:szCs w:val="32"/>
      <w:u w:val="single"/>
    </w:rPr>
  </w:style>
  <w:style w:type="paragraph" w:styleId="TOC1">
    <w:name w:val="toc 1"/>
    <w:basedOn w:val="Normal"/>
    <w:next w:val="Normal"/>
    <w:rsid w:val="002A2AE8"/>
    <w:pPr>
      <w:spacing w:before="180"/>
    </w:pPr>
    <w:rPr>
      <w:b/>
    </w:rPr>
  </w:style>
  <w:style w:type="paragraph" w:styleId="TOC2">
    <w:name w:val="toc 2"/>
    <w:basedOn w:val="Normal"/>
    <w:next w:val="Normal"/>
    <w:semiHidden/>
    <w:rsid w:val="006E33E2"/>
    <w:pPr>
      <w:tabs>
        <w:tab w:val="right" w:leader="dot" w:pos="9071"/>
      </w:tabs>
      <w:spacing w:before="180"/>
      <w:ind w:left="567" w:hanging="567"/>
    </w:pPr>
  </w:style>
  <w:style w:type="paragraph" w:styleId="TOC3">
    <w:name w:val="toc 3"/>
    <w:basedOn w:val="Normal"/>
    <w:next w:val="Normal"/>
    <w:semiHidden/>
    <w:rsid w:val="006E33E2"/>
    <w:pPr>
      <w:tabs>
        <w:tab w:val="right" w:leader="dot" w:pos="9071"/>
      </w:tabs>
      <w:spacing w:before="180"/>
      <w:ind w:left="1134" w:hanging="1134"/>
    </w:pPr>
  </w:style>
  <w:style w:type="paragraph" w:styleId="TOC4">
    <w:name w:val="toc 4"/>
    <w:basedOn w:val="Normal"/>
    <w:next w:val="Normal"/>
    <w:semiHidden/>
    <w:rsid w:val="006E33E2"/>
    <w:pPr>
      <w:tabs>
        <w:tab w:val="right" w:leader="dot" w:pos="9071"/>
      </w:tabs>
      <w:spacing w:before="60"/>
      <w:ind w:left="850" w:hanging="850"/>
    </w:pPr>
  </w:style>
  <w:style w:type="paragraph" w:styleId="TOC5">
    <w:name w:val="toc 5"/>
    <w:basedOn w:val="Normal"/>
    <w:next w:val="Normal"/>
    <w:semiHidden/>
    <w:rsid w:val="006E33E2"/>
    <w:pPr>
      <w:tabs>
        <w:tab w:val="right" w:leader="dot" w:pos="9071"/>
      </w:tabs>
      <w:spacing w:before="300"/>
    </w:pPr>
  </w:style>
  <w:style w:type="paragraph" w:styleId="TOC6">
    <w:name w:val="toc 6"/>
    <w:basedOn w:val="Normal"/>
    <w:next w:val="Normal"/>
    <w:semiHidden/>
    <w:rsid w:val="006E33E2"/>
    <w:pPr>
      <w:tabs>
        <w:tab w:val="right" w:leader="dot" w:pos="9071"/>
      </w:tabs>
      <w:spacing w:before="240"/>
    </w:pPr>
  </w:style>
  <w:style w:type="paragraph" w:styleId="TOC7">
    <w:name w:val="toc 7"/>
    <w:basedOn w:val="Normal"/>
    <w:next w:val="Normal"/>
    <w:semiHidden/>
    <w:rsid w:val="006E33E2"/>
    <w:pPr>
      <w:tabs>
        <w:tab w:val="right" w:leader="dot" w:pos="9071"/>
      </w:tabs>
      <w:spacing w:before="180"/>
    </w:pPr>
  </w:style>
  <w:style w:type="paragraph" w:styleId="TOC8">
    <w:name w:val="toc 8"/>
    <w:basedOn w:val="Normal"/>
    <w:next w:val="Normal"/>
    <w:semiHidden/>
    <w:rsid w:val="006E33E2"/>
    <w:pPr>
      <w:tabs>
        <w:tab w:val="right" w:leader="dot" w:pos="9071"/>
      </w:tabs>
    </w:pPr>
  </w:style>
  <w:style w:type="paragraph" w:styleId="TOC9">
    <w:name w:val="toc 9"/>
    <w:basedOn w:val="Normal"/>
    <w:next w:val="Normal"/>
    <w:semiHidden/>
    <w:rsid w:val="006E33E2"/>
    <w:pPr>
      <w:tabs>
        <w:tab w:val="right" w:leader="dot" w:pos="9071"/>
      </w:tabs>
    </w:pPr>
  </w:style>
  <w:style w:type="paragraph" w:customStyle="1" w:styleId="NormalCentered">
    <w:name w:val="Normal Centered"/>
    <w:basedOn w:val="Normal"/>
    <w:rsid w:val="006E33E2"/>
    <w:pPr>
      <w:spacing w:before="200"/>
      <w:jc w:val="center"/>
    </w:pPr>
  </w:style>
  <w:style w:type="paragraph" w:customStyle="1" w:styleId="NormalRight">
    <w:name w:val="Normal Right"/>
    <w:basedOn w:val="Normal"/>
    <w:rsid w:val="006E33E2"/>
    <w:pPr>
      <w:spacing w:before="200"/>
      <w:jc w:val="right"/>
    </w:pPr>
  </w:style>
  <w:style w:type="paragraph" w:customStyle="1" w:styleId="NormalJustified">
    <w:name w:val="Normal Justified"/>
    <w:basedOn w:val="Normal"/>
    <w:rsid w:val="006E33E2"/>
    <w:pPr>
      <w:spacing w:before="200"/>
      <w:jc w:val="both"/>
    </w:pPr>
  </w:style>
  <w:style w:type="paragraph" w:customStyle="1" w:styleId="HeaderLandscape">
    <w:name w:val="HeaderLandscape"/>
    <w:basedOn w:val="Normal"/>
    <w:rsid w:val="006E33E2"/>
    <w:pPr>
      <w:tabs>
        <w:tab w:val="right" w:pos="14570"/>
      </w:tabs>
    </w:pPr>
  </w:style>
  <w:style w:type="paragraph" w:customStyle="1" w:styleId="FooterLandscape">
    <w:name w:val="FooterLandscape"/>
    <w:basedOn w:val="Normal"/>
    <w:rsid w:val="006E33E2"/>
    <w:pPr>
      <w:tabs>
        <w:tab w:val="center" w:pos="7285"/>
        <w:tab w:val="center" w:pos="10930"/>
        <w:tab w:val="right" w:pos="14570"/>
      </w:tabs>
    </w:pPr>
  </w:style>
  <w:style w:type="character" w:styleId="FootnoteReference">
    <w:name w:val="footnote reference"/>
    <w:rsid w:val="006E33E2"/>
    <w:rPr>
      <w:b/>
      <w:shd w:val="clear" w:color="auto" w:fill="auto"/>
      <w:vertAlign w:val="superscript"/>
    </w:rPr>
  </w:style>
  <w:style w:type="paragraph" w:customStyle="1" w:styleId="HeaderCouncil">
    <w:name w:val="Header Council"/>
    <w:basedOn w:val="Normal"/>
    <w:rsid w:val="006E33E2"/>
    <w:rPr>
      <w:sz w:val="2"/>
    </w:rPr>
  </w:style>
  <w:style w:type="paragraph" w:customStyle="1" w:styleId="FooterCouncil">
    <w:name w:val="Footer Council"/>
    <w:basedOn w:val="Normal"/>
    <w:rsid w:val="006E33E2"/>
    <w:rPr>
      <w:sz w:val="2"/>
    </w:rPr>
  </w:style>
  <w:style w:type="paragraph" w:customStyle="1" w:styleId="TechnicalBlock">
    <w:name w:val="Technical Block"/>
    <w:basedOn w:val="Normal"/>
    <w:next w:val="Normal"/>
    <w:link w:val="TechnicalBlockChar"/>
    <w:rsid w:val="006E33E2"/>
    <w:pPr>
      <w:spacing w:after="240"/>
      <w:jc w:val="center"/>
    </w:pPr>
  </w:style>
  <w:style w:type="paragraph" w:customStyle="1" w:styleId="FinalLine">
    <w:name w:val="Final Line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3400" w:right="3400"/>
      <w:jc w:val="center"/>
    </w:pPr>
    <w:rPr>
      <w:b/>
    </w:rPr>
  </w:style>
  <w:style w:type="paragraph" w:customStyle="1" w:styleId="FinalLineLandscape">
    <w:name w:val="Final Line (Landscape)"/>
    <w:basedOn w:val="Normal"/>
    <w:next w:val="Normal"/>
    <w:rsid w:val="006E33E2"/>
    <w:pPr>
      <w:pBdr>
        <w:bottom w:val="single" w:sz="4" w:space="0" w:color="000000"/>
      </w:pBdr>
      <w:spacing w:before="360" w:after="120"/>
      <w:ind w:left="5868" w:right="5868"/>
      <w:jc w:val="center"/>
    </w:pPr>
    <w:rPr>
      <w:b/>
    </w:rPr>
  </w:style>
  <w:style w:type="paragraph" w:customStyle="1" w:styleId="Text1">
    <w:name w:val="Text 1"/>
    <w:basedOn w:val="Normal"/>
    <w:link w:val="Text1Char"/>
    <w:rsid w:val="006E33E2"/>
    <w:pPr>
      <w:ind w:left="567"/>
      <w:outlineLvl w:val="0"/>
    </w:pPr>
  </w:style>
  <w:style w:type="paragraph" w:customStyle="1" w:styleId="Text2">
    <w:name w:val="Text 2"/>
    <w:basedOn w:val="Normal"/>
    <w:rsid w:val="006E33E2"/>
    <w:pPr>
      <w:ind w:left="1134"/>
      <w:outlineLvl w:val="1"/>
    </w:pPr>
  </w:style>
  <w:style w:type="paragraph" w:customStyle="1" w:styleId="Text3">
    <w:name w:val="Text 3"/>
    <w:basedOn w:val="Normal"/>
    <w:link w:val="Text3Char"/>
    <w:rsid w:val="006E33E2"/>
    <w:pPr>
      <w:ind w:left="1701"/>
      <w:outlineLvl w:val="2"/>
    </w:pPr>
  </w:style>
  <w:style w:type="paragraph" w:customStyle="1" w:styleId="Text4">
    <w:name w:val="Text 4"/>
    <w:basedOn w:val="Normal"/>
    <w:rsid w:val="006E33E2"/>
    <w:pPr>
      <w:ind w:left="2268"/>
      <w:outlineLvl w:val="3"/>
    </w:pPr>
  </w:style>
  <w:style w:type="paragraph" w:customStyle="1" w:styleId="Text5">
    <w:name w:val="Text 5"/>
    <w:basedOn w:val="Normal"/>
    <w:rsid w:val="006E33E2"/>
    <w:pPr>
      <w:ind w:left="2835"/>
      <w:outlineLvl w:val="4"/>
    </w:pPr>
  </w:style>
  <w:style w:type="paragraph" w:customStyle="1" w:styleId="Text6">
    <w:name w:val="Text 6"/>
    <w:basedOn w:val="Normal"/>
    <w:rsid w:val="006E33E2"/>
    <w:pPr>
      <w:ind w:left="3402"/>
      <w:outlineLvl w:val="5"/>
    </w:pPr>
  </w:style>
  <w:style w:type="paragraph" w:customStyle="1" w:styleId="PointManual">
    <w:name w:val="Point Manual"/>
    <w:basedOn w:val="Normal"/>
    <w:link w:val="PointManualChar"/>
    <w:rsid w:val="006E33E2"/>
    <w:pPr>
      <w:spacing w:before="200"/>
      <w:ind w:left="567" w:hanging="567"/>
    </w:pPr>
  </w:style>
  <w:style w:type="paragraph" w:customStyle="1" w:styleId="PointManual1">
    <w:name w:val="Point Manual (1)"/>
    <w:basedOn w:val="Normal"/>
    <w:link w:val="PointManual1Char"/>
    <w:rsid w:val="006E33E2"/>
    <w:pPr>
      <w:ind w:left="1134" w:hanging="567"/>
      <w:outlineLvl w:val="0"/>
    </w:pPr>
  </w:style>
  <w:style w:type="paragraph" w:customStyle="1" w:styleId="PointManual2">
    <w:name w:val="Point Manual (2)"/>
    <w:basedOn w:val="Normal"/>
    <w:rsid w:val="006E33E2"/>
    <w:pPr>
      <w:ind w:left="1701" w:hanging="567"/>
      <w:outlineLvl w:val="1"/>
    </w:pPr>
  </w:style>
  <w:style w:type="paragraph" w:customStyle="1" w:styleId="PointManual3">
    <w:name w:val="Point Manual (3)"/>
    <w:basedOn w:val="Normal"/>
    <w:rsid w:val="006E33E2"/>
    <w:pPr>
      <w:ind w:left="2268" w:hanging="567"/>
      <w:outlineLvl w:val="2"/>
    </w:pPr>
  </w:style>
  <w:style w:type="paragraph" w:customStyle="1" w:styleId="PointManual4">
    <w:name w:val="Point Manual (4)"/>
    <w:basedOn w:val="Normal"/>
    <w:rsid w:val="006E33E2"/>
    <w:pPr>
      <w:ind w:left="2835" w:hanging="567"/>
      <w:outlineLvl w:val="3"/>
    </w:pPr>
  </w:style>
  <w:style w:type="paragraph" w:customStyle="1" w:styleId="PointDoubleManual">
    <w:name w:val="Point Double Manual"/>
    <w:basedOn w:val="Normal"/>
    <w:rsid w:val="006E33E2"/>
    <w:pPr>
      <w:tabs>
        <w:tab w:val="left" w:pos="567"/>
      </w:tabs>
      <w:spacing w:before="200"/>
      <w:ind w:left="1134" w:hanging="1134"/>
    </w:pPr>
  </w:style>
  <w:style w:type="paragraph" w:customStyle="1" w:styleId="PointDoubleManual1">
    <w:name w:val="Point Double Manual (1)"/>
    <w:basedOn w:val="Normal"/>
    <w:rsid w:val="006E33E2"/>
    <w:pPr>
      <w:tabs>
        <w:tab w:val="left" w:pos="1134"/>
      </w:tabs>
      <w:ind w:left="1701" w:hanging="1134"/>
      <w:outlineLvl w:val="0"/>
    </w:pPr>
  </w:style>
  <w:style w:type="paragraph" w:customStyle="1" w:styleId="PointDoubleManual2">
    <w:name w:val="Point Double Manual (2)"/>
    <w:basedOn w:val="Normal"/>
    <w:rsid w:val="006E33E2"/>
    <w:pPr>
      <w:tabs>
        <w:tab w:val="left" w:pos="1701"/>
      </w:tabs>
      <w:ind w:left="2268" w:hanging="1134"/>
      <w:outlineLvl w:val="1"/>
    </w:pPr>
  </w:style>
  <w:style w:type="paragraph" w:customStyle="1" w:styleId="PointDoubleManual3">
    <w:name w:val="Point Double Manual (3)"/>
    <w:basedOn w:val="Normal"/>
    <w:rsid w:val="006E33E2"/>
    <w:pPr>
      <w:tabs>
        <w:tab w:val="left" w:pos="2268"/>
      </w:tabs>
      <w:ind w:left="2835" w:hanging="1134"/>
      <w:outlineLvl w:val="2"/>
    </w:pPr>
  </w:style>
  <w:style w:type="paragraph" w:customStyle="1" w:styleId="PointDoubleManual4">
    <w:name w:val="Point Double Manual (4)"/>
    <w:basedOn w:val="Normal"/>
    <w:rsid w:val="006E33E2"/>
    <w:pPr>
      <w:tabs>
        <w:tab w:val="left" w:pos="2835"/>
      </w:tabs>
      <w:ind w:left="3402" w:hanging="1134"/>
      <w:outlineLvl w:val="3"/>
    </w:pPr>
  </w:style>
  <w:style w:type="paragraph" w:customStyle="1" w:styleId="Pointabc">
    <w:name w:val="Point abc"/>
    <w:basedOn w:val="Normal"/>
    <w:rsid w:val="006E33E2"/>
    <w:pPr>
      <w:numPr>
        <w:ilvl w:val="1"/>
        <w:numId w:val="16"/>
      </w:numPr>
      <w:spacing w:before="200"/>
    </w:pPr>
  </w:style>
  <w:style w:type="paragraph" w:customStyle="1" w:styleId="Pointabc1">
    <w:name w:val="Point abc (1)"/>
    <w:basedOn w:val="Normal"/>
    <w:rsid w:val="006E33E2"/>
    <w:pPr>
      <w:numPr>
        <w:ilvl w:val="3"/>
        <w:numId w:val="16"/>
      </w:numPr>
      <w:outlineLvl w:val="0"/>
    </w:pPr>
  </w:style>
  <w:style w:type="paragraph" w:customStyle="1" w:styleId="Pointabc2">
    <w:name w:val="Point abc (2)"/>
    <w:basedOn w:val="Normal"/>
    <w:rsid w:val="006E33E2"/>
    <w:pPr>
      <w:numPr>
        <w:ilvl w:val="5"/>
        <w:numId w:val="16"/>
      </w:numPr>
      <w:outlineLvl w:val="1"/>
    </w:pPr>
  </w:style>
  <w:style w:type="paragraph" w:customStyle="1" w:styleId="Pointabc3">
    <w:name w:val="Point abc (3)"/>
    <w:basedOn w:val="Normal"/>
    <w:rsid w:val="006E33E2"/>
    <w:pPr>
      <w:numPr>
        <w:ilvl w:val="7"/>
        <w:numId w:val="16"/>
      </w:numPr>
      <w:outlineLvl w:val="2"/>
    </w:pPr>
  </w:style>
  <w:style w:type="paragraph" w:customStyle="1" w:styleId="Pointabc4">
    <w:name w:val="Point abc (4)"/>
    <w:basedOn w:val="Normal"/>
    <w:rsid w:val="006E33E2"/>
    <w:pPr>
      <w:numPr>
        <w:ilvl w:val="8"/>
        <w:numId w:val="16"/>
      </w:numPr>
      <w:outlineLvl w:val="3"/>
    </w:pPr>
  </w:style>
  <w:style w:type="paragraph" w:customStyle="1" w:styleId="Point123">
    <w:name w:val="Point 123"/>
    <w:basedOn w:val="Normal"/>
    <w:rsid w:val="006E33E2"/>
    <w:pPr>
      <w:numPr>
        <w:numId w:val="16"/>
      </w:numPr>
      <w:spacing w:before="200"/>
    </w:pPr>
  </w:style>
  <w:style w:type="paragraph" w:customStyle="1" w:styleId="Point1231">
    <w:name w:val="Point 123 (1)"/>
    <w:basedOn w:val="Normal"/>
    <w:rsid w:val="006E33E2"/>
    <w:pPr>
      <w:numPr>
        <w:ilvl w:val="2"/>
        <w:numId w:val="16"/>
      </w:numPr>
      <w:outlineLvl w:val="0"/>
    </w:pPr>
  </w:style>
  <w:style w:type="paragraph" w:customStyle="1" w:styleId="Point1232">
    <w:name w:val="Point 123 (2)"/>
    <w:basedOn w:val="Normal"/>
    <w:rsid w:val="006E33E2"/>
    <w:pPr>
      <w:numPr>
        <w:ilvl w:val="4"/>
        <w:numId w:val="16"/>
      </w:numPr>
      <w:outlineLvl w:val="1"/>
    </w:pPr>
  </w:style>
  <w:style w:type="paragraph" w:customStyle="1" w:styleId="Point1233">
    <w:name w:val="Point 123 (3)"/>
    <w:basedOn w:val="Normal"/>
    <w:rsid w:val="006E33E2"/>
    <w:pPr>
      <w:numPr>
        <w:ilvl w:val="6"/>
        <w:numId w:val="16"/>
      </w:numPr>
      <w:outlineLvl w:val="2"/>
    </w:pPr>
  </w:style>
  <w:style w:type="paragraph" w:customStyle="1" w:styleId="Pointivx">
    <w:name w:val="Point ivx"/>
    <w:basedOn w:val="Normal"/>
    <w:rsid w:val="006E33E2"/>
    <w:pPr>
      <w:numPr>
        <w:numId w:val="17"/>
      </w:numPr>
      <w:spacing w:before="200"/>
    </w:pPr>
  </w:style>
  <w:style w:type="paragraph" w:customStyle="1" w:styleId="Pointivx1">
    <w:name w:val="Point ivx (1)"/>
    <w:basedOn w:val="Normal"/>
    <w:rsid w:val="006E33E2"/>
    <w:pPr>
      <w:numPr>
        <w:ilvl w:val="1"/>
        <w:numId w:val="17"/>
      </w:numPr>
      <w:outlineLvl w:val="0"/>
    </w:pPr>
  </w:style>
  <w:style w:type="paragraph" w:customStyle="1" w:styleId="Pointivx2">
    <w:name w:val="Point ivx (2)"/>
    <w:basedOn w:val="Normal"/>
    <w:rsid w:val="006E33E2"/>
    <w:pPr>
      <w:numPr>
        <w:ilvl w:val="2"/>
        <w:numId w:val="17"/>
      </w:numPr>
      <w:outlineLvl w:val="1"/>
    </w:pPr>
  </w:style>
  <w:style w:type="paragraph" w:customStyle="1" w:styleId="Pointivx3">
    <w:name w:val="Point ivx (3)"/>
    <w:basedOn w:val="Normal"/>
    <w:rsid w:val="006E33E2"/>
    <w:pPr>
      <w:numPr>
        <w:ilvl w:val="3"/>
        <w:numId w:val="17"/>
      </w:numPr>
      <w:outlineLvl w:val="2"/>
    </w:pPr>
  </w:style>
  <w:style w:type="paragraph" w:customStyle="1" w:styleId="Pointivx4">
    <w:name w:val="Point ivx (4)"/>
    <w:basedOn w:val="Normal"/>
    <w:rsid w:val="006E33E2"/>
    <w:pPr>
      <w:numPr>
        <w:ilvl w:val="4"/>
        <w:numId w:val="17"/>
      </w:numPr>
      <w:outlineLvl w:val="3"/>
    </w:pPr>
  </w:style>
  <w:style w:type="paragraph" w:customStyle="1" w:styleId="Bullet">
    <w:name w:val="Bullet"/>
    <w:basedOn w:val="Normal"/>
    <w:rsid w:val="006E33E2"/>
    <w:pPr>
      <w:numPr>
        <w:numId w:val="11"/>
      </w:numPr>
      <w:spacing w:before="200"/>
    </w:pPr>
  </w:style>
  <w:style w:type="paragraph" w:customStyle="1" w:styleId="Bullet1">
    <w:name w:val="Bullet 1"/>
    <w:basedOn w:val="Normal"/>
    <w:rsid w:val="006E33E2"/>
    <w:pPr>
      <w:numPr>
        <w:numId w:val="12"/>
      </w:numPr>
      <w:outlineLvl w:val="0"/>
    </w:pPr>
  </w:style>
  <w:style w:type="paragraph" w:customStyle="1" w:styleId="Bullet2">
    <w:name w:val="Bullet 2"/>
    <w:basedOn w:val="Normal"/>
    <w:rsid w:val="006E33E2"/>
    <w:pPr>
      <w:numPr>
        <w:numId w:val="13"/>
      </w:numPr>
      <w:outlineLvl w:val="1"/>
    </w:pPr>
  </w:style>
  <w:style w:type="paragraph" w:customStyle="1" w:styleId="Bullet3">
    <w:name w:val="Bullet 3"/>
    <w:basedOn w:val="Normal"/>
    <w:rsid w:val="006E33E2"/>
    <w:pPr>
      <w:numPr>
        <w:numId w:val="14"/>
      </w:numPr>
      <w:outlineLvl w:val="2"/>
    </w:pPr>
  </w:style>
  <w:style w:type="paragraph" w:customStyle="1" w:styleId="Bullet4">
    <w:name w:val="Bullet 4"/>
    <w:basedOn w:val="Normal"/>
    <w:rsid w:val="006E33E2"/>
    <w:pPr>
      <w:numPr>
        <w:numId w:val="15"/>
      </w:numPr>
      <w:outlineLvl w:val="3"/>
    </w:pPr>
  </w:style>
  <w:style w:type="paragraph" w:customStyle="1" w:styleId="Dash">
    <w:name w:val="Dash"/>
    <w:basedOn w:val="Normal"/>
    <w:rsid w:val="006E33E2"/>
    <w:pPr>
      <w:numPr>
        <w:numId w:val="1"/>
      </w:numPr>
      <w:spacing w:before="200"/>
    </w:pPr>
  </w:style>
  <w:style w:type="paragraph" w:customStyle="1" w:styleId="Dash1">
    <w:name w:val="Dash 1"/>
    <w:basedOn w:val="Normal"/>
    <w:rsid w:val="006E33E2"/>
    <w:pPr>
      <w:numPr>
        <w:numId w:val="2"/>
      </w:numPr>
      <w:outlineLvl w:val="0"/>
    </w:pPr>
  </w:style>
  <w:style w:type="paragraph" w:customStyle="1" w:styleId="Dash2">
    <w:name w:val="Dash 2"/>
    <w:basedOn w:val="Normal"/>
    <w:rsid w:val="006E33E2"/>
    <w:pPr>
      <w:numPr>
        <w:numId w:val="3"/>
      </w:numPr>
      <w:outlineLvl w:val="1"/>
    </w:pPr>
  </w:style>
  <w:style w:type="paragraph" w:customStyle="1" w:styleId="Dash3">
    <w:name w:val="Dash 3"/>
    <w:basedOn w:val="Normal"/>
    <w:rsid w:val="006E33E2"/>
    <w:pPr>
      <w:numPr>
        <w:numId w:val="4"/>
      </w:numPr>
      <w:outlineLvl w:val="2"/>
    </w:pPr>
  </w:style>
  <w:style w:type="paragraph" w:customStyle="1" w:styleId="Dash4">
    <w:name w:val="Dash 4"/>
    <w:basedOn w:val="Normal"/>
    <w:rsid w:val="006E33E2"/>
    <w:pPr>
      <w:numPr>
        <w:numId w:val="5"/>
      </w:numPr>
      <w:outlineLvl w:val="3"/>
    </w:pPr>
  </w:style>
  <w:style w:type="paragraph" w:customStyle="1" w:styleId="DashEqual">
    <w:name w:val="Dash Equal"/>
    <w:basedOn w:val="Dash"/>
    <w:rsid w:val="006E33E2"/>
    <w:pPr>
      <w:numPr>
        <w:numId w:val="6"/>
      </w:numPr>
    </w:pPr>
  </w:style>
  <w:style w:type="paragraph" w:customStyle="1" w:styleId="DashEqual1">
    <w:name w:val="Dash Equal 1"/>
    <w:basedOn w:val="Dash1"/>
    <w:rsid w:val="006E33E2"/>
    <w:pPr>
      <w:numPr>
        <w:numId w:val="7"/>
      </w:numPr>
    </w:pPr>
  </w:style>
  <w:style w:type="paragraph" w:customStyle="1" w:styleId="DashEqual2">
    <w:name w:val="Dash Equal 2"/>
    <w:basedOn w:val="Dash2"/>
    <w:rsid w:val="006E33E2"/>
    <w:pPr>
      <w:numPr>
        <w:numId w:val="8"/>
      </w:numPr>
    </w:pPr>
  </w:style>
  <w:style w:type="paragraph" w:customStyle="1" w:styleId="DashEqual3">
    <w:name w:val="Dash Equal 3"/>
    <w:basedOn w:val="Dash3"/>
    <w:rsid w:val="006E33E2"/>
    <w:pPr>
      <w:numPr>
        <w:numId w:val="9"/>
      </w:numPr>
    </w:pPr>
  </w:style>
  <w:style w:type="paragraph" w:customStyle="1" w:styleId="DashEqual4">
    <w:name w:val="Dash Equal 4"/>
    <w:basedOn w:val="Dash4"/>
    <w:rsid w:val="006E33E2"/>
    <w:pPr>
      <w:numPr>
        <w:numId w:val="10"/>
      </w:numPr>
    </w:pPr>
  </w:style>
  <w:style w:type="character" w:customStyle="1" w:styleId="Marker">
    <w:name w:val="Marker"/>
    <w:rsid w:val="006E33E2"/>
    <w:rPr>
      <w:color w:val="0000FF"/>
      <w:shd w:val="clear" w:color="auto" w:fill="auto"/>
    </w:rPr>
  </w:style>
  <w:style w:type="character" w:customStyle="1" w:styleId="Marker1">
    <w:name w:val="Marker1"/>
    <w:rsid w:val="006E33E2"/>
    <w:rPr>
      <w:color w:val="008000"/>
      <w:shd w:val="clear" w:color="auto" w:fill="auto"/>
    </w:rPr>
  </w:style>
  <w:style w:type="paragraph" w:customStyle="1" w:styleId="HeadingLeft">
    <w:name w:val="Heading Left"/>
    <w:basedOn w:val="Normal"/>
    <w:next w:val="Normal"/>
    <w:rsid w:val="006E33E2"/>
    <w:pPr>
      <w:spacing w:before="480"/>
      <w:outlineLvl w:val="0"/>
    </w:pPr>
    <w:rPr>
      <w:b/>
      <w:caps/>
      <w:u w:val="single"/>
    </w:rPr>
  </w:style>
  <w:style w:type="paragraph" w:customStyle="1" w:styleId="HeadingABC">
    <w:name w:val="Heading ABC"/>
    <w:basedOn w:val="HeadingLeft"/>
    <w:next w:val="Normal"/>
    <w:rsid w:val="006E33E2"/>
    <w:pPr>
      <w:numPr>
        <w:numId w:val="18"/>
      </w:numPr>
    </w:pPr>
  </w:style>
  <w:style w:type="paragraph" w:customStyle="1" w:styleId="HeadingCentered">
    <w:name w:val="Heading Centered"/>
    <w:basedOn w:val="HeadingLeft"/>
    <w:next w:val="Normal"/>
    <w:rsid w:val="006E33E2"/>
    <w:pPr>
      <w:jc w:val="center"/>
    </w:pPr>
  </w:style>
  <w:style w:type="paragraph" w:customStyle="1" w:styleId="HeadingIVX">
    <w:name w:val="Heading IVX"/>
    <w:basedOn w:val="HeadingLeft"/>
    <w:next w:val="Normal"/>
    <w:rsid w:val="006E33E2"/>
    <w:pPr>
      <w:numPr>
        <w:numId w:val="19"/>
      </w:numPr>
    </w:pPr>
  </w:style>
  <w:style w:type="paragraph" w:customStyle="1" w:styleId="NB">
    <w:name w:val="NB"/>
    <w:basedOn w:val="PointManual"/>
    <w:rsid w:val="006E33E2"/>
    <w:pPr>
      <w:tabs>
        <w:tab w:val="left" w:pos="992"/>
      </w:tabs>
      <w:ind w:left="992" w:hanging="992"/>
    </w:pPr>
  </w:style>
  <w:style w:type="paragraph" w:customStyle="1" w:styleId="Remark">
    <w:name w:val="Remark"/>
    <w:basedOn w:val="Normal"/>
    <w:next w:val="Normal"/>
    <w:rsid w:val="006E33E2"/>
    <w:pPr>
      <w:framePr w:wrap="around" w:hAnchor="text" w:yAlign="bottom"/>
      <w:tabs>
        <w:tab w:val="left" w:pos="567"/>
      </w:tabs>
      <w:spacing w:after="360"/>
      <w:ind w:left="567" w:hanging="567"/>
    </w:pPr>
    <w:rPr>
      <w:b/>
      <w:i/>
    </w:rPr>
  </w:style>
  <w:style w:type="paragraph" w:styleId="TOCHeading">
    <w:name w:val="TOC Heading"/>
    <w:basedOn w:val="Normal"/>
    <w:next w:val="Normal"/>
    <w:qFormat/>
    <w:rsid w:val="006E33E2"/>
    <w:pPr>
      <w:spacing w:after="360"/>
      <w:jc w:val="center"/>
    </w:pPr>
    <w:rPr>
      <w:b/>
      <w:caps/>
      <w:sz w:val="28"/>
      <w:u w:val="single"/>
    </w:rPr>
  </w:style>
  <w:style w:type="paragraph" w:customStyle="1" w:styleId="Annex">
    <w:name w:val="Annex"/>
    <w:basedOn w:val="Normal"/>
    <w:next w:val="Normal"/>
    <w:rsid w:val="006E33E2"/>
    <w:pPr>
      <w:jc w:val="right"/>
    </w:pPr>
    <w:rPr>
      <w:b/>
      <w:u w:val="single"/>
    </w:rPr>
  </w:style>
  <w:style w:type="paragraph" w:customStyle="1" w:styleId="CoverPageText">
    <w:name w:val="Cover Page Text"/>
    <w:basedOn w:val="Normal"/>
    <w:rsid w:val="006E33E2"/>
    <w:pPr>
      <w:spacing w:before="120" w:after="120" w:line="360" w:lineRule="auto"/>
    </w:pPr>
  </w:style>
  <w:style w:type="paragraph" w:customStyle="1" w:styleId="ReplyBold">
    <w:name w:val="Reply Bold"/>
    <w:basedOn w:val="Normal"/>
    <w:next w:val="Normal"/>
    <w:rsid w:val="00825503"/>
    <w:pPr>
      <w:spacing w:after="480"/>
      <w:contextualSpacing/>
    </w:pPr>
    <w:rPr>
      <w:b/>
    </w:rPr>
  </w:style>
  <w:style w:type="paragraph" w:customStyle="1" w:styleId="HeaderCouncilLarge">
    <w:name w:val="Header Council Large"/>
    <w:basedOn w:val="Normal"/>
    <w:link w:val="HeaderCouncilLargeChar"/>
    <w:rsid w:val="002A66B1"/>
    <w:pPr>
      <w:spacing w:after="440"/>
      <w:ind w:left="-1134" w:right="-1134"/>
    </w:pPr>
    <w:rPr>
      <w:sz w:val="2"/>
    </w:rPr>
  </w:style>
  <w:style w:type="character" w:customStyle="1" w:styleId="TechnicalBlockChar">
    <w:name w:val="Technical Block Char"/>
    <w:basedOn w:val="DefaultParagraphFont"/>
    <w:link w:val="TechnicalBlock"/>
    <w:rsid w:val="002A66B1"/>
    <w:rPr>
      <w:sz w:val="24"/>
      <w:szCs w:val="24"/>
      <w:lang w:val="bg-BG" w:eastAsia="bg-BG"/>
    </w:rPr>
  </w:style>
  <w:style w:type="character" w:customStyle="1" w:styleId="HeaderCouncilLargeChar">
    <w:name w:val="Header Council Large Char"/>
    <w:basedOn w:val="TechnicalBlockChar"/>
    <w:link w:val="HeaderCouncilLarge"/>
    <w:rsid w:val="002A66B1"/>
    <w:rPr>
      <w:sz w:val="2"/>
      <w:szCs w:val="24"/>
      <w:lang w:val="bg-BG" w:eastAsia="bg-BG"/>
    </w:rPr>
  </w:style>
  <w:style w:type="paragraph" w:customStyle="1" w:styleId="FooterText">
    <w:name w:val="Footer Text"/>
    <w:basedOn w:val="Normal"/>
    <w:rsid w:val="002A66B1"/>
  </w:style>
  <w:style w:type="character" w:customStyle="1" w:styleId="FootnoteTextChar">
    <w:name w:val="Footnote Text Char"/>
    <w:basedOn w:val="DefaultParagraphFont"/>
    <w:link w:val="FootnoteText"/>
    <w:rsid w:val="00D5323C"/>
    <w:rPr>
      <w:sz w:val="24"/>
      <w:lang w:val="bg-BG" w:eastAsia="bg-BG"/>
    </w:rPr>
  </w:style>
  <w:style w:type="character" w:customStyle="1" w:styleId="PointManualChar">
    <w:name w:val="Point Manual Char"/>
    <w:link w:val="PointManual"/>
    <w:rsid w:val="00D5323C"/>
    <w:rPr>
      <w:sz w:val="24"/>
      <w:szCs w:val="24"/>
      <w:lang w:val="bg-BG" w:eastAsia="bg-BG"/>
    </w:rPr>
  </w:style>
  <w:style w:type="character" w:customStyle="1" w:styleId="Text1Char">
    <w:name w:val="Text 1 Char"/>
    <w:link w:val="Text1"/>
    <w:rsid w:val="00D5323C"/>
    <w:rPr>
      <w:sz w:val="24"/>
      <w:szCs w:val="24"/>
      <w:lang w:val="bg-BG" w:eastAsia="bg-BG"/>
    </w:rPr>
  </w:style>
  <w:style w:type="character" w:customStyle="1" w:styleId="Text3Char">
    <w:name w:val="Text 3 Char"/>
    <w:link w:val="Text3"/>
    <w:locked/>
    <w:rsid w:val="00D5323C"/>
    <w:rPr>
      <w:sz w:val="24"/>
      <w:szCs w:val="24"/>
      <w:lang w:val="bg-BG" w:eastAsia="bg-BG"/>
    </w:rPr>
  </w:style>
  <w:style w:type="character" w:customStyle="1" w:styleId="PointManual1Char">
    <w:name w:val="Point Manual (1) Char"/>
    <w:link w:val="PointManual1"/>
    <w:locked/>
    <w:rsid w:val="00D5323C"/>
    <w:rPr>
      <w:sz w:val="24"/>
      <w:szCs w:val="24"/>
      <w:lang w:val="bg-BG" w:eastAsia="bg-BG"/>
    </w:rPr>
  </w:style>
  <w:style w:type="paragraph" w:customStyle="1" w:styleId="Personnequisigne">
    <w:name w:val="Personne qui signe"/>
    <w:basedOn w:val="Normal"/>
    <w:next w:val="Normal"/>
    <w:rsid w:val="0006277D"/>
    <w:pPr>
      <w:tabs>
        <w:tab w:val="left" w:pos="5669"/>
      </w:tabs>
      <w:spacing w:line="360" w:lineRule="auto"/>
    </w:pPr>
    <w:rPr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A7458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7458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bg-BG" w:eastAsia="bg-BG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7458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bg-BG" w:eastAsia="bg-BG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74589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val="bg-BG" w:eastAsia="bg-BG"/>
    </w:rPr>
  </w:style>
  <w:style w:type="paragraph" w:styleId="CommentText">
    <w:name w:val="annotation text"/>
    <w:basedOn w:val="Normal"/>
    <w:uiPriority w:val="99"/>
    <w:semiHidden/>
    <w:unhideWhenUsed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271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DW_AGENDA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DW_AGENDA.dotm</Template>
  <TotalTime>2</TotalTime>
  <Pages>5</Pages>
  <Words>1162</Words>
  <Characters>6627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Council of European Union</Company>
  <LinksUpToDate>false</LinksUpToDate>
  <CharactersWithSpaces>7774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PERDIGAO Carmo</dc:creator>
  <cp:lastModifiedBy>GUSHEVA Rumyana</cp:lastModifiedBy>
  <cp:revision>3</cp:revision>
  <cp:lastPrinted>2015-02-11T10:13:00Z</cp:lastPrinted>
  <dcterms:created xsi:type="dcterms:W3CDTF">2015-02-17T09:04:00Z</dcterms:created>
  <dcterms:modified xsi:type="dcterms:W3CDTF">2015-02-17T09:05:00Z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Version">
    <vt:lpwstr>2.5.2.0</vt:lpwstr>
  </property>
  <property fmtid="{D5CDD505-2E9C-101B-9397-08002B2CF9AE}" pid="3" name="Created using">
    <vt:lpwstr>DocuWrite 3.4.3, Build 20150129</vt:lpwstr>
  </property>
  <property fmtid="{D5CDD505-2E9C-101B-9397-08002B2CF9AE}" pid="4" name="Last edited using">
    <vt:lpwstr>DocuWrite 3.4.3, Build 20150129</vt:lpwstr>
  </property>
  <property fmtid="{D5CDD505-2E9C-101B-9397-08002B2CF9AE}" pid="5" name="SkipControlLengthPage">
    <vt:lpwstr/>
  </property>
</Properties>
</file>