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6B1" w:rsidRPr="00BC7757" w:rsidRDefault="00BC7757" w:rsidP="00BC7757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80c49295-56fb-4ade-91f3-bb204873a1f1" style="width:568.5pt;height:285.7pt">
            <v:imagedata r:id="rId8" o:title=""/>
          </v:shape>
        </w:pict>
      </w:r>
      <w:bookmarkEnd w:id="0"/>
    </w:p>
    <w:p w:rsidR="00D5323C" w:rsidRPr="00E212F8" w:rsidRDefault="00D5323C" w:rsidP="00250F1B">
      <w:pPr>
        <w:pStyle w:val="HeadingCentered"/>
        <w:spacing w:before="360"/>
      </w:pPr>
      <w:r w:rsidRPr="00E212F8">
        <w:br w:type="page"/>
      </w:r>
      <w:r w:rsidRPr="00E212F8">
        <w:lastRenderedPageBreak/>
        <w:t>POINTS EN DÉLIBÉRATION PUBLIQUE</w:t>
      </w:r>
      <w:r w:rsidRPr="008442D4">
        <w:rPr>
          <w:rStyle w:val="FootnoteReference"/>
          <w:b/>
          <w:bCs/>
        </w:rPr>
        <w:footnoteReference w:id="1"/>
      </w:r>
    </w:p>
    <w:p w:rsidR="00D5323C" w:rsidRPr="00E212F8" w:rsidRDefault="00D5323C" w:rsidP="00D5323C">
      <w:pPr>
        <w:pStyle w:val="NormalRight"/>
        <w:spacing w:before="600"/>
        <w:rPr>
          <w:b/>
        </w:rPr>
      </w:pPr>
      <w:r w:rsidRPr="00E212F8">
        <w:rPr>
          <w:b/>
        </w:rPr>
        <w:t>Page</w:t>
      </w:r>
    </w:p>
    <w:p w:rsidR="00D5323C" w:rsidRPr="00E212F8" w:rsidRDefault="00D5323C" w:rsidP="00250F1B">
      <w:pPr>
        <w:pStyle w:val="HeadingLeft"/>
        <w:spacing w:before="120"/>
        <w:rPr>
          <w:u w:val="none"/>
        </w:rPr>
      </w:pPr>
      <w:r w:rsidRPr="00E212F8">
        <w:rPr>
          <w:u w:val="none"/>
        </w:rPr>
        <w:t>DÉLIBÉRATIONS LÉGISLATIVES</w:t>
      </w:r>
    </w:p>
    <w:p w:rsidR="00D5323C" w:rsidRPr="00E212F8" w:rsidRDefault="00D5323C" w:rsidP="00D5323C">
      <w:pPr>
        <w:spacing w:before="480"/>
        <w:rPr>
          <w:bCs/>
          <w:lang w:val="en-GB"/>
        </w:rPr>
      </w:pPr>
      <w:r w:rsidRPr="00E212F8">
        <w:rPr>
          <w:u w:val="single"/>
          <w:lang w:val="en-GB"/>
        </w:rPr>
        <w:t>POINTS "A"</w:t>
      </w:r>
      <w:r w:rsidRPr="00E212F8">
        <w:rPr>
          <w:lang w:val="en-GB"/>
        </w:rPr>
        <w:t xml:space="preserve"> (do</w:t>
      </w:r>
      <w:bookmarkStart w:id="1" w:name="_GoBack"/>
      <w:bookmarkEnd w:id="1"/>
      <w:r w:rsidRPr="00E212F8">
        <w:rPr>
          <w:lang w:val="en-GB"/>
        </w:rPr>
        <w:t>c. 5463/15 PTS A 3)</w:t>
      </w:r>
    </w:p>
    <w:p w:rsidR="00D5323C" w:rsidRPr="00E212F8" w:rsidRDefault="00D5323C" w:rsidP="0006277D">
      <w:pPr>
        <w:pStyle w:val="PointManual"/>
        <w:tabs>
          <w:tab w:val="right" w:leader="dot" w:pos="9639"/>
        </w:tabs>
      </w:pPr>
      <w:r w:rsidRPr="00E212F8">
        <w:t>1.</w:t>
      </w:r>
      <w:r w:rsidRPr="00E212F8">
        <w:tab/>
        <w:t>Proposition de règlement du Parlement européen et du Conseil modifiant le règlement (CE) n° 223/2009 relatif aux statistiques européennes [Première lecture] (AL)</w:t>
      </w:r>
      <w:r w:rsidRPr="00E212F8">
        <w:tab/>
      </w:r>
      <w:r w:rsidRPr="00E212F8">
        <w:tab/>
        <w:t>3</w:t>
      </w:r>
    </w:p>
    <w:p w:rsidR="00D5323C" w:rsidRPr="00E212F8" w:rsidRDefault="00D5323C" w:rsidP="0006277D">
      <w:pPr>
        <w:pStyle w:val="PointDoubleManual"/>
      </w:pPr>
      <w:r w:rsidRPr="00E212F8">
        <w:t>2.</w:t>
      </w:r>
      <w:r w:rsidRPr="00E212F8">
        <w:tab/>
        <w:t>-</w:t>
      </w:r>
      <w:r w:rsidRPr="00E212F8">
        <w:tab/>
        <w:t>Proposition de directive du Parlement européen et du Conseil relative à la prévention de l'utilisation du système financier aux fins du blanchiment de capitaux et du financement du terrorisme (directive anti-blanchiment) [Première lecture] (AL + D)</w:t>
      </w:r>
    </w:p>
    <w:p w:rsidR="00D5323C" w:rsidRPr="00E212F8" w:rsidRDefault="00D5323C" w:rsidP="00250F1B">
      <w:pPr>
        <w:pStyle w:val="PointManual1"/>
        <w:tabs>
          <w:tab w:val="left" w:leader="dot" w:pos="9639"/>
        </w:tabs>
      </w:pPr>
      <w:r w:rsidRPr="00E212F8">
        <w:t>-</w:t>
      </w:r>
      <w:r w:rsidRPr="00E212F8">
        <w:tab/>
        <w:t>Proposition de règlement du Parlement européen et du Conseil sur les informations accompagnant les virements de fonds (règlement anti-blanchiment) [Première lecture] (AL + D)</w:t>
      </w:r>
      <w:r w:rsidRPr="00E212F8">
        <w:tab/>
        <w:t>3</w:t>
      </w:r>
    </w:p>
    <w:p w:rsidR="00D5323C" w:rsidRPr="00E212F8" w:rsidRDefault="00D5323C" w:rsidP="00215771">
      <w:pPr>
        <w:pStyle w:val="PointManual"/>
        <w:tabs>
          <w:tab w:val="right" w:leader="dot" w:pos="9639"/>
        </w:tabs>
      </w:pPr>
      <w:r w:rsidRPr="00E212F8">
        <w:t>3.</w:t>
      </w:r>
      <w:r w:rsidRPr="00E212F8">
        <w:tab/>
        <w:t>Directive du Conseil modifiant la directive 2011/96/UE concernant le régime fiscal commun applicable aux sociétés mères et filiales d'États membres différents (AL + D)</w:t>
      </w:r>
      <w:r w:rsidRPr="00E212F8">
        <w:tab/>
      </w:r>
      <w:r w:rsidRPr="00E212F8">
        <w:tab/>
        <w:t>4</w:t>
      </w:r>
    </w:p>
    <w:p w:rsidR="00D5323C" w:rsidRPr="00E212F8" w:rsidRDefault="00D5323C" w:rsidP="00250F1B">
      <w:pPr>
        <w:pStyle w:val="PointManual"/>
        <w:tabs>
          <w:tab w:val="right" w:leader="dot" w:pos="9639"/>
        </w:tabs>
      </w:pPr>
      <w:r w:rsidRPr="00E212F8">
        <w:t>4.</w:t>
      </w:r>
      <w:r w:rsidRPr="00E212F8">
        <w:tab/>
        <w:t>Directive du Parlement européen et du Conseil abrogeant la d</w:t>
      </w:r>
      <w:r w:rsidR="008442D4">
        <w:t>irective 93/5/CEE du Conseil du </w:t>
      </w:r>
      <w:r w:rsidRPr="00E212F8">
        <w:t>25 février 1993 concernant l'assistance des États membres à la Commission et leur coopération en matière d'examen scientifique des questions relatives aux denrées alimentaires [Première lecture] (AL)</w:t>
      </w:r>
      <w:r w:rsidRPr="00E212F8">
        <w:tab/>
      </w:r>
      <w:r w:rsidRPr="00E212F8">
        <w:tab/>
        <w:t>4</w:t>
      </w:r>
    </w:p>
    <w:p w:rsidR="00D5323C" w:rsidRPr="00E212F8" w:rsidRDefault="00D5323C" w:rsidP="00D5323C">
      <w:pPr>
        <w:spacing w:before="480"/>
        <w:rPr>
          <w:bCs/>
        </w:rPr>
      </w:pPr>
      <w:r w:rsidRPr="00E212F8">
        <w:rPr>
          <w:u w:val="single"/>
        </w:rPr>
        <w:t>POINTS "B"</w:t>
      </w:r>
      <w:r w:rsidRPr="00E212F8">
        <w:t xml:space="preserve"> (doc. 5462/15 OJ CONS 3 ECOFIN 39)</w:t>
      </w:r>
    </w:p>
    <w:p w:rsidR="00D5323C" w:rsidRPr="00E212F8" w:rsidRDefault="00D5323C" w:rsidP="00A74589">
      <w:pPr>
        <w:pStyle w:val="PointManual"/>
        <w:tabs>
          <w:tab w:val="right" w:leader="dot" w:pos="9639"/>
        </w:tabs>
      </w:pPr>
      <w:r w:rsidRPr="00E212F8">
        <w:t>3.</w:t>
      </w:r>
      <w:r w:rsidRPr="00E212F8">
        <w:tab/>
        <w:t>Plan d'investissement pour l'Europe: Fonds européen pour les investissements stratégiques</w:t>
      </w:r>
      <w:r w:rsidRPr="00E212F8">
        <w:tab/>
      </w:r>
      <w:r w:rsidRPr="00E212F8">
        <w:tab/>
        <w:t>5</w:t>
      </w:r>
    </w:p>
    <w:p w:rsidR="00D5323C" w:rsidRPr="00E212F8" w:rsidRDefault="00D5323C" w:rsidP="00A74589">
      <w:pPr>
        <w:pStyle w:val="PointManual"/>
        <w:tabs>
          <w:tab w:val="left" w:leader="dot" w:pos="9639"/>
        </w:tabs>
        <w:rPr>
          <w:bCs/>
        </w:rPr>
      </w:pPr>
      <w:r w:rsidRPr="00E212F8">
        <w:t>4.</w:t>
      </w:r>
      <w:r w:rsidRPr="00E212F8">
        <w:tab/>
        <w:t>Divers</w:t>
      </w:r>
      <w:r w:rsidRPr="00E212F8">
        <w:tab/>
        <w:t>5</w:t>
      </w:r>
    </w:p>
    <w:p w:rsidR="00250F1B" w:rsidRPr="00E212F8" w:rsidRDefault="00250F1B" w:rsidP="00250F1B">
      <w:pPr>
        <w:pStyle w:val="HeadingLeft"/>
        <w:spacing w:before="360"/>
        <w:rPr>
          <w:u w:val="none"/>
        </w:rPr>
      </w:pPr>
      <w:r w:rsidRPr="00E212F8">
        <w:rPr>
          <w:u w:val="none"/>
        </w:rPr>
        <w:t>ACTIVITÉS NON LÉGISLATIVES - DÉBATS PUBLICS</w:t>
      </w:r>
    </w:p>
    <w:p w:rsidR="00215771" w:rsidRPr="00E212F8" w:rsidRDefault="00215771" w:rsidP="00A74589">
      <w:pPr>
        <w:pStyle w:val="PointManual"/>
        <w:tabs>
          <w:tab w:val="right" w:leader="dot" w:pos="9639"/>
        </w:tabs>
      </w:pPr>
      <w:r w:rsidRPr="00E212F8">
        <w:t>6.</w:t>
      </w:r>
      <w:r w:rsidRPr="00E212F8">
        <w:tab/>
        <w:t>Présentation du programme de travail de la présidence</w:t>
      </w:r>
      <w:r w:rsidRPr="00E212F8">
        <w:tab/>
      </w:r>
      <w:r w:rsidRPr="00E212F8">
        <w:tab/>
        <w:t>5</w:t>
      </w:r>
    </w:p>
    <w:p w:rsidR="00215771" w:rsidRPr="00E212F8" w:rsidRDefault="00215771" w:rsidP="00A74589">
      <w:pPr>
        <w:pStyle w:val="PointManual"/>
        <w:tabs>
          <w:tab w:val="right" w:leader="dot" w:pos="9639"/>
        </w:tabs>
      </w:pPr>
      <w:r w:rsidRPr="00E212F8">
        <w:t>7.</w:t>
      </w:r>
      <w:r w:rsidRPr="00E212F8">
        <w:tab/>
        <w:t>Programme de travail de la Commission pour l'année 2015 - Un nouvel élan</w:t>
      </w:r>
      <w:r w:rsidRPr="00E212F8">
        <w:tab/>
      </w:r>
      <w:r w:rsidRPr="00E212F8">
        <w:tab/>
        <w:t>5</w:t>
      </w:r>
    </w:p>
    <w:p w:rsidR="00D5323C" w:rsidRPr="00E212F8" w:rsidRDefault="00D5323C" w:rsidP="00D5323C">
      <w:pPr>
        <w:pStyle w:val="NormalCentered"/>
        <w:spacing w:before="600"/>
      </w:pPr>
      <w:r w:rsidRPr="00E212F8">
        <w:t>*</w:t>
      </w:r>
    </w:p>
    <w:p w:rsidR="00D5323C" w:rsidRPr="00E212F8" w:rsidRDefault="00D5323C" w:rsidP="00D5323C">
      <w:pPr>
        <w:pStyle w:val="NormalCentered"/>
        <w:spacing w:before="120"/>
      </w:pPr>
      <w:r w:rsidRPr="00E212F8">
        <w:t>*</w:t>
      </w:r>
      <w:r w:rsidRPr="00E212F8">
        <w:tab/>
        <w:t>*</w:t>
      </w:r>
    </w:p>
    <w:p w:rsidR="00D5323C" w:rsidRPr="00E212F8" w:rsidRDefault="00D5323C" w:rsidP="00250F1B">
      <w:pPr>
        <w:pageBreakBefore/>
        <w:rPr>
          <w:b/>
          <w:u w:val="single"/>
        </w:rPr>
      </w:pPr>
      <w:r w:rsidRPr="00E212F8">
        <w:rPr>
          <w:b/>
          <w:u w:val="single"/>
        </w:rPr>
        <w:lastRenderedPageBreak/>
        <w:t>DÉLIBÉRATIONS LÉGISLATIVES</w:t>
      </w:r>
    </w:p>
    <w:p w:rsidR="00D5323C" w:rsidRPr="00E212F8" w:rsidRDefault="00D5323C" w:rsidP="00D5323C">
      <w:pPr>
        <w:rPr>
          <w:b/>
          <w:i/>
          <w:iCs/>
        </w:rPr>
      </w:pPr>
      <w:r w:rsidRPr="00E212F8">
        <w:rPr>
          <w:b/>
          <w:i/>
        </w:rPr>
        <w:t>(Délibération publique conformément à l'article 16, paragraphe 8, du traité sur l'Union européenne)</w:t>
      </w:r>
    </w:p>
    <w:p w:rsidR="00D5323C" w:rsidRPr="00E212F8" w:rsidRDefault="00D5323C" w:rsidP="00250F1B">
      <w:pPr>
        <w:spacing w:before="240"/>
        <w:rPr>
          <w:bCs/>
          <w:lang w:val="en-GB"/>
        </w:rPr>
      </w:pPr>
      <w:r w:rsidRPr="00E212F8">
        <w:rPr>
          <w:u w:val="single"/>
          <w:lang w:val="en-GB"/>
        </w:rPr>
        <w:t>POINTS "A"</w:t>
      </w:r>
      <w:r w:rsidRPr="00E212F8">
        <w:rPr>
          <w:lang w:val="en-GB"/>
        </w:rPr>
        <w:t xml:space="preserve"> (doc. 5463/15 PTS A 3)</w:t>
      </w:r>
    </w:p>
    <w:p w:rsidR="00D5323C" w:rsidRPr="00E212F8" w:rsidRDefault="00D5323C" w:rsidP="00250F1B">
      <w:pPr>
        <w:pStyle w:val="PointManual"/>
        <w:rPr>
          <w:b/>
          <w:bCs/>
        </w:rPr>
      </w:pPr>
      <w:r w:rsidRPr="00E212F8">
        <w:rPr>
          <w:b/>
        </w:rPr>
        <w:t>1.</w:t>
      </w:r>
      <w:r w:rsidRPr="00E212F8">
        <w:tab/>
      </w:r>
      <w:r w:rsidRPr="00E212F8">
        <w:rPr>
          <w:b/>
        </w:rPr>
        <w:t>Proposition de règlement du Parlement européen et du Conseil modifiant le règlement (CE) n° 223/2009 relatif aux statistiques européennes [Première lecture] (AL)</w:t>
      </w:r>
    </w:p>
    <w:p w:rsidR="00D5323C" w:rsidRPr="00E212F8" w:rsidRDefault="00D5323C" w:rsidP="00D5323C">
      <w:pPr>
        <w:pStyle w:val="Dash1"/>
      </w:pPr>
      <w:r w:rsidRPr="00E212F8">
        <w:t>Adoption de l'accord politique en vue d'un accord en deu</w:t>
      </w:r>
      <w:r w:rsidR="008442D4">
        <w:t>xième lecture anticipée avec le </w:t>
      </w:r>
      <w:r w:rsidRPr="00E212F8">
        <w:t>Parlement européen</w:t>
      </w:r>
    </w:p>
    <w:p w:rsidR="00D5323C" w:rsidRPr="00E212F8" w:rsidRDefault="00D5323C" w:rsidP="00D5323C">
      <w:pPr>
        <w:pStyle w:val="Text3"/>
      </w:pPr>
      <w:r w:rsidRPr="00E212F8">
        <w:t>5109/15 STATIS 1 ECOFIN 10 CODEC 18</w:t>
      </w:r>
    </w:p>
    <w:p w:rsidR="00D5323C" w:rsidRPr="00E212F8" w:rsidRDefault="00D5323C" w:rsidP="00D5323C">
      <w:pPr>
        <w:pStyle w:val="Text3"/>
      </w:pPr>
      <w:r w:rsidRPr="00E212F8">
        <w:t>approuvé par le Coreper (2</w:t>
      </w:r>
      <w:r w:rsidRPr="00E212F8">
        <w:rPr>
          <w:vertAlign w:val="superscript"/>
        </w:rPr>
        <w:t>e</w:t>
      </w:r>
      <w:r w:rsidRPr="00E212F8">
        <w:t xml:space="preserve"> partie) le 21 janvier 2015</w:t>
      </w:r>
    </w:p>
    <w:p w:rsidR="00250F1B" w:rsidRPr="00E212F8" w:rsidRDefault="0006277D" w:rsidP="00250F1B">
      <w:pPr>
        <w:pStyle w:val="Text1"/>
        <w:spacing w:before="200" w:line="312" w:lineRule="auto"/>
      </w:pPr>
      <w:r w:rsidRPr="00E212F8">
        <w:rPr>
          <w:u w:val="single"/>
        </w:rPr>
        <w:t xml:space="preserve">Le Conseil </w:t>
      </w:r>
      <w:r w:rsidRPr="00E212F8">
        <w:t xml:space="preserve">a adopté l'accord politique sur le texte en question. </w:t>
      </w:r>
      <w:r w:rsidR="00CE2B21">
        <w:rPr>
          <w:u w:val="single"/>
        </w:rPr>
        <w:t>La délégation autrichienne et </w:t>
      </w:r>
      <w:r w:rsidRPr="00E212F8">
        <w:rPr>
          <w:u w:val="single"/>
        </w:rPr>
        <w:t>celle du Royaume-Uni</w:t>
      </w:r>
      <w:r w:rsidRPr="00E212F8">
        <w:t xml:space="preserve"> ont indiqué qu'elles avaient l'intention de voter contre l'adoption formelle du texte législatif. </w:t>
      </w:r>
      <w:r w:rsidRPr="00E212F8">
        <w:rPr>
          <w:u w:val="single"/>
        </w:rPr>
        <w:t>La délégation du Royaume-Uni</w:t>
      </w:r>
      <w:r w:rsidRPr="00E212F8">
        <w:t xml:space="preserve"> a fait la déclaration ci-dessous.</w:t>
      </w:r>
    </w:p>
    <w:p w:rsidR="00250F1B" w:rsidRPr="00E212F8" w:rsidRDefault="00250F1B" w:rsidP="00250F1B">
      <w:pPr>
        <w:pStyle w:val="Text1"/>
        <w:spacing w:before="200"/>
        <w:rPr>
          <w:b/>
          <w:bCs/>
          <w:u w:val="single"/>
        </w:rPr>
      </w:pPr>
      <w:r w:rsidRPr="00E212F8">
        <w:rPr>
          <w:b/>
          <w:u w:val="single"/>
        </w:rPr>
        <w:t>Déclaration du Royaume-Uni</w:t>
      </w:r>
    </w:p>
    <w:p w:rsidR="0006277D" w:rsidRPr="00E212F8" w:rsidRDefault="00215771" w:rsidP="00250F1B">
      <w:pPr>
        <w:pStyle w:val="Text1"/>
        <w:spacing w:before="120"/>
      </w:pPr>
      <w:r w:rsidRPr="00E212F8">
        <w:t>"En ce qui concerne la proposition de règlement du Parlement européen et du Conseil modifiant le règlement (CE) n° 223/2009 relatif aux stati</w:t>
      </w:r>
      <w:r w:rsidR="00CE2B21">
        <w:t>stiques européennes, le Royaume</w:t>
      </w:r>
      <w:r w:rsidR="00CE2B21">
        <w:rPr>
          <w:lang w:val="fr-BE"/>
        </w:rPr>
        <w:noBreakHyphen/>
      </w:r>
      <w:r w:rsidRPr="00E212F8">
        <w:t>Uni considère que, si l'article 338, paragraphe 1, du TFUE est la base juridique du règlement n° 223/2009, il n'est pas la base juridique qui convient pour l'article 12, paragraphe 3 </w:t>
      </w:r>
      <w:r w:rsidRPr="00E212F8">
        <w:rPr>
          <w:i/>
        </w:rPr>
        <w:t>ter</w:t>
      </w:r>
      <w:r w:rsidR="008442D4">
        <w:t>, du </w:t>
      </w:r>
      <w:r w:rsidRPr="00E212F8">
        <w:t>règlement proposé, où il est prévu qu</w:t>
      </w:r>
      <w:r w:rsidR="00CE2B21">
        <w:t>e la Commission européenne peut </w:t>
      </w:r>
      <w:r w:rsidRPr="00E212F8">
        <w:t>ouv</w:t>
      </w:r>
      <w:r w:rsidR="008442D4">
        <w:t>rir et mener une </w:t>
      </w:r>
      <w:r w:rsidRPr="00E212F8">
        <w:t>enquête lorsque la législation sectorielle prévoit des amendes pour les États membres ayant communiqué une représentation erro</w:t>
      </w:r>
      <w:r w:rsidR="00CE2B21">
        <w:t>née de données statistiques. Le </w:t>
      </w:r>
      <w:r w:rsidRPr="00E212F8">
        <w:t>Royaume-Uni souligne que l'article 338 du TFUE ne prévoit pas l'imposition d'amendes ou d'autres sanctions dans le domaine des statistiques dans la législation sectorielle; l'article 12, paragraphe 3 </w:t>
      </w:r>
      <w:r w:rsidRPr="00E212F8">
        <w:rPr>
          <w:i/>
        </w:rPr>
        <w:t>ter</w:t>
      </w:r>
      <w:r w:rsidRPr="00E212F8">
        <w:t xml:space="preserve">, n'est donc pas considéré comme une base </w:t>
      </w:r>
      <w:r w:rsidR="008442D4">
        <w:t>juridiquement envisageable pour </w:t>
      </w:r>
      <w:r w:rsidRPr="00E212F8">
        <w:t xml:space="preserve">la future législation sectorielle." </w:t>
      </w:r>
    </w:p>
    <w:p w:rsidR="00D5323C" w:rsidRPr="00E212F8" w:rsidRDefault="00D5323C" w:rsidP="00250F1B">
      <w:pPr>
        <w:pStyle w:val="PointDoubleManual"/>
        <w:spacing w:before="400"/>
        <w:rPr>
          <w:b/>
          <w:bCs/>
        </w:rPr>
      </w:pPr>
      <w:r w:rsidRPr="00E212F8">
        <w:rPr>
          <w:b/>
        </w:rPr>
        <w:t>2.</w:t>
      </w:r>
      <w:r w:rsidRPr="00E212F8">
        <w:tab/>
      </w:r>
      <w:r w:rsidR="006A76A2">
        <w:rPr>
          <w:b/>
        </w:rPr>
        <w:t>-</w:t>
      </w:r>
      <w:r w:rsidR="006A76A2">
        <w:rPr>
          <w:b/>
        </w:rPr>
        <w:tab/>
      </w:r>
      <w:r w:rsidRPr="00E212F8">
        <w:rPr>
          <w:b/>
        </w:rPr>
        <w:t>Proposition de directive du Parlement europ</w:t>
      </w:r>
      <w:r w:rsidR="008442D4">
        <w:rPr>
          <w:b/>
        </w:rPr>
        <w:t>éen et du Conseil relative à la </w:t>
      </w:r>
      <w:r w:rsidRPr="00E212F8">
        <w:rPr>
          <w:b/>
        </w:rPr>
        <w:t>prévention de l'utilisation du système finan</w:t>
      </w:r>
      <w:r w:rsidR="008442D4">
        <w:rPr>
          <w:b/>
        </w:rPr>
        <w:t>cier aux fins du blanchiment de </w:t>
      </w:r>
      <w:r w:rsidRPr="00E212F8">
        <w:rPr>
          <w:b/>
        </w:rPr>
        <w:t>capitaux et du financement du terrorisme (directive anti-blanchiment) [Première lecture] (AL + D)</w:t>
      </w:r>
    </w:p>
    <w:p w:rsidR="00D5323C" w:rsidRPr="00E212F8" w:rsidRDefault="006A76A2" w:rsidP="0006277D">
      <w:pPr>
        <w:pStyle w:val="PointManual1"/>
        <w:rPr>
          <w:b/>
          <w:bCs/>
        </w:rPr>
      </w:pPr>
      <w:r>
        <w:rPr>
          <w:b/>
        </w:rPr>
        <w:t>-</w:t>
      </w:r>
      <w:r>
        <w:rPr>
          <w:b/>
        </w:rPr>
        <w:tab/>
      </w:r>
      <w:r w:rsidR="00D5323C" w:rsidRPr="00E212F8">
        <w:rPr>
          <w:b/>
        </w:rPr>
        <w:t>Proposition de règlement du Parlement européen et du Conseil sur les informations accompagnant les virements de fonds (règlement anti-blanchiment) [Première lecture] (AL + D)</w:t>
      </w:r>
    </w:p>
    <w:p w:rsidR="00D5323C" w:rsidRPr="00E212F8" w:rsidRDefault="00D5323C" w:rsidP="00D5323C">
      <w:pPr>
        <w:pStyle w:val="DashEqual2"/>
      </w:pPr>
      <w:r w:rsidRPr="00E212F8">
        <w:t>Approbation du texte de compromis final</w:t>
      </w:r>
    </w:p>
    <w:p w:rsidR="00D5323C" w:rsidRPr="00E212F8" w:rsidRDefault="00D5323C" w:rsidP="006A76A2">
      <w:pPr>
        <w:pStyle w:val="Text3"/>
      </w:pPr>
      <w:r w:rsidRPr="00E212F8">
        <w:t>5535/15 EF 15 ECOFIN 41 DROIPEN 7 CRIMORG 12 CODEC 82</w:t>
      </w:r>
    </w:p>
    <w:p w:rsidR="00D5323C" w:rsidRPr="00E212F8" w:rsidRDefault="00D5323C" w:rsidP="00940B7F">
      <w:pPr>
        <w:pStyle w:val="Text3"/>
      </w:pPr>
      <w:r w:rsidRPr="00E212F8">
        <w:t>5116/15 ADD 1 EF 6 ECOFIN 12 DROIPEN 1 CRIMORG 7 CODEC 20</w:t>
      </w:r>
    </w:p>
    <w:p w:rsidR="00D5323C" w:rsidRPr="00E212F8" w:rsidRDefault="00D5323C" w:rsidP="00940B7F">
      <w:pPr>
        <w:pStyle w:val="Text3"/>
      </w:pPr>
      <w:r w:rsidRPr="00E212F8">
        <w:t>5116/15 ADD 2 EF 6 ECOFIN 12 DROIPEN 1 CRIMORG 7 CODEC 20</w:t>
      </w:r>
    </w:p>
    <w:p w:rsidR="00D5323C" w:rsidRPr="00E212F8" w:rsidRDefault="00D5323C" w:rsidP="00940B7F">
      <w:pPr>
        <w:pStyle w:val="Text3"/>
      </w:pPr>
      <w:r w:rsidRPr="00E212F8">
        <w:t>5116/15 ADD 3 REV 3 EF 6 ECOFIN 12 DROIPEN 1 CRIMORG 7 CODEC 20</w:t>
      </w:r>
    </w:p>
    <w:p w:rsidR="00D5323C" w:rsidRPr="00E212F8" w:rsidRDefault="00D5323C" w:rsidP="00D5323C">
      <w:pPr>
        <w:pStyle w:val="Text3"/>
      </w:pPr>
      <w:r w:rsidRPr="00E212F8">
        <w:t>approuvé par le Coreper (2</w:t>
      </w:r>
      <w:r w:rsidRPr="00E212F8">
        <w:rPr>
          <w:vertAlign w:val="superscript"/>
        </w:rPr>
        <w:t>e</w:t>
      </w:r>
      <w:r w:rsidRPr="00E212F8">
        <w:t xml:space="preserve"> partie) le 21 janvier 2015</w:t>
      </w:r>
    </w:p>
    <w:p w:rsidR="0006277D" w:rsidRPr="00E212F8" w:rsidRDefault="0006277D" w:rsidP="00250F1B">
      <w:pPr>
        <w:pStyle w:val="Text1"/>
        <w:spacing w:before="200" w:line="312" w:lineRule="auto"/>
      </w:pPr>
      <w:r w:rsidRPr="00E212F8">
        <w:rPr>
          <w:u w:val="single"/>
        </w:rPr>
        <w:t>Le Conseil</w:t>
      </w:r>
      <w:r w:rsidRPr="00E212F8">
        <w:t xml:space="preserve"> a approuvé les textes de compromis final figurant dans les documents 5116/15 ADD 1 et ADD 2, et a pris note de la déclaration commune du</w:t>
      </w:r>
      <w:r w:rsidR="008442D4">
        <w:t xml:space="preserve"> Conseil et de la Commission et </w:t>
      </w:r>
      <w:r w:rsidRPr="00E212F8">
        <w:t xml:space="preserve">des déclarations de </w:t>
      </w:r>
      <w:r w:rsidRPr="00E212F8">
        <w:rPr>
          <w:u w:val="single"/>
        </w:rPr>
        <w:t>l'Autriche, de la République tchèque, du Royaume-Uni et de la France</w:t>
      </w:r>
      <w:r w:rsidRPr="00E212F8">
        <w:t xml:space="preserve"> figurant dans le document 5116/15 ADD 3 REV 4.</w:t>
      </w:r>
    </w:p>
    <w:p w:rsidR="00D5323C" w:rsidRPr="00E212F8" w:rsidRDefault="002E16FF" w:rsidP="008F4D2E">
      <w:pPr>
        <w:pStyle w:val="PointManual"/>
        <w:spacing w:before="120"/>
        <w:rPr>
          <w:b/>
          <w:bCs/>
        </w:rPr>
      </w:pPr>
      <w:r>
        <w:rPr>
          <w:b/>
        </w:rPr>
        <w:br w:type="page"/>
      </w:r>
      <w:r w:rsidR="00D5323C" w:rsidRPr="00E212F8">
        <w:rPr>
          <w:b/>
        </w:rPr>
        <w:t>3.</w:t>
      </w:r>
      <w:r w:rsidR="00D5323C" w:rsidRPr="00E212F8">
        <w:tab/>
      </w:r>
      <w:r w:rsidR="00D5323C" w:rsidRPr="00E212F8">
        <w:rPr>
          <w:b/>
        </w:rPr>
        <w:t>Directive du Conseil modifiant la directive 2011/96/UE concernant le régime fiscal commun applicable aux sociétés mères et filiales d'États membres différents (AL + D)</w:t>
      </w:r>
    </w:p>
    <w:p w:rsidR="00D5323C" w:rsidRPr="00E212F8" w:rsidRDefault="00D5323C" w:rsidP="00373A39">
      <w:pPr>
        <w:pStyle w:val="Text3"/>
        <w:spacing w:before="120"/>
      </w:pPr>
      <w:r w:rsidRPr="00E212F8">
        <w:t>16633/14 FISC 228 ECOFIN 1179</w:t>
      </w:r>
    </w:p>
    <w:p w:rsidR="0006277D" w:rsidRPr="00E212F8" w:rsidRDefault="0006277D" w:rsidP="002E16FF">
      <w:pPr>
        <w:pStyle w:val="Text1"/>
        <w:spacing w:before="200" w:line="360" w:lineRule="auto"/>
      </w:pPr>
      <w:r w:rsidRPr="00E212F8">
        <w:rPr>
          <w:u w:val="single"/>
        </w:rPr>
        <w:t>Le Conseil</w:t>
      </w:r>
      <w:r w:rsidRPr="00E212F8">
        <w:t xml:space="preserve"> a adopté la directive susmentionné</w:t>
      </w:r>
      <w:r w:rsidR="00821BF9">
        <w:t>e, dont le texte figure dans le </w:t>
      </w:r>
      <w:r w:rsidRPr="00E212F8">
        <w:t>document 16633/14. (Base juridique: article 115 du TFUE)</w:t>
      </w:r>
    </w:p>
    <w:p w:rsidR="00215771" w:rsidRPr="00E212F8" w:rsidRDefault="00215771" w:rsidP="00250F1B">
      <w:pPr>
        <w:pStyle w:val="Text1"/>
        <w:spacing w:before="200" w:line="360" w:lineRule="auto"/>
      </w:pPr>
      <w:r w:rsidRPr="00E212F8">
        <w:t>Le Conseil a décidé d'inscrire à son procès-verbal les déclaration ci</w:t>
      </w:r>
      <w:r w:rsidRPr="00E212F8">
        <w:noBreakHyphen/>
        <w:t>après:</w:t>
      </w:r>
    </w:p>
    <w:p w:rsidR="0006277D" w:rsidRPr="00E212F8" w:rsidRDefault="0006277D" w:rsidP="00250F1B">
      <w:pPr>
        <w:pStyle w:val="Text1"/>
        <w:spacing w:before="240"/>
        <w:rPr>
          <w:b/>
          <w:bCs/>
          <w:u w:val="single"/>
        </w:rPr>
      </w:pPr>
      <w:r w:rsidRPr="00E212F8">
        <w:rPr>
          <w:b/>
          <w:u w:val="single"/>
        </w:rPr>
        <w:t>Déclaration du Conseil</w:t>
      </w:r>
    </w:p>
    <w:p w:rsidR="0006277D" w:rsidRPr="00E212F8" w:rsidRDefault="0006277D" w:rsidP="0006277D">
      <w:pPr>
        <w:pStyle w:val="Text1"/>
        <w:spacing w:before="200" w:after="120"/>
        <w:rPr>
          <w:b/>
          <w:bCs/>
          <w:u w:val="single"/>
        </w:rPr>
      </w:pPr>
      <w:r w:rsidRPr="00E212F8">
        <w:t>"Lors de l'application de la disposition anti-abus contenue dans la directive 2011/96/UE, les États membres s'efforceront de s'informer les uns les autres, dans le cadre des instruments juridiques de l'UE existants, lorsque cela peut être utile à d'autres États membres."</w:t>
      </w:r>
    </w:p>
    <w:p w:rsidR="0006277D" w:rsidRPr="00E212F8" w:rsidRDefault="0006277D" w:rsidP="00250F1B">
      <w:pPr>
        <w:pStyle w:val="Text1"/>
        <w:spacing w:before="240"/>
        <w:rPr>
          <w:b/>
          <w:bCs/>
          <w:u w:val="single"/>
        </w:rPr>
      </w:pPr>
      <w:r w:rsidRPr="00E212F8">
        <w:rPr>
          <w:b/>
          <w:u w:val="single"/>
        </w:rPr>
        <w:t>Déclaration du Conseil</w:t>
      </w:r>
    </w:p>
    <w:p w:rsidR="0006277D" w:rsidRPr="00E212F8" w:rsidRDefault="0006277D" w:rsidP="0006277D">
      <w:pPr>
        <w:pStyle w:val="Text1"/>
        <w:spacing w:before="200" w:after="120"/>
        <w:rPr>
          <w:b/>
          <w:bCs/>
          <w:u w:val="single"/>
        </w:rPr>
      </w:pPr>
      <w:r w:rsidRPr="00E212F8">
        <w:t>"Le Conseil prendra en compte la disposition anti-abus contenue dans la directive 2011/96/UE dans ses travaux futurs sur une éventuelle disposition anti-a</w:t>
      </w:r>
      <w:r w:rsidR="00CE2B21">
        <w:t>bus à inclure dans la directive </w:t>
      </w:r>
      <w:r w:rsidRPr="00E212F8">
        <w:t>2003/49/CE."</w:t>
      </w:r>
    </w:p>
    <w:p w:rsidR="0006277D" w:rsidRPr="00E212F8" w:rsidRDefault="0006277D" w:rsidP="00250F1B">
      <w:pPr>
        <w:pStyle w:val="Text1"/>
        <w:spacing w:before="240"/>
        <w:rPr>
          <w:b/>
          <w:bCs/>
          <w:u w:val="single"/>
        </w:rPr>
      </w:pPr>
      <w:r w:rsidRPr="00E212F8">
        <w:rPr>
          <w:b/>
          <w:u w:val="single"/>
        </w:rPr>
        <w:t>Déclaration de la Commission</w:t>
      </w:r>
    </w:p>
    <w:p w:rsidR="0006277D" w:rsidRPr="00E212F8" w:rsidRDefault="0006277D" w:rsidP="0006277D">
      <w:pPr>
        <w:pStyle w:val="Text1"/>
        <w:spacing w:before="200" w:after="120"/>
      </w:pPr>
      <w:r w:rsidRPr="00E212F8">
        <w:t>"La Commission confirme que les modifications à l'article 1</w:t>
      </w:r>
      <w:r w:rsidRPr="00E212F8">
        <w:rPr>
          <w:vertAlign w:val="superscript"/>
        </w:rPr>
        <w:t>er</w:t>
      </w:r>
      <w:r w:rsidR="00821BF9">
        <w:t>, paragraphe 2, de la directive </w:t>
      </w:r>
      <w:r w:rsidRPr="00E212F8">
        <w:t>"mères filiales" qui sont proposées ne sont pas censées toucher les systèmes nationaux d'exonération des participations, dans la mesure o</w:t>
      </w:r>
      <w:r w:rsidR="00821BF9">
        <w:t>ù ceux-ci sont compatibles avec </w:t>
      </w:r>
      <w:r w:rsidRPr="00E212F8">
        <w:t>les dispositions du traité."</w:t>
      </w:r>
    </w:p>
    <w:p w:rsidR="00D5323C" w:rsidRPr="00E212F8" w:rsidRDefault="00D5323C" w:rsidP="002E16FF">
      <w:pPr>
        <w:pStyle w:val="PointManual"/>
        <w:spacing w:before="400"/>
        <w:rPr>
          <w:b/>
          <w:bCs/>
        </w:rPr>
      </w:pPr>
      <w:r w:rsidRPr="00E212F8">
        <w:rPr>
          <w:b/>
        </w:rPr>
        <w:t>4.</w:t>
      </w:r>
      <w:r w:rsidRPr="00E212F8">
        <w:tab/>
      </w:r>
      <w:r w:rsidRPr="00E212F8">
        <w:rPr>
          <w:b/>
        </w:rPr>
        <w:t>Directive du Parlement européen et du Conseil abr</w:t>
      </w:r>
      <w:r w:rsidR="00821BF9">
        <w:rPr>
          <w:b/>
        </w:rPr>
        <w:t>ogeant la directive 93/5/CEE du </w:t>
      </w:r>
      <w:r w:rsidRPr="00E212F8">
        <w:rPr>
          <w:b/>
        </w:rPr>
        <w:t>Conseil concernant l'assistance des États membres à la Commission et leur coopération en matière d'examen scientifique des questions relatives aux denrées alimentaires [Première lecture] (AL)</w:t>
      </w:r>
    </w:p>
    <w:p w:rsidR="00D5323C" w:rsidRPr="00E212F8" w:rsidRDefault="00D5323C" w:rsidP="00D5323C">
      <w:pPr>
        <w:pStyle w:val="Dash1"/>
      </w:pPr>
      <w:r w:rsidRPr="00E212F8">
        <w:t>Adoption de l'acte législatif</w:t>
      </w:r>
    </w:p>
    <w:p w:rsidR="00D5323C" w:rsidRPr="00E212F8" w:rsidRDefault="00D5323C" w:rsidP="00D5323C">
      <w:pPr>
        <w:pStyle w:val="Text3"/>
        <w:rPr>
          <w:lang w:val="it-IT"/>
        </w:rPr>
      </w:pPr>
      <w:r w:rsidRPr="00E212F8">
        <w:rPr>
          <w:lang w:val="it-IT"/>
        </w:rPr>
        <w:t>5196/</w:t>
      </w:r>
      <w:r w:rsidR="000D0023">
        <w:rPr>
          <w:lang w:val="it-IT"/>
        </w:rPr>
        <w:t xml:space="preserve">15 CODEC 35 AGRILEG 5 CONSOM 9 </w:t>
      </w:r>
      <w:r w:rsidRPr="00E212F8">
        <w:rPr>
          <w:lang w:val="it-IT"/>
        </w:rPr>
        <w:t>DENLEG 7 MI 17 RECH 3</w:t>
      </w:r>
    </w:p>
    <w:p w:rsidR="00D5323C" w:rsidRPr="00E212F8" w:rsidRDefault="00D5323C" w:rsidP="00940B7F">
      <w:pPr>
        <w:pStyle w:val="Text5"/>
        <w:rPr>
          <w:lang w:val="it-IT"/>
        </w:rPr>
      </w:pPr>
      <w:r w:rsidRPr="00E212F8">
        <w:rPr>
          <w:lang w:val="it-IT"/>
        </w:rPr>
        <w:t>SAN 8</w:t>
      </w:r>
    </w:p>
    <w:p w:rsidR="008F4D2E" w:rsidRPr="00E212F8" w:rsidRDefault="00D5323C" w:rsidP="00D5323C">
      <w:pPr>
        <w:pStyle w:val="Text3"/>
        <w:rPr>
          <w:lang w:val="it-IT"/>
        </w:rPr>
      </w:pPr>
      <w:r w:rsidRPr="00E212F8">
        <w:rPr>
          <w:lang w:val="it-IT"/>
        </w:rPr>
        <w:t>PE-CONS 94/14 AGRILEG 209 CONSOM 214 DENLEG 162 MI 810</w:t>
      </w:r>
    </w:p>
    <w:p w:rsidR="00D5323C" w:rsidRPr="00E212F8" w:rsidRDefault="00D5323C" w:rsidP="00940B7F">
      <w:pPr>
        <w:pStyle w:val="Text5"/>
      </w:pPr>
      <w:r w:rsidRPr="00E212F8">
        <w:t>RECH 410 SAN 403 CODEC 2101</w:t>
      </w:r>
    </w:p>
    <w:p w:rsidR="00D5323C" w:rsidRPr="00E212F8" w:rsidRDefault="00D5323C" w:rsidP="00D5323C">
      <w:pPr>
        <w:pStyle w:val="Text3"/>
      </w:pPr>
      <w:r w:rsidRPr="00E212F8">
        <w:t>approuvé par le Coreper (1</w:t>
      </w:r>
      <w:r w:rsidRPr="00E212F8">
        <w:rPr>
          <w:vertAlign w:val="superscript"/>
        </w:rPr>
        <w:t>re</w:t>
      </w:r>
      <w:r w:rsidRPr="00E212F8">
        <w:t xml:space="preserve"> partie) le 21 janvier 2015</w:t>
      </w:r>
    </w:p>
    <w:p w:rsidR="00D5323C" w:rsidRPr="00E212F8" w:rsidRDefault="0006277D" w:rsidP="0006277D">
      <w:pPr>
        <w:pStyle w:val="Text1"/>
        <w:spacing w:before="200" w:line="360" w:lineRule="auto"/>
      </w:pPr>
      <w:r w:rsidRPr="00E212F8">
        <w:rPr>
          <w:u w:val="single"/>
        </w:rPr>
        <w:t>Le Conseil</w:t>
      </w:r>
      <w:r w:rsidRPr="00E212F8">
        <w:t xml:space="preserve"> a approuvé la position du Parlement européen en première lecture et l'acte proposé a été adopté, conformément à l'article 294, paragraphe 4, du </w:t>
      </w:r>
      <w:r w:rsidR="00821BF9">
        <w:t>traité sur le fonctionnement de </w:t>
      </w:r>
      <w:r w:rsidRPr="00E212F8">
        <w:t>l'Union européenne. (Base juridique: article 114 du TFUE)</w:t>
      </w:r>
    </w:p>
    <w:p w:rsidR="00D5323C" w:rsidRPr="00E212F8" w:rsidRDefault="00D5323C" w:rsidP="00250F1B">
      <w:pPr>
        <w:pageBreakBefore/>
        <w:rPr>
          <w:bCs/>
        </w:rPr>
      </w:pPr>
      <w:r w:rsidRPr="00E212F8">
        <w:rPr>
          <w:u w:val="single"/>
        </w:rPr>
        <w:t xml:space="preserve">POINTS "B" </w:t>
      </w:r>
      <w:r w:rsidRPr="00E212F8">
        <w:t>(doc. 5462/15 OJ CONS 3 ECOFIN 39)</w:t>
      </w:r>
    </w:p>
    <w:p w:rsidR="00D5323C" w:rsidRPr="00E212F8" w:rsidRDefault="00D5323C" w:rsidP="0006277D">
      <w:pPr>
        <w:pStyle w:val="PointManual"/>
        <w:spacing w:before="240"/>
        <w:rPr>
          <w:b/>
          <w:bCs/>
        </w:rPr>
      </w:pPr>
      <w:r w:rsidRPr="00E212F8">
        <w:rPr>
          <w:b/>
        </w:rPr>
        <w:t>3.</w:t>
      </w:r>
      <w:r w:rsidRPr="00E212F8">
        <w:tab/>
      </w:r>
      <w:r w:rsidRPr="00E212F8">
        <w:rPr>
          <w:b/>
        </w:rPr>
        <w:t>Plan d'investissement pour l'Europe: Fonds européen pour les investissements stratégiques</w:t>
      </w:r>
    </w:p>
    <w:p w:rsidR="00D5323C" w:rsidRPr="00E212F8" w:rsidRDefault="00D5323C" w:rsidP="00D5323C">
      <w:pPr>
        <w:pStyle w:val="Dash1"/>
        <w:numPr>
          <w:ilvl w:val="0"/>
          <w:numId w:val="30"/>
        </w:numPr>
        <w:rPr>
          <w:b/>
          <w:bCs/>
        </w:rPr>
      </w:pPr>
      <w:r w:rsidRPr="00E212F8">
        <w:rPr>
          <w:b/>
        </w:rPr>
        <w:t>Proposition de règlement du Parlement européen et du Conseil sur le Fonds européen pour les investissements stratégiques et modifiant les règlements (UE) n° 1291/2013 et (UE) n° 1316/2013</w:t>
      </w:r>
    </w:p>
    <w:p w:rsidR="00D5323C" w:rsidRPr="00E212F8" w:rsidRDefault="00D5323C" w:rsidP="00D5323C">
      <w:pPr>
        <w:pStyle w:val="DashEqual2"/>
        <w:numPr>
          <w:ilvl w:val="0"/>
          <w:numId w:val="31"/>
        </w:numPr>
      </w:pPr>
      <w:r w:rsidRPr="00E212F8">
        <w:t>Présentation par la Commission et échange de vues</w:t>
      </w:r>
    </w:p>
    <w:p w:rsidR="006A76A2" w:rsidRDefault="00D5323C" w:rsidP="006A76A2">
      <w:pPr>
        <w:pStyle w:val="Text4"/>
        <w:ind w:left="2835" w:hanging="567"/>
      </w:pPr>
      <w:r w:rsidRPr="00E212F8">
        <w:t>5112/15 ECOFIN 11 CO</w:t>
      </w:r>
      <w:r w:rsidR="006A76A2">
        <w:t>DEC 19 POLGEN 5 COMPET 8 RECH 2</w:t>
      </w:r>
    </w:p>
    <w:p w:rsidR="00D5323C" w:rsidRPr="00E212F8" w:rsidRDefault="00D5323C" w:rsidP="00940B7F">
      <w:pPr>
        <w:pStyle w:val="Text4"/>
        <w:ind w:left="3402"/>
      </w:pPr>
      <w:r w:rsidRPr="00E212F8">
        <w:t>ENER 6</w:t>
      </w:r>
      <w:r w:rsidR="006A76A2">
        <w:t xml:space="preserve"> </w:t>
      </w:r>
      <w:r w:rsidRPr="00E212F8">
        <w:t xml:space="preserve">TRANS 9 ENV </w:t>
      </w:r>
      <w:r w:rsidR="00940B7F">
        <w:t>7 EDUC 4 SOC 5 EMPL 3 EF 5 AGRI </w:t>
      </w:r>
      <w:r w:rsidRPr="00E212F8">
        <w:t>14</w:t>
      </w:r>
      <w:r w:rsidR="00940B7F">
        <w:t xml:space="preserve"> </w:t>
      </w:r>
      <w:r w:rsidRPr="00E212F8">
        <w:t>TELECOM 7</w:t>
      </w:r>
    </w:p>
    <w:p w:rsidR="00D5323C" w:rsidRPr="00E212F8" w:rsidRDefault="00D5323C" w:rsidP="00D5323C">
      <w:pPr>
        <w:pStyle w:val="Text5"/>
      </w:pPr>
      <w:r w:rsidRPr="00E212F8">
        <w:t>+ ADD 1</w:t>
      </w:r>
    </w:p>
    <w:p w:rsidR="00D5323C" w:rsidRPr="00E212F8" w:rsidRDefault="00D5323C" w:rsidP="00215771">
      <w:pPr>
        <w:pStyle w:val="Text1"/>
        <w:spacing w:before="160" w:line="360" w:lineRule="auto"/>
      </w:pPr>
      <w:r w:rsidRPr="00E212F8">
        <w:rPr>
          <w:u w:val="single"/>
        </w:rPr>
        <w:t>La Commission</w:t>
      </w:r>
      <w:r w:rsidRPr="00E212F8">
        <w:t xml:space="preserve"> a présenté sa proposition concernant le Fonds européen pour les investissements stratégiques, sur laquelle les ministres ont eu un premier échange de vues. </w:t>
      </w:r>
      <w:r w:rsidRPr="00E212F8">
        <w:rPr>
          <w:u w:val="single"/>
        </w:rPr>
        <w:t>La présidence</w:t>
      </w:r>
      <w:r w:rsidRPr="00E212F8">
        <w:t xml:space="preserve"> a expliqué comment s'organiserait l'examen de cette proposition au Conseil.</w:t>
      </w:r>
    </w:p>
    <w:p w:rsidR="00D5323C" w:rsidRPr="00E212F8" w:rsidRDefault="00D5323C" w:rsidP="002E16FF">
      <w:pPr>
        <w:pStyle w:val="PointManual"/>
        <w:spacing w:before="400"/>
        <w:rPr>
          <w:b/>
          <w:bCs/>
        </w:rPr>
      </w:pPr>
      <w:r w:rsidRPr="00E212F8">
        <w:rPr>
          <w:b/>
        </w:rPr>
        <w:t>4.</w:t>
      </w:r>
      <w:r w:rsidRPr="00E212F8">
        <w:tab/>
      </w:r>
      <w:r w:rsidRPr="00E212F8">
        <w:rPr>
          <w:b/>
        </w:rPr>
        <w:t>Divers</w:t>
      </w:r>
    </w:p>
    <w:p w:rsidR="00D5323C" w:rsidRPr="00E212F8" w:rsidRDefault="00D5323C" w:rsidP="00D5323C">
      <w:pPr>
        <w:pStyle w:val="Dash1"/>
        <w:spacing w:before="200"/>
        <w:rPr>
          <w:b/>
          <w:bCs/>
        </w:rPr>
      </w:pPr>
      <w:r w:rsidRPr="00E212F8">
        <w:rPr>
          <w:b/>
        </w:rPr>
        <w:t>Propositions législatives en cours d'examen</w:t>
      </w:r>
    </w:p>
    <w:p w:rsidR="00D5323C" w:rsidRPr="00E212F8" w:rsidRDefault="00D5323C" w:rsidP="00D5323C">
      <w:pPr>
        <w:pStyle w:val="DashEqual2"/>
        <w:rPr>
          <w:iCs/>
        </w:rPr>
      </w:pPr>
      <w:r w:rsidRPr="00E212F8">
        <w:t>Informations communiquées par la présidence</w:t>
      </w:r>
    </w:p>
    <w:p w:rsidR="002A66B1" w:rsidRPr="00E212F8" w:rsidRDefault="00D5323C" w:rsidP="00215771">
      <w:pPr>
        <w:pStyle w:val="Text1"/>
        <w:spacing w:before="160" w:line="360" w:lineRule="auto"/>
      </w:pPr>
      <w:r w:rsidRPr="00E212F8">
        <w:rPr>
          <w:u w:val="single"/>
        </w:rPr>
        <w:t>Le Conseil</w:t>
      </w:r>
      <w:r w:rsidRPr="00E212F8">
        <w:t xml:space="preserve"> a pris note de l'état d'avancement des travaux relatifs aux dossiers législatifs concernant les services financiers.</w:t>
      </w:r>
    </w:p>
    <w:p w:rsidR="00215771" w:rsidRPr="00E212F8" w:rsidRDefault="00215771" w:rsidP="002E16FF">
      <w:pPr>
        <w:spacing w:before="400"/>
        <w:rPr>
          <w:b/>
          <w:bCs/>
          <w:u w:val="single"/>
        </w:rPr>
      </w:pPr>
      <w:r w:rsidRPr="00E212F8">
        <w:rPr>
          <w:b/>
          <w:u w:val="single"/>
        </w:rPr>
        <w:t>ACTIVITÉS NON LÉGISLATIVES - DÉBATS PUBLICS</w:t>
      </w:r>
    </w:p>
    <w:p w:rsidR="00215771" w:rsidRPr="00E212F8" w:rsidRDefault="00250F1B" w:rsidP="00250F1B">
      <w:pPr>
        <w:rPr>
          <w:b/>
          <w:bCs/>
          <w:i/>
          <w:iCs/>
        </w:rPr>
      </w:pPr>
      <w:r w:rsidRPr="00E212F8">
        <w:rPr>
          <w:b/>
          <w:i/>
        </w:rPr>
        <w:t>(conformément à l'article 8, paragraphe 2, du règlement intérieur du Conseil)</w:t>
      </w:r>
    </w:p>
    <w:p w:rsidR="00215771" w:rsidRPr="00E212F8" w:rsidRDefault="00215771" w:rsidP="00215771">
      <w:pPr>
        <w:pStyle w:val="PointManual"/>
        <w:spacing w:before="240"/>
        <w:rPr>
          <w:b/>
          <w:bCs/>
        </w:rPr>
      </w:pPr>
      <w:r w:rsidRPr="00E212F8">
        <w:rPr>
          <w:b/>
        </w:rPr>
        <w:t>6.</w:t>
      </w:r>
      <w:r w:rsidRPr="00E212F8">
        <w:tab/>
      </w:r>
      <w:r w:rsidRPr="00E212F8">
        <w:rPr>
          <w:b/>
        </w:rPr>
        <w:t>Présentation du programme de travail de la présidence</w:t>
      </w:r>
    </w:p>
    <w:p w:rsidR="00215771" w:rsidRPr="00E212F8" w:rsidRDefault="00215771" w:rsidP="00215771">
      <w:pPr>
        <w:pStyle w:val="Dash1"/>
      </w:pPr>
      <w:r w:rsidRPr="00E212F8">
        <w:t>Échange de vues</w:t>
      </w:r>
    </w:p>
    <w:p w:rsidR="00215771" w:rsidRPr="00E212F8" w:rsidRDefault="00215771" w:rsidP="00215771">
      <w:pPr>
        <w:pStyle w:val="Text4"/>
      </w:pPr>
      <w:r w:rsidRPr="00E212F8">
        <w:t>5335/15 ECOFIN 29</w:t>
      </w:r>
    </w:p>
    <w:p w:rsidR="00215771" w:rsidRPr="00E212F8" w:rsidRDefault="00215771" w:rsidP="00215771">
      <w:pPr>
        <w:pStyle w:val="Text1"/>
        <w:spacing w:before="160" w:line="360" w:lineRule="auto"/>
      </w:pPr>
      <w:r w:rsidRPr="00E212F8">
        <w:rPr>
          <w:u w:val="single"/>
        </w:rPr>
        <w:t>La présidence lettone</w:t>
      </w:r>
      <w:r w:rsidRPr="00E212F8">
        <w:t xml:space="preserve"> a présenté son programme de travail dans le domaine des affaires économiques et financières.</w:t>
      </w:r>
    </w:p>
    <w:p w:rsidR="00215771" w:rsidRPr="00E212F8" w:rsidRDefault="00215771" w:rsidP="002E16FF">
      <w:pPr>
        <w:pStyle w:val="PointManual"/>
        <w:spacing w:before="400"/>
        <w:rPr>
          <w:b/>
          <w:bCs/>
        </w:rPr>
      </w:pPr>
      <w:r w:rsidRPr="00E212F8">
        <w:rPr>
          <w:b/>
        </w:rPr>
        <w:t>7.</w:t>
      </w:r>
      <w:r w:rsidRPr="00E212F8">
        <w:tab/>
      </w:r>
      <w:r w:rsidRPr="00E212F8">
        <w:rPr>
          <w:b/>
        </w:rPr>
        <w:t>Programme de travail de la Commission pour l'année 2015 - Un nouvel élan</w:t>
      </w:r>
    </w:p>
    <w:p w:rsidR="00215771" w:rsidRPr="00E212F8" w:rsidRDefault="00215771" w:rsidP="00215771">
      <w:pPr>
        <w:pStyle w:val="Dash1"/>
        <w:rPr>
          <w:b/>
          <w:bCs/>
        </w:rPr>
      </w:pPr>
      <w:r w:rsidRPr="00E212F8">
        <w:rPr>
          <w:b/>
        </w:rPr>
        <w:t>Communication de la Commission au Parlement européen, au Conseil, au Comité économique et social européen et au Comité des r</w:t>
      </w:r>
      <w:r w:rsidR="00821BF9">
        <w:rPr>
          <w:b/>
        </w:rPr>
        <w:t>égions: Programme de travail de </w:t>
      </w:r>
      <w:r w:rsidRPr="00E212F8">
        <w:rPr>
          <w:b/>
        </w:rPr>
        <w:t>la Commission pour l'année 2015 - Un nouvel élan</w:t>
      </w:r>
    </w:p>
    <w:p w:rsidR="00215771" w:rsidRPr="00E212F8" w:rsidRDefault="00215771" w:rsidP="00215771">
      <w:pPr>
        <w:pStyle w:val="DashEqual2"/>
      </w:pPr>
      <w:r w:rsidRPr="00E212F8">
        <w:t>Présentation par la Commission et échange de vues</w:t>
      </w:r>
    </w:p>
    <w:p w:rsidR="00215771" w:rsidRPr="00E212F8" w:rsidRDefault="00215771" w:rsidP="00215771">
      <w:pPr>
        <w:pStyle w:val="Text4"/>
      </w:pPr>
      <w:r w:rsidRPr="00E212F8">
        <w:t>5080/15 POLGEN 4</w:t>
      </w:r>
    </w:p>
    <w:p w:rsidR="00215771" w:rsidRPr="00E212F8" w:rsidRDefault="00215771" w:rsidP="00215771">
      <w:pPr>
        <w:pStyle w:val="Text5"/>
      </w:pPr>
      <w:r w:rsidRPr="00E212F8">
        <w:t>+ ADD 1 à ADD 4</w:t>
      </w:r>
    </w:p>
    <w:p w:rsidR="00215771" w:rsidRPr="00E212F8" w:rsidRDefault="00215771" w:rsidP="00215771">
      <w:pPr>
        <w:pStyle w:val="Text1"/>
        <w:spacing w:before="160" w:line="360" w:lineRule="auto"/>
      </w:pPr>
      <w:r w:rsidRPr="00E212F8">
        <w:rPr>
          <w:u w:val="single"/>
        </w:rPr>
        <w:t xml:space="preserve">Le Conseil </w:t>
      </w:r>
      <w:r w:rsidRPr="00E212F8">
        <w:t>a procédé à un échange de vues sur la base d'un exposé de la Commission sur son programme de travail pour les questions économiques et financières en 2015.</w:t>
      </w:r>
    </w:p>
    <w:p w:rsidR="00FC4670" w:rsidRPr="00CC3455" w:rsidRDefault="00FC4670" w:rsidP="00821BF9">
      <w:pPr>
        <w:pStyle w:val="FinalLine"/>
        <w:spacing w:before="240" w:after="0"/>
        <w:ind w:left="3402" w:right="3402"/>
      </w:pPr>
    </w:p>
    <w:sectPr w:rsidR="00FC4670" w:rsidRPr="00CC3455" w:rsidSect="00BC7757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6B1" w:rsidRDefault="002A66B1" w:rsidP="002A66B1">
      <w:r>
        <w:separator/>
      </w:r>
    </w:p>
  </w:endnote>
  <w:endnote w:type="continuationSeparator" w:id="0">
    <w:p w:rsidR="002A66B1" w:rsidRDefault="002A66B1" w:rsidP="002A6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BC7757" w:rsidRPr="00D94637" w:rsidTr="00BC7757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BC7757" w:rsidRPr="00D94637" w:rsidRDefault="00BC7757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BC7757" w:rsidRPr="00B310DC" w:rsidTr="00BC7757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BC7757" w:rsidRPr="00AD7BF2" w:rsidRDefault="00BC7757" w:rsidP="004F54B2">
          <w:pPr>
            <w:pStyle w:val="FooterText"/>
          </w:pPr>
          <w:r>
            <w:t>5547/15</w:t>
          </w:r>
          <w:r w:rsidRPr="002511D8">
            <w:t xml:space="preserve"> </w:t>
          </w:r>
          <w:r>
            <w:t>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BC7757" w:rsidRPr="00AD7BF2" w:rsidRDefault="00BC7757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BC7757" w:rsidRPr="002511D8" w:rsidRDefault="00BC7757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BC7757" w:rsidRPr="00B310DC" w:rsidRDefault="00BC7757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5E16AC">
            <w:rPr>
              <w:noProof/>
            </w:rPr>
            <w:t>2</w:t>
          </w:r>
          <w:r>
            <w:fldChar w:fldCharType="end"/>
          </w:r>
        </w:p>
      </w:tc>
    </w:tr>
    <w:tr w:rsidR="00BC7757" w:rsidRPr="00D94637" w:rsidTr="00BC7757">
      <w:trPr>
        <w:jc w:val="center"/>
      </w:trPr>
      <w:tc>
        <w:tcPr>
          <w:tcW w:w="1774" w:type="pct"/>
          <w:shd w:val="clear" w:color="auto" w:fill="auto"/>
        </w:tcPr>
        <w:p w:rsidR="00BC7757" w:rsidRPr="00AD7BF2" w:rsidRDefault="00BC7757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BC7757" w:rsidRPr="00AD7BF2" w:rsidRDefault="00BC7757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BC7757" w:rsidRPr="00D94637" w:rsidRDefault="00BC7757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BC7757" w:rsidRPr="00D94637" w:rsidRDefault="00BC7757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2A66B1" w:rsidRPr="00BC7757" w:rsidRDefault="002A66B1" w:rsidP="00BC7757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BC7757" w:rsidRPr="00D94637" w:rsidTr="00BC7757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BC7757" w:rsidRPr="00D94637" w:rsidRDefault="00BC7757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BC7757" w:rsidRPr="00B310DC" w:rsidTr="00BC7757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BC7757" w:rsidRPr="00AD7BF2" w:rsidRDefault="00BC7757" w:rsidP="004F54B2">
          <w:pPr>
            <w:pStyle w:val="FooterText"/>
          </w:pPr>
          <w:r>
            <w:t>5547/15</w:t>
          </w:r>
          <w:r w:rsidRPr="002511D8">
            <w:t xml:space="preserve"> </w:t>
          </w:r>
          <w:r>
            <w:t>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BC7757" w:rsidRPr="00AD7BF2" w:rsidRDefault="00BC7757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BC7757" w:rsidRPr="002511D8" w:rsidRDefault="00BC7757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BC7757" w:rsidRPr="00B310DC" w:rsidRDefault="00BC7757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5F5AD4">
            <w:rPr>
              <w:noProof/>
            </w:rPr>
            <w:t>1</w:t>
          </w:r>
          <w:r>
            <w:fldChar w:fldCharType="end"/>
          </w:r>
        </w:p>
      </w:tc>
    </w:tr>
    <w:tr w:rsidR="00BC7757" w:rsidRPr="00D94637" w:rsidTr="00BC7757">
      <w:trPr>
        <w:jc w:val="center"/>
      </w:trPr>
      <w:tc>
        <w:tcPr>
          <w:tcW w:w="1774" w:type="pct"/>
          <w:shd w:val="clear" w:color="auto" w:fill="auto"/>
        </w:tcPr>
        <w:p w:rsidR="00BC7757" w:rsidRPr="00AD7BF2" w:rsidRDefault="00BC7757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BC7757" w:rsidRPr="00AD7BF2" w:rsidRDefault="00BC7757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BC7757" w:rsidRPr="00D94637" w:rsidRDefault="00BC7757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BC7757" w:rsidRPr="00D94637" w:rsidRDefault="00BC7757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2A66B1" w:rsidRPr="00BC7757" w:rsidRDefault="002A66B1" w:rsidP="00BC7757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6B1" w:rsidRDefault="002A66B1" w:rsidP="002A66B1">
      <w:r>
        <w:separator/>
      </w:r>
    </w:p>
  </w:footnote>
  <w:footnote w:type="continuationSeparator" w:id="0">
    <w:p w:rsidR="002A66B1" w:rsidRDefault="002A66B1" w:rsidP="002A66B1">
      <w:r>
        <w:continuationSeparator/>
      </w:r>
    </w:p>
  </w:footnote>
  <w:footnote w:id="1">
    <w:p w:rsidR="00D5323C" w:rsidRPr="00DD63C3" w:rsidRDefault="00D5323C" w:rsidP="008442D4">
      <w:pPr>
        <w:pStyle w:val="FootnoteText"/>
        <w:ind w:left="567" w:hanging="567"/>
        <w:rPr>
          <w:lang w:val="fr-BE"/>
        </w:rPr>
      </w:pPr>
      <w:r>
        <w:rPr>
          <w:rStyle w:val="FootnoteReference"/>
        </w:rPr>
        <w:footnoteRef/>
      </w:r>
      <w:r>
        <w:tab/>
        <w:t>Délibérations sur les actes législatifs de l'Union (article 16, paragraphe 8, du TUE), autres délibérations ouvertes au public et débats publics (article 8 du règlement intérieur du Conseil).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6E47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BE9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9292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6A9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6C6A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61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04A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ACC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8E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68E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9"/>
    <w:lvlOverride w:ilvl="0">
      <w:startOverride w:val="1"/>
    </w:lvlOverride>
  </w:num>
  <w:num w:numId="31">
    <w:abstractNumId w:val="2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3&quot; technicalblockguid=&quot;80c49295-56fb-4ade-91f3-bb204873a1f1&quot;&gt;_x000d__x000a_  &lt;metadata key=&quot;md_Document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 translate=&quot;false&quot;&gt;_x000d__x000a_    &lt;basicdatatype&gt;_x000d__x000a_      &lt;heading key=&quot;uh_49&quot; text=&quot;PROJET DE PROCÈS-VERBAL&quot; /&gt;_x000d__x000a_    &lt;/basicdatatype&gt;_x000d__x000a_  &lt;/metadata&gt;_x000d__x000a_  &lt;metadata key=&quot;md_HeadingText&quot; translate=&quot;false&quot;&gt;_x000d__x000a_    &lt;headingtext text=&quot;PROJET DE PROCÈS-VERBAL&quot;&gt;_x000d__x000a_      &lt;formattedtext&gt;_x000d__x000a_        &lt;xaml text=&quot;PROJET DE PROCÈS-VERBAL&quot;&gt;&amp;lt;FlowDocument xmlns=&quot;http://schemas.microsoft.com/winfx/2006/xaml/presentation&quot;&amp;gt;&amp;lt;Paragraph&amp;gt;PROJET DE PROCÈS-VERBAL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 translate=&quot;false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Bruxelles&quot; /&gt;_x000d__x000a_    &lt;/basicdatatype&gt;_x000d__x000a_  &lt;/metadata&gt;_x000d__x000a_  &lt;metadata key=&quot;md_DocumentDate&quot; translate=&quot;false&quot;&gt;_x000d__x000a_    &lt;text&gt;2015-02-10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5547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ADD 1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PV/CONS 3&lt;/text&gt;_x000d__x000a_      &lt;text&gt;ECOFIN 43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typeofhead_14&quot; text=&quot;Draft - ADD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66e session du Conseil de l'Union européenne (AFFAIRES ÉCONOMIQUES ET FINANCIÈRES), tenue à Bruxelles le 27 janvier 2015&quot;&gt;&amp;lt;FlowDocument FontFamily=&quot;Times New Roman&quot; FontSize=&quot;16&quot; PageWidth=&quot;377&quot; PagePadding=&quot;0,0,0,0&quot; AllowDrop=&quot;False&quot; NumberSubstitution.CultureSource=&quot;User&quot; xmlns=&quot;http://schemas.microsoft.com/winfx/2006/xaml/presentation&quot;&amp;gt;&amp;lt;Paragraph FontFamily=&quot;Georgia&quot; NumberSubstitution.CultureSource=&quot;Text&quot;&amp;gt;&amp;lt;Run FontWeight=&quot;Bold&quot;&amp;gt;3366&amp;lt;/Run&amp;gt;&amp;lt;Run BaselineAlignment=&quot;Superscript&quot; FontWeight=&quot;Bold&quot;&amp;gt;e&amp;lt;/Run&amp;gt; session du Conseil de l'Union européenne &amp;lt;Run FontWeight=&quot;Bold&quot;&amp;gt;(AFFAIRES ÉCONOMIQUES ET FINANCIÈRES)&amp;lt;/Run&amp;gt;, tenue à Bruxelles le 27 janvier 2015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2A66B1"/>
    <w:rsid w:val="00010C1D"/>
    <w:rsid w:val="0006277D"/>
    <w:rsid w:val="00074C32"/>
    <w:rsid w:val="0008353D"/>
    <w:rsid w:val="0009656C"/>
    <w:rsid w:val="000D0023"/>
    <w:rsid w:val="000F250E"/>
    <w:rsid w:val="00165755"/>
    <w:rsid w:val="00182F2F"/>
    <w:rsid w:val="00215771"/>
    <w:rsid w:val="0023778F"/>
    <w:rsid w:val="00250F1B"/>
    <w:rsid w:val="002A2AE8"/>
    <w:rsid w:val="002A66B1"/>
    <w:rsid w:val="002E16FF"/>
    <w:rsid w:val="00325B7E"/>
    <w:rsid w:val="00373A39"/>
    <w:rsid w:val="003B0918"/>
    <w:rsid w:val="003C6E8B"/>
    <w:rsid w:val="00483CBB"/>
    <w:rsid w:val="005157F5"/>
    <w:rsid w:val="005272FB"/>
    <w:rsid w:val="005E16AC"/>
    <w:rsid w:val="005F5AD4"/>
    <w:rsid w:val="0060627D"/>
    <w:rsid w:val="0063379B"/>
    <w:rsid w:val="006A38C5"/>
    <w:rsid w:val="006A76A2"/>
    <w:rsid w:val="006C1AD4"/>
    <w:rsid w:val="006E33E2"/>
    <w:rsid w:val="006F4741"/>
    <w:rsid w:val="00756226"/>
    <w:rsid w:val="0075756A"/>
    <w:rsid w:val="007575D8"/>
    <w:rsid w:val="007861E2"/>
    <w:rsid w:val="00821BF9"/>
    <w:rsid w:val="00825503"/>
    <w:rsid w:val="008442D4"/>
    <w:rsid w:val="008826F8"/>
    <w:rsid w:val="008F4D2E"/>
    <w:rsid w:val="00940B7F"/>
    <w:rsid w:val="00A469D7"/>
    <w:rsid w:val="00A74589"/>
    <w:rsid w:val="00BC7757"/>
    <w:rsid w:val="00BE1373"/>
    <w:rsid w:val="00CC05FE"/>
    <w:rsid w:val="00CC3455"/>
    <w:rsid w:val="00CE2B21"/>
    <w:rsid w:val="00D451E4"/>
    <w:rsid w:val="00D5323C"/>
    <w:rsid w:val="00DA7A73"/>
    <w:rsid w:val="00DD63C3"/>
    <w:rsid w:val="00E01C07"/>
    <w:rsid w:val="00E212F8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45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45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45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5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link w:val="Text1Char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link w:val="PointManual1Char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2A66B1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2A66B1"/>
    <w:rPr>
      <w:sz w:val="24"/>
      <w:szCs w:val="24"/>
      <w:lang w:val="fr-FR" w:eastAsia="fr-FR"/>
    </w:rPr>
  </w:style>
  <w:style w:type="character" w:customStyle="1" w:styleId="HeaderCouncilLargeChar">
    <w:name w:val="Header Council Large Char"/>
    <w:basedOn w:val="TechnicalBlockChar"/>
    <w:link w:val="HeaderCouncilLarge"/>
    <w:rsid w:val="002A66B1"/>
    <w:rPr>
      <w:sz w:val="2"/>
      <w:szCs w:val="24"/>
      <w:lang w:val="fr-FR" w:eastAsia="fr-FR"/>
    </w:rPr>
  </w:style>
  <w:style w:type="paragraph" w:customStyle="1" w:styleId="FooterText">
    <w:name w:val="Footer Text"/>
    <w:basedOn w:val="Normal"/>
    <w:rsid w:val="002A66B1"/>
  </w:style>
  <w:style w:type="character" w:customStyle="1" w:styleId="FootnoteTextChar">
    <w:name w:val="Footnote Text Char"/>
    <w:basedOn w:val="DefaultParagraphFont"/>
    <w:link w:val="FootnoteText"/>
    <w:rsid w:val="00D5323C"/>
    <w:rPr>
      <w:sz w:val="24"/>
      <w:lang w:val="fr-FR" w:eastAsia="fr-FR"/>
    </w:rPr>
  </w:style>
  <w:style w:type="character" w:customStyle="1" w:styleId="PointManualChar">
    <w:name w:val="Point Manual Char"/>
    <w:link w:val="PointManual"/>
    <w:rsid w:val="00D5323C"/>
    <w:rPr>
      <w:sz w:val="24"/>
      <w:szCs w:val="24"/>
      <w:lang w:val="fr-FR" w:eastAsia="fr-FR"/>
    </w:rPr>
  </w:style>
  <w:style w:type="character" w:customStyle="1" w:styleId="Text1Char">
    <w:name w:val="Text 1 Char"/>
    <w:link w:val="Text1"/>
    <w:rsid w:val="00D5323C"/>
    <w:rPr>
      <w:sz w:val="24"/>
      <w:szCs w:val="24"/>
      <w:lang w:val="fr-FR" w:eastAsia="fr-FR"/>
    </w:rPr>
  </w:style>
  <w:style w:type="character" w:customStyle="1" w:styleId="Text3Char">
    <w:name w:val="Text 3 Char"/>
    <w:link w:val="Text3"/>
    <w:locked/>
    <w:rsid w:val="00D5323C"/>
    <w:rPr>
      <w:sz w:val="24"/>
      <w:szCs w:val="24"/>
      <w:lang w:val="fr-FR" w:eastAsia="fr-FR"/>
    </w:rPr>
  </w:style>
  <w:style w:type="character" w:customStyle="1" w:styleId="PointManual1Char">
    <w:name w:val="Point Manual (1) Char"/>
    <w:link w:val="PointManual1"/>
    <w:locked/>
    <w:rsid w:val="00D5323C"/>
    <w:rPr>
      <w:sz w:val="24"/>
      <w:szCs w:val="24"/>
      <w:lang w:val="fr-FR" w:eastAsia="fr-FR"/>
    </w:rPr>
  </w:style>
  <w:style w:type="paragraph" w:customStyle="1" w:styleId="Personnequisigne">
    <w:name w:val="Personne qui signe"/>
    <w:basedOn w:val="Normal"/>
    <w:next w:val="Normal"/>
    <w:rsid w:val="0006277D"/>
    <w:pPr>
      <w:tabs>
        <w:tab w:val="left" w:pos="5669"/>
      </w:tabs>
      <w:spacing w:line="360" w:lineRule="auto"/>
    </w:pPr>
    <w:rPr>
      <w:i/>
    </w:rPr>
  </w:style>
  <w:style w:type="character" w:customStyle="1" w:styleId="Heading1Char">
    <w:name w:val="Heading 1 Char"/>
    <w:basedOn w:val="DefaultParagraphFont"/>
    <w:link w:val="Heading1"/>
    <w:uiPriority w:val="9"/>
    <w:rsid w:val="00A745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45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458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58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fr-FR" w:eastAsia="fr-FR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45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45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45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5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link w:val="Text1Char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link w:val="PointManual1Char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2A66B1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2A66B1"/>
    <w:rPr>
      <w:sz w:val="24"/>
      <w:szCs w:val="24"/>
      <w:lang w:val="fr-FR" w:eastAsia="fr-FR"/>
    </w:rPr>
  </w:style>
  <w:style w:type="character" w:customStyle="1" w:styleId="HeaderCouncilLargeChar">
    <w:name w:val="Header Council Large Char"/>
    <w:basedOn w:val="TechnicalBlockChar"/>
    <w:link w:val="HeaderCouncilLarge"/>
    <w:rsid w:val="002A66B1"/>
    <w:rPr>
      <w:sz w:val="2"/>
      <w:szCs w:val="24"/>
      <w:lang w:val="fr-FR" w:eastAsia="fr-FR"/>
    </w:rPr>
  </w:style>
  <w:style w:type="paragraph" w:customStyle="1" w:styleId="FooterText">
    <w:name w:val="Footer Text"/>
    <w:basedOn w:val="Normal"/>
    <w:rsid w:val="002A66B1"/>
  </w:style>
  <w:style w:type="character" w:customStyle="1" w:styleId="FootnoteTextChar">
    <w:name w:val="Footnote Text Char"/>
    <w:basedOn w:val="DefaultParagraphFont"/>
    <w:link w:val="FootnoteText"/>
    <w:rsid w:val="00D5323C"/>
    <w:rPr>
      <w:sz w:val="24"/>
      <w:lang w:val="fr-FR" w:eastAsia="fr-FR"/>
    </w:rPr>
  </w:style>
  <w:style w:type="character" w:customStyle="1" w:styleId="PointManualChar">
    <w:name w:val="Point Manual Char"/>
    <w:link w:val="PointManual"/>
    <w:rsid w:val="00D5323C"/>
    <w:rPr>
      <w:sz w:val="24"/>
      <w:szCs w:val="24"/>
      <w:lang w:val="fr-FR" w:eastAsia="fr-FR"/>
    </w:rPr>
  </w:style>
  <w:style w:type="character" w:customStyle="1" w:styleId="Text1Char">
    <w:name w:val="Text 1 Char"/>
    <w:link w:val="Text1"/>
    <w:rsid w:val="00D5323C"/>
    <w:rPr>
      <w:sz w:val="24"/>
      <w:szCs w:val="24"/>
      <w:lang w:val="fr-FR" w:eastAsia="fr-FR"/>
    </w:rPr>
  </w:style>
  <w:style w:type="character" w:customStyle="1" w:styleId="Text3Char">
    <w:name w:val="Text 3 Char"/>
    <w:link w:val="Text3"/>
    <w:locked/>
    <w:rsid w:val="00D5323C"/>
    <w:rPr>
      <w:sz w:val="24"/>
      <w:szCs w:val="24"/>
      <w:lang w:val="fr-FR" w:eastAsia="fr-FR"/>
    </w:rPr>
  </w:style>
  <w:style w:type="character" w:customStyle="1" w:styleId="PointManual1Char">
    <w:name w:val="Point Manual (1) Char"/>
    <w:link w:val="PointManual1"/>
    <w:locked/>
    <w:rsid w:val="00D5323C"/>
    <w:rPr>
      <w:sz w:val="24"/>
      <w:szCs w:val="24"/>
      <w:lang w:val="fr-FR" w:eastAsia="fr-FR"/>
    </w:rPr>
  </w:style>
  <w:style w:type="paragraph" w:customStyle="1" w:styleId="Personnequisigne">
    <w:name w:val="Personne qui signe"/>
    <w:basedOn w:val="Normal"/>
    <w:next w:val="Normal"/>
    <w:rsid w:val="0006277D"/>
    <w:pPr>
      <w:tabs>
        <w:tab w:val="left" w:pos="5669"/>
      </w:tabs>
      <w:spacing w:line="360" w:lineRule="auto"/>
    </w:pPr>
    <w:rPr>
      <w:i/>
    </w:rPr>
  </w:style>
  <w:style w:type="character" w:customStyle="1" w:styleId="Heading1Char">
    <w:name w:val="Heading 1 Char"/>
    <w:basedOn w:val="DefaultParagraphFont"/>
    <w:link w:val="Heading1"/>
    <w:uiPriority w:val="9"/>
    <w:rsid w:val="00A745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45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458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58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fr-FR" w:eastAsia="fr-FR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7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5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8181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PERDIGAO Carmo</dc:creator>
  <cp:lastModifiedBy>SPRANGERS Marie</cp:lastModifiedBy>
  <cp:revision>2</cp:revision>
  <cp:lastPrinted>2015-02-17T13:16:00Z</cp:lastPrinted>
  <dcterms:created xsi:type="dcterms:W3CDTF">2015-02-17T13:36:00Z</dcterms:created>
  <dcterms:modified xsi:type="dcterms:W3CDTF">2015-02-17T13:36:00Z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3.4.3, Build 20150129</vt:lpwstr>
  </property>
  <property fmtid="{D5CDD505-2E9C-101B-9397-08002B2CF9AE}" pid="4" name="Last edited using">
    <vt:lpwstr>DocuWrite 3.4.3, Build 20150129</vt:lpwstr>
  </property>
  <property fmtid="{D5CDD505-2E9C-101B-9397-08002B2CF9AE}" pid="5" name="SkipControlLengthPage">
    <vt:lpwstr/>
  </property>
</Properties>
</file>