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DD" w:rsidRPr="00BD6D88" w:rsidRDefault="002B1ABF" w:rsidP="00BD6D88">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b13a98-a5e4-4ee5-84bb-7149c7643bc9" style="width:568.5pt;height:336.6pt">
            <v:imagedata r:id="rId9" o:title=""/>
          </v:shape>
        </w:pict>
      </w:r>
      <w:bookmarkEnd w:id="0"/>
    </w:p>
    <w:p w:rsidR="009D3A90" w:rsidRDefault="00A66ADD" w:rsidP="009D3A90">
      <w:pPr>
        <w:pStyle w:val="HeadingIVX"/>
      </w:pPr>
      <w:r w:rsidRPr="00A66ADD">
        <w:t>INTRODUCTION</w:t>
      </w:r>
    </w:p>
    <w:p w:rsidR="009D3A90" w:rsidRDefault="009D3A90" w:rsidP="009D3A90">
      <w:pPr>
        <w:pStyle w:val="Point123"/>
      </w:pPr>
      <w:r w:rsidRPr="00FD75DE">
        <w:t xml:space="preserve">By letter of 13 December 2012, the Commission forwarded to the Council a proposal for a </w:t>
      </w:r>
      <w:r w:rsidRPr="00E872B3">
        <w:t xml:space="preserve">Regulation of the European Parliament and of the Council amending Council Regulation (EC) No 1346/2000 on insolvency proceedings (the "proposed </w:t>
      </w:r>
      <w:r w:rsidR="009D6076">
        <w:t xml:space="preserve">Insolvency </w:t>
      </w:r>
      <w:r w:rsidRPr="00E872B3">
        <w:t xml:space="preserve">Regulation"). The proposed </w:t>
      </w:r>
      <w:r w:rsidR="00926B9B">
        <w:t xml:space="preserve">Insolvency </w:t>
      </w:r>
      <w:r w:rsidRPr="00E872B3">
        <w:t xml:space="preserve">Regulation is aimed </w:t>
      </w:r>
      <w:r w:rsidRPr="009D3A90">
        <w:rPr>
          <w:lang w:val="en-US"/>
        </w:rPr>
        <w:t>at modifying</w:t>
      </w:r>
      <w:r>
        <w:t xml:space="preserve"> </w:t>
      </w:r>
      <w:r w:rsidRPr="00E872B3">
        <w:t>Council Regulation (EC) No 1346/2000 on insolvency proceedings (the "current Insolvency Regulation</w:t>
      </w:r>
      <w:r w:rsidRPr="00FD75DE">
        <w:t>").</w:t>
      </w:r>
    </w:p>
    <w:p w:rsidR="009D3A90" w:rsidRDefault="009D3A90" w:rsidP="009D3A90">
      <w:pPr>
        <w:pStyle w:val="Point123"/>
      </w:pPr>
      <w:r w:rsidRPr="009D3A90">
        <w:t xml:space="preserve">The European Economic and Social Committee adopted its opinion on the proposed </w:t>
      </w:r>
      <w:r w:rsidR="009D6076">
        <w:t xml:space="preserve">Insolvency </w:t>
      </w:r>
      <w:r w:rsidRPr="009D3A90">
        <w:t xml:space="preserve">Regulation on 22 May 2013. </w:t>
      </w:r>
    </w:p>
    <w:p w:rsidR="002E4BF3" w:rsidRDefault="002E4BF3" w:rsidP="002E4BF3">
      <w:pPr>
        <w:pStyle w:val="Point123"/>
      </w:pPr>
      <w:r w:rsidRPr="00FD75DE">
        <w:t>On 5 February 2014, during its plenary session, the European Parliament adopted its position at first reading on the proposed Regulation and the accompanying legislative resolution</w:t>
      </w:r>
      <w:r w:rsidRPr="00FD75DE">
        <w:rPr>
          <w:rStyle w:val="FootnoteReference"/>
        </w:rPr>
        <w:footnoteReference w:id="1"/>
      </w:r>
      <w:r w:rsidRPr="00FD75DE">
        <w:t>.</w:t>
      </w:r>
    </w:p>
    <w:p w:rsidR="00B77F57" w:rsidRDefault="00B77F57" w:rsidP="00B77F57">
      <w:pPr>
        <w:pStyle w:val="Point123"/>
        <w:numPr>
          <w:ilvl w:val="0"/>
          <w:numId w:val="0"/>
        </w:numPr>
        <w:ind w:left="567"/>
      </w:pPr>
      <w:r>
        <w:br w:type="page"/>
      </w:r>
    </w:p>
    <w:p w:rsidR="009D3A90" w:rsidRDefault="009D3A90" w:rsidP="009D3A90">
      <w:pPr>
        <w:pStyle w:val="Point123"/>
      </w:pPr>
      <w:r w:rsidRPr="009D3A90">
        <w:t>On 5 and 6 June 2014, the Council (Justice and Home Affairs) reached an agreement (the "general approach")</w:t>
      </w:r>
      <w:r w:rsidRPr="00FD75DE">
        <w:rPr>
          <w:rStyle w:val="FootnoteReference"/>
        </w:rPr>
        <w:footnoteReference w:id="2"/>
      </w:r>
      <w:r w:rsidRPr="009D3A90">
        <w:t xml:space="preserve"> on the normative part of the proposed </w:t>
      </w:r>
      <w:r w:rsidR="009D6076">
        <w:t xml:space="preserve">Insolvency </w:t>
      </w:r>
      <w:r w:rsidRPr="009D3A90">
        <w:t>Regulation and called for work on the remaining recit</w:t>
      </w:r>
      <w:r w:rsidR="00FC6FE7">
        <w:t>als and a</w:t>
      </w:r>
      <w:r w:rsidRPr="009D3A90">
        <w:t xml:space="preserve">nnexes to be finalised at technical level as soon as possible. </w:t>
      </w:r>
    </w:p>
    <w:p w:rsidR="009D3A90" w:rsidRPr="009D3A90" w:rsidRDefault="009D3A90" w:rsidP="009D3A90">
      <w:pPr>
        <w:pStyle w:val="Point123"/>
      </w:pPr>
      <w:r w:rsidRPr="009D3A90">
        <w:rPr>
          <w:bCs/>
          <w:iCs/>
        </w:rPr>
        <w:t>On 9 and 10 October 2014, the Council finalised the general approach, reaching agreement on the recitals and annexes</w:t>
      </w:r>
      <w:r w:rsidRPr="001348B0">
        <w:rPr>
          <w:rStyle w:val="FootnoteReference"/>
          <w:bCs/>
          <w:iCs/>
        </w:rPr>
        <w:footnoteReference w:id="3"/>
      </w:r>
      <w:r w:rsidRPr="009D3A90">
        <w:rPr>
          <w:bCs/>
          <w:iCs/>
        </w:rPr>
        <w:t xml:space="preserve">. </w:t>
      </w:r>
    </w:p>
    <w:p w:rsidR="009D3A90" w:rsidRDefault="009D3A90" w:rsidP="00FC6FE7">
      <w:pPr>
        <w:pStyle w:val="Point123"/>
      </w:pPr>
      <w:r w:rsidRPr="009D3A90">
        <w:t xml:space="preserve">On 10 November 2014, an agreement was </w:t>
      </w:r>
      <w:r w:rsidR="00FC6FE7">
        <w:t xml:space="preserve">reached </w:t>
      </w:r>
      <w:r w:rsidRPr="009D3A90">
        <w:t>with the European Parliament on a compromise package. It was also agreed that the proposed Insolvency Regulation should be adopted as a recast of the current Insolvency Regulation.</w:t>
      </w:r>
    </w:p>
    <w:p w:rsidR="00926B9B" w:rsidRDefault="009D3A90" w:rsidP="00FC6FE7">
      <w:pPr>
        <w:pStyle w:val="Point123"/>
      </w:pPr>
      <w:r w:rsidRPr="009D3A90">
        <w:t>On 2 December 2014, the compromise package was endorsed by the European Parliament's Committee on Legal Affairs. On the same date, the Chair of the said Committee addressed a letter to the Chair of COREPER II to inform him that, should the Council tra</w:t>
      </w:r>
      <w:r w:rsidR="009D6076">
        <w:t>nsmit formally to the European P</w:t>
      </w:r>
      <w:r w:rsidRPr="009D3A90">
        <w:t xml:space="preserve">arliament its position in the form presented in the Annex to that letter, he would recommend to the Plenary that the Council's position be accepted without amendment, subject to legal-linguistic verification, at </w:t>
      </w:r>
      <w:r w:rsidR="003A49E9">
        <w:t xml:space="preserve">the European </w:t>
      </w:r>
      <w:r w:rsidRPr="009D3A90">
        <w:t xml:space="preserve">Parliament's second reading. </w:t>
      </w:r>
    </w:p>
    <w:p w:rsidR="005435C8" w:rsidRDefault="00FC6FE7" w:rsidP="005410B9">
      <w:pPr>
        <w:pStyle w:val="Point123"/>
      </w:pPr>
      <w:r>
        <w:t xml:space="preserve">On 4 and </w:t>
      </w:r>
      <w:r w:rsidR="009D3A90" w:rsidRPr="009D3A90">
        <w:t>5 December 2014, the Council (Justice and Home Affairs) adopted a political agreement on the compromise package</w:t>
      </w:r>
      <w:r w:rsidR="009D3A90">
        <w:rPr>
          <w:rStyle w:val="FootnoteReference"/>
        </w:rPr>
        <w:footnoteReference w:id="4"/>
      </w:r>
      <w:r w:rsidR="009D3A90" w:rsidRPr="009D3A90">
        <w:t xml:space="preserve"> and instructed the Council's legal-linguistic experts to proceed with the revision of the text.</w:t>
      </w:r>
    </w:p>
    <w:p w:rsidR="009D3A90" w:rsidRDefault="009D3A90" w:rsidP="00025A5D">
      <w:pPr>
        <w:pStyle w:val="Point123"/>
      </w:pPr>
      <w:r w:rsidRPr="009D3A90">
        <w:t xml:space="preserve">Taking into account the </w:t>
      </w:r>
      <w:r w:rsidR="003A49E9">
        <w:t xml:space="preserve">political agreement referred to above </w:t>
      </w:r>
      <w:r w:rsidRPr="009D3A90">
        <w:t xml:space="preserve">and after legal-linguistic revision, the Council adopted its position at first reading </w:t>
      </w:r>
      <w:r w:rsidR="00FC6FE7">
        <w:t xml:space="preserve">on 12 and </w:t>
      </w:r>
      <w:r w:rsidRPr="009D6076">
        <w:t xml:space="preserve">13 </w:t>
      </w:r>
      <w:r w:rsidR="005474A7" w:rsidRPr="009D6076">
        <w:t xml:space="preserve">March </w:t>
      </w:r>
      <w:r w:rsidRPr="009D6076">
        <w:t>2015,</w:t>
      </w:r>
      <w:r w:rsidRPr="009D3A90">
        <w:t xml:space="preserve"> in accordance with the ordinary legislative procedure laid down in Article 294 of the Treaty on the Func</w:t>
      </w:r>
      <w:r w:rsidR="00B77F57">
        <w:t>tioning of the European Union.</w:t>
      </w:r>
    </w:p>
    <w:p w:rsidR="00B77F57" w:rsidRDefault="00B77F57" w:rsidP="00B77F57">
      <w:pPr>
        <w:pStyle w:val="Point123"/>
        <w:numPr>
          <w:ilvl w:val="0"/>
          <w:numId w:val="0"/>
        </w:numPr>
        <w:ind w:left="567"/>
      </w:pPr>
      <w:r>
        <w:br w:type="page"/>
      </w:r>
    </w:p>
    <w:p w:rsidR="00A66ADD" w:rsidRDefault="00A66ADD" w:rsidP="00A66ADD">
      <w:pPr>
        <w:pStyle w:val="HeadingIVX"/>
      </w:pPr>
      <w:r w:rsidRPr="00A66ADD">
        <w:t>OBJECTIVE</w:t>
      </w:r>
    </w:p>
    <w:p w:rsidR="005474A7" w:rsidRDefault="00D21474" w:rsidP="005474A7">
      <w:pPr>
        <w:pStyle w:val="Point123"/>
      </w:pPr>
      <w:r w:rsidRPr="000C1F69">
        <w:t>The</w:t>
      </w:r>
      <w:r>
        <w:t xml:space="preserve"> proposed </w:t>
      </w:r>
      <w:r w:rsidR="00025A5D">
        <w:t xml:space="preserve">Insolvency </w:t>
      </w:r>
      <w:r w:rsidRPr="00FD75DE">
        <w:t xml:space="preserve">Regulation is aimed at making cross-border insolvency proceedings more </w:t>
      </w:r>
      <w:r w:rsidRPr="00E872B3">
        <w:t>effective</w:t>
      </w:r>
      <w:r w:rsidRPr="00FD75DE">
        <w:t xml:space="preserve"> with </w:t>
      </w:r>
      <w:r w:rsidRPr="00FD75DE">
        <w:rPr>
          <w:lang w:eastAsia="en-GB"/>
        </w:rPr>
        <w:t>a view to ensuring the</w:t>
      </w:r>
      <w:r w:rsidRPr="00FD75DE">
        <w:t xml:space="preserve"> </w:t>
      </w:r>
      <w:r w:rsidRPr="00FD75DE">
        <w:rPr>
          <w:lang w:eastAsia="en-GB"/>
        </w:rPr>
        <w:t>smooth functioning of the internal market and its resilience in economic crises.</w:t>
      </w:r>
      <w:r w:rsidRPr="00FD75DE">
        <w:t xml:space="preserve"> </w:t>
      </w:r>
      <w:r w:rsidRPr="00FD75DE">
        <w:rPr>
          <w:lang w:eastAsia="en-GB"/>
        </w:rPr>
        <w:t>This objective</w:t>
      </w:r>
      <w:r w:rsidRPr="00FD75DE">
        <w:t xml:space="preserve"> </w:t>
      </w:r>
      <w:r w:rsidRPr="00FD75DE">
        <w:rPr>
          <w:lang w:eastAsia="en-GB"/>
        </w:rPr>
        <w:t>is in line with the European Union's current political priorities to promote economic recovery and</w:t>
      </w:r>
      <w:r w:rsidRPr="00FD75DE">
        <w:t xml:space="preserve"> </w:t>
      </w:r>
      <w:r w:rsidRPr="00FD75DE">
        <w:rPr>
          <w:lang w:eastAsia="en-GB"/>
        </w:rPr>
        <w:t xml:space="preserve">sustainable growth, a higher investment rate and the preservation of employment, as set out </w:t>
      </w:r>
      <w:r>
        <w:rPr>
          <w:lang w:eastAsia="en-GB"/>
        </w:rPr>
        <w:t>in</w:t>
      </w:r>
      <w:r w:rsidRPr="00FD75DE">
        <w:rPr>
          <w:lang w:eastAsia="en-GB"/>
        </w:rPr>
        <w:t xml:space="preserve"> the Europe 2020 strategy, and to safeguard the development and the survival of businesses, as stated in the Small </w:t>
      </w:r>
      <w:r w:rsidR="005474A7">
        <w:t>Business Act.</w:t>
      </w:r>
    </w:p>
    <w:p w:rsidR="005474A7" w:rsidRPr="005474A7" w:rsidRDefault="005474A7" w:rsidP="005474A7">
      <w:pPr>
        <w:pStyle w:val="Point123"/>
      </w:pPr>
      <w:r>
        <w:t xml:space="preserve">The proposed </w:t>
      </w:r>
      <w:r w:rsidR="00025A5D">
        <w:t xml:space="preserve">Insolvency </w:t>
      </w:r>
      <w:r>
        <w:t>Regulation also brings the</w:t>
      </w:r>
      <w:r w:rsidRPr="005474A7">
        <w:t xml:space="preserve"> current Insolvency Regulation in</w:t>
      </w:r>
      <w:r w:rsidR="00FC6FE7">
        <w:t xml:space="preserve">to </w:t>
      </w:r>
      <w:r w:rsidRPr="005474A7">
        <w:t>line with developments in national insolvency laws introduced since its entry into force in 2002.</w:t>
      </w:r>
      <w:r w:rsidRPr="005474A7">
        <w:rPr>
          <w:b/>
          <w:color w:val="000000"/>
        </w:rPr>
        <w:t xml:space="preserve"> </w:t>
      </w:r>
    </w:p>
    <w:p w:rsidR="00A66ADD" w:rsidRDefault="00D21474" w:rsidP="009D3A90">
      <w:pPr>
        <w:pStyle w:val="Point123"/>
      </w:pPr>
      <w:r w:rsidRPr="00FD75DE">
        <w:t xml:space="preserve">As part of the overall Justice for Growth Programme, the proposed </w:t>
      </w:r>
      <w:r w:rsidR="00025A5D">
        <w:t xml:space="preserve">Insolvency </w:t>
      </w:r>
      <w:r w:rsidRPr="00FD75DE">
        <w:t>Regulation is an important element of the broad European Union response to the significant economic difficulties being experienced by many companies and citizens throughout the Union.</w:t>
      </w:r>
    </w:p>
    <w:p w:rsidR="00A66ADD" w:rsidRDefault="00A66ADD" w:rsidP="002F6879">
      <w:pPr>
        <w:pStyle w:val="HeadingIVX"/>
      </w:pPr>
      <w:r w:rsidRPr="00A66ADD">
        <w:t>ANALYSIS OF THE COUNCIL'S POSITION AT FIRST READING</w:t>
      </w:r>
    </w:p>
    <w:p w:rsidR="002F6879" w:rsidRPr="002F6879" w:rsidRDefault="002F6879" w:rsidP="002F6879">
      <w:pPr>
        <w:pStyle w:val="HeadingABC"/>
      </w:pPr>
      <w:r>
        <w:t xml:space="preserve">Procedural Context </w:t>
      </w:r>
    </w:p>
    <w:p w:rsidR="005435C8" w:rsidRDefault="002F6879" w:rsidP="005410B9">
      <w:pPr>
        <w:pStyle w:val="Point123"/>
      </w:pPr>
      <w:r>
        <w:t xml:space="preserve">The European Parliament and the Council conducted negotiations with a view to concluding an agreement at the stage of the Council's position at first reading ("early second-reading agreement"). The text of the Council's position at first reading reflects the compromise </w:t>
      </w:r>
      <w:r w:rsidR="005435C8">
        <w:t>package agreed</w:t>
      </w:r>
      <w:r>
        <w:t xml:space="preserve"> between the two co-legislators, with the support of the Commission. </w:t>
      </w:r>
    </w:p>
    <w:p w:rsidR="00B77F57" w:rsidRDefault="00B77F57" w:rsidP="00B77F57">
      <w:pPr>
        <w:pStyle w:val="Point123"/>
        <w:numPr>
          <w:ilvl w:val="0"/>
          <w:numId w:val="0"/>
        </w:numPr>
        <w:ind w:left="567"/>
      </w:pPr>
      <w:r>
        <w:br w:type="page"/>
      </w:r>
    </w:p>
    <w:p w:rsidR="002F6879" w:rsidRDefault="002F6879" w:rsidP="002F6879">
      <w:pPr>
        <w:pStyle w:val="HeadingABC"/>
      </w:pPr>
      <w:r>
        <w:t xml:space="preserve">SUMMARY of the Main Issues </w:t>
      </w:r>
    </w:p>
    <w:p w:rsidR="002F6879" w:rsidRDefault="00905902" w:rsidP="003D360A">
      <w:pPr>
        <w:pStyle w:val="Heading123"/>
      </w:pPr>
      <w:r>
        <w:t>Scope of the proposed Regulation</w:t>
      </w:r>
      <w:r w:rsidR="003D360A">
        <w:t xml:space="preserve"> </w:t>
      </w:r>
    </w:p>
    <w:p w:rsidR="000E1172" w:rsidRDefault="000E1172" w:rsidP="00D05CCC">
      <w:pPr>
        <w:pStyle w:val="Point123"/>
      </w:pPr>
      <w:r w:rsidRPr="000E1172">
        <w:t xml:space="preserve">One of the key objectives of the proposed </w:t>
      </w:r>
      <w:r w:rsidR="00926B9B">
        <w:t xml:space="preserve">Insolvency </w:t>
      </w:r>
      <w:r w:rsidRPr="000E1172">
        <w:t>Regulation is to move away from a traditional liquidation appr</w:t>
      </w:r>
      <w:r w:rsidR="00FC6FE7">
        <w:t>oach to insolvency to a "second-</w:t>
      </w:r>
      <w:r w:rsidRPr="000E1172">
        <w:t>chance approach" for businesses and entrepreneurs in financial difficulties when cross-border insolvency proceedings are involved.</w:t>
      </w:r>
    </w:p>
    <w:p w:rsidR="00926B9B" w:rsidRDefault="00FC6FE7" w:rsidP="00926B9B">
      <w:pPr>
        <w:pStyle w:val="Point123"/>
      </w:pPr>
      <w:r>
        <w:t>T</w:t>
      </w:r>
      <w:r w:rsidR="00905902">
        <w:t>he</w:t>
      </w:r>
      <w:r w:rsidR="00905902" w:rsidRPr="00231A4F">
        <w:t xml:space="preserve"> scope</w:t>
      </w:r>
      <w:r w:rsidR="00025A5D">
        <w:t xml:space="preserve"> of the proposed Insolvency Regulation</w:t>
      </w:r>
      <w:r>
        <w:t>, set out in Article 1(1),</w:t>
      </w:r>
      <w:r w:rsidR="00025A5D">
        <w:t xml:space="preserve"> </w:t>
      </w:r>
      <w:r w:rsidR="00905902" w:rsidRPr="00231A4F">
        <w:t xml:space="preserve"> is</w:t>
      </w:r>
      <w:r w:rsidR="00926B9B">
        <w:t xml:space="preserve"> therefore</w:t>
      </w:r>
      <w:r w:rsidR="00905902" w:rsidRPr="00231A4F">
        <w:t xml:space="preserve"> broader than the scope of th</w:t>
      </w:r>
      <w:r>
        <w:t>e current Insolvency Regulation</w:t>
      </w:r>
      <w:r w:rsidR="00025A5D">
        <w:t xml:space="preserve"> </w:t>
      </w:r>
      <w:r w:rsidR="00926B9B">
        <w:t xml:space="preserve">and extends to hybrid and pre-insolvency proceedings, as well as to proceedings providing for a debt discharge or a debt adjustment for consumers and self-employed persons. </w:t>
      </w:r>
    </w:p>
    <w:p w:rsidR="000E1172" w:rsidRDefault="00905902" w:rsidP="000E1172">
      <w:pPr>
        <w:pStyle w:val="Heading123"/>
      </w:pPr>
      <w:r>
        <w:t>JURISDICTION</w:t>
      </w:r>
      <w:r w:rsidR="000E1172">
        <w:t xml:space="preserve"> for opening insolvency proceedings </w:t>
      </w:r>
    </w:p>
    <w:p w:rsidR="00146CD7" w:rsidRDefault="00D05CCC" w:rsidP="00025A5D">
      <w:pPr>
        <w:pStyle w:val="Point123"/>
      </w:pPr>
      <w:r>
        <w:t xml:space="preserve">The proposed </w:t>
      </w:r>
      <w:r w:rsidR="00926B9B">
        <w:t xml:space="preserve">Insolvency </w:t>
      </w:r>
      <w:r>
        <w:t>Regulation improves the procedural framework for determining jurisdiction</w:t>
      </w:r>
      <w:r w:rsidR="00926B9B">
        <w:t xml:space="preserve"> for opening insolvency proceedings</w:t>
      </w:r>
      <w:r>
        <w:t>. The concept of</w:t>
      </w:r>
      <w:r w:rsidR="00146CD7">
        <w:t xml:space="preserve"> </w:t>
      </w:r>
      <w:r>
        <w:t>centre of main interest</w:t>
      </w:r>
      <w:r w:rsidR="00146CD7">
        <w:t xml:space="preserve"> ("COMI")</w:t>
      </w:r>
      <w:r>
        <w:t xml:space="preserve"> </w:t>
      </w:r>
      <w:r w:rsidR="00926B9B">
        <w:t>and that of "establishment" are</w:t>
      </w:r>
      <w:r>
        <w:t xml:space="preserve"> further clarified to provide useful guidance to all those concerned and increase legal certainty. </w:t>
      </w:r>
    </w:p>
    <w:p w:rsidR="00926B9B" w:rsidRDefault="00926B9B" w:rsidP="00FC6FE7">
      <w:pPr>
        <w:pStyle w:val="Point123"/>
      </w:pPr>
      <w:r>
        <w:t>Before opening insolvency proceedings, courts must actively examine whether the debtor's COMI is actually located w</w:t>
      </w:r>
      <w:r w:rsidR="00FC6FE7">
        <w:t>ithin their</w:t>
      </w:r>
      <w:r>
        <w:t xml:space="preserve"> jurisdiction. As regards the</w:t>
      </w:r>
      <w:r w:rsidR="00FC6FE7">
        <w:t xml:space="preserve"> determination of the COMI</w:t>
      </w:r>
      <w:r>
        <w:t xml:space="preserve">,  special consideration should be given to creditors and to their perception as to where the debtor conducts the administration of his business. </w:t>
      </w:r>
      <w:r w:rsidR="00FC6FE7">
        <w:t>I</w:t>
      </w:r>
      <w:r>
        <w:t xml:space="preserve">n the event of a shift in COMI, </w:t>
      </w:r>
      <w:r w:rsidR="00FC6FE7">
        <w:t xml:space="preserve">this may in due course require </w:t>
      </w:r>
      <w:r>
        <w:t xml:space="preserve">informing creditors of the new location from which the debtor is carrying out his activities in due course.  </w:t>
      </w:r>
    </w:p>
    <w:p w:rsidR="00B77F57" w:rsidRDefault="00B77F57" w:rsidP="00B77F57">
      <w:pPr>
        <w:pStyle w:val="Point123"/>
        <w:numPr>
          <w:ilvl w:val="0"/>
          <w:numId w:val="0"/>
        </w:numPr>
        <w:ind w:left="567"/>
      </w:pPr>
      <w:r>
        <w:br w:type="page"/>
      </w:r>
    </w:p>
    <w:p w:rsidR="00025A5D" w:rsidRDefault="00D05CCC" w:rsidP="00025A5D">
      <w:pPr>
        <w:pStyle w:val="Point123"/>
      </w:pPr>
      <w:r>
        <w:t>Moreover, the new rules contain a set of safeguards aimed at preventing abusive forum shopping.</w:t>
      </w:r>
      <w:r w:rsidR="00146CD7">
        <w:t xml:space="preserve"> Presumptions as to COMI are rebuttable and do not apply if the registered office/principal place of business/habitual residence is moved in the relevant period before the request to open insolvency proceedings. </w:t>
      </w:r>
    </w:p>
    <w:p w:rsidR="00FF6C61" w:rsidRDefault="00FF6C61" w:rsidP="00926B9B">
      <w:pPr>
        <w:pStyle w:val="Point123"/>
      </w:pPr>
      <w:r>
        <w:t xml:space="preserve">In all cases, where the circumstances give rise to doubts regarding the court's jurisdiction, the court should ask the debtor to supply additional evidence to support his assertions as to the location of </w:t>
      </w:r>
      <w:r w:rsidR="00926B9B">
        <w:t xml:space="preserve">the </w:t>
      </w:r>
      <w:r>
        <w:t>COMI and</w:t>
      </w:r>
      <w:r w:rsidR="00926B9B">
        <w:t>, where the law applicable to the insolvency proceedings so allows,</w:t>
      </w:r>
      <w:r>
        <w:t xml:space="preserve"> give creditors an opportunity to present their views</w:t>
      </w:r>
      <w:r w:rsidR="00926B9B">
        <w:t xml:space="preserve"> on the question of jurisdiction</w:t>
      </w:r>
      <w:r>
        <w:t xml:space="preserve">. </w:t>
      </w:r>
    </w:p>
    <w:p w:rsidR="00926B9B" w:rsidRDefault="00926B9B" w:rsidP="00926B9B">
      <w:pPr>
        <w:pStyle w:val="Heading123"/>
      </w:pPr>
      <w:r>
        <w:t xml:space="preserve">SECONDARY PROCEEDINGS </w:t>
      </w:r>
    </w:p>
    <w:p w:rsidR="00926B9B" w:rsidRDefault="008076A7" w:rsidP="008076A7">
      <w:pPr>
        <w:pStyle w:val="Point123"/>
      </w:pPr>
      <w:r>
        <w:t>In order not to hamper the efficient administration of the insolvency estate, t</w:t>
      </w:r>
      <w:r w:rsidR="00926B9B">
        <w:t xml:space="preserve">he proposed Insolvency Regulation sets out two specific situations in which a court seized with a request to open secondary proceedings should be able, at the request of the insolvency practitioner in main proceedings, to refuse or to postpone the opening of such proceedings. </w:t>
      </w:r>
    </w:p>
    <w:p w:rsidR="00926B9B" w:rsidRDefault="00926B9B" w:rsidP="00926B9B">
      <w:pPr>
        <w:pStyle w:val="Point123"/>
      </w:pPr>
      <w:r>
        <w:t>First</w:t>
      </w:r>
      <w:r w:rsidR="00FC6FE7">
        <w:t>ly</w:t>
      </w:r>
      <w:r>
        <w:t>, the proposed Regulation allows the insolvency practitioner in the main proceedings to propose an undertaking to local creditors according to which they will be treated, in the main proceedings, as if secondary proceedings had been opened. Wh</w:t>
      </w:r>
      <w:r w:rsidR="008076A7">
        <w:t xml:space="preserve">ere such an undertaking has been given, the court seized with a request to open secondary proceedings should be able to refuse the opening when it is satisfied that the undertaking adequately protects the general interests of local creditors. </w:t>
      </w:r>
    </w:p>
    <w:p w:rsidR="00926B9B" w:rsidRDefault="008076A7" w:rsidP="008076A7">
      <w:pPr>
        <w:pStyle w:val="Point123"/>
      </w:pPr>
      <w:r>
        <w:t>Second</w:t>
      </w:r>
      <w:r w:rsidR="00FC6FE7">
        <w:t>ly</w:t>
      </w:r>
      <w:r>
        <w:t xml:space="preserve">, the proposed Insolvency Regulation provides for the possibility that the court temporarily stays the opening of secondary proceedings when a temporary stay of individual enforcement is granted in the Member State where main proceedings have been opened. </w:t>
      </w:r>
    </w:p>
    <w:p w:rsidR="00926B9B" w:rsidRDefault="008076A7" w:rsidP="008076A7">
      <w:pPr>
        <w:pStyle w:val="Point123"/>
      </w:pPr>
      <w:r>
        <w:t>In addition, a</w:t>
      </w:r>
      <w:r w:rsidR="00926B9B">
        <w:t xml:space="preserve"> number of rules of cooperation and communication between the actors involved in the main and </w:t>
      </w:r>
      <w:r w:rsidR="005435C8">
        <w:t>in the secondary proceedings have been</w:t>
      </w:r>
      <w:r w:rsidR="00926B9B">
        <w:t xml:space="preserve"> added.</w:t>
      </w:r>
    </w:p>
    <w:p w:rsidR="00B77F57" w:rsidRDefault="00B77F57" w:rsidP="00B77F57">
      <w:pPr>
        <w:pStyle w:val="Point123"/>
        <w:numPr>
          <w:ilvl w:val="0"/>
          <w:numId w:val="0"/>
        </w:numPr>
        <w:ind w:left="567"/>
      </w:pPr>
      <w:r>
        <w:br w:type="page"/>
      </w:r>
    </w:p>
    <w:p w:rsidR="00905902" w:rsidRDefault="00905902" w:rsidP="00905902">
      <w:pPr>
        <w:pStyle w:val="Heading123"/>
      </w:pPr>
      <w:r>
        <w:t xml:space="preserve">Insolvency REGISTERS </w:t>
      </w:r>
    </w:p>
    <w:p w:rsidR="00A210D8" w:rsidRDefault="000E1172" w:rsidP="005410B9">
      <w:pPr>
        <w:pStyle w:val="Point123"/>
      </w:pPr>
      <w:r w:rsidRPr="00407F8F">
        <w:t xml:space="preserve">In order to improve the provision of relevant and timely information to creditors and courts involved and to prevent the opening of parallel insolvency proceedings, </w:t>
      </w:r>
      <w:r>
        <w:t>t</w:t>
      </w:r>
      <w:r w:rsidR="00A210D8" w:rsidRPr="00A210D8">
        <w:t xml:space="preserve">he proposed Insolvency Regulation </w:t>
      </w:r>
      <w:r w:rsidR="005410B9">
        <w:t xml:space="preserve">imposes on </w:t>
      </w:r>
      <w:r w:rsidR="00A210D8" w:rsidRPr="00A210D8">
        <w:t xml:space="preserve">Member States </w:t>
      </w:r>
      <w:r w:rsidR="005410B9">
        <w:t xml:space="preserve">an obligation </w:t>
      </w:r>
      <w:r w:rsidR="00A210D8" w:rsidRPr="00A210D8">
        <w:t>to establish insolvency registers that contain</w:t>
      </w:r>
      <w:r w:rsidR="005410B9">
        <w:t>, under the conditions set out in the Regulation,</w:t>
      </w:r>
      <w:r w:rsidR="00A210D8" w:rsidRPr="00A210D8">
        <w:t xml:space="preserve"> certain information on the debtor and the insolvency practitioner, as well as information relating to the insolvency proceedings. </w:t>
      </w:r>
    </w:p>
    <w:p w:rsidR="008076A7" w:rsidRDefault="00A210D8" w:rsidP="005410B9">
      <w:pPr>
        <w:pStyle w:val="Point123"/>
      </w:pPr>
      <w:r w:rsidRPr="00A210D8">
        <w:t>These national insolvency registers are to be interconnected and accessible vi</w:t>
      </w:r>
      <w:r>
        <w:t xml:space="preserve">a the European e-Justice portal, in full conformity with the European legislation on data protection. </w:t>
      </w:r>
      <w:r w:rsidRPr="00A210D8">
        <w:t xml:space="preserve"> </w:t>
      </w:r>
    </w:p>
    <w:p w:rsidR="00905902" w:rsidRDefault="00A210D8" w:rsidP="00905902">
      <w:pPr>
        <w:pStyle w:val="Heading123"/>
      </w:pPr>
      <w:r>
        <w:t xml:space="preserve">GROUP OF COMPANIES </w:t>
      </w:r>
    </w:p>
    <w:p w:rsidR="009D6076" w:rsidRDefault="009D6076" w:rsidP="00A210D8">
      <w:pPr>
        <w:pStyle w:val="Point123"/>
      </w:pPr>
      <w:r>
        <w:rPr>
          <w:lang w:val="en-US"/>
        </w:rPr>
        <w:t>T</w:t>
      </w:r>
      <w:r w:rsidRPr="009F7442">
        <w:rPr>
          <w:lang w:val="en-US"/>
        </w:rPr>
        <w:t xml:space="preserve">he </w:t>
      </w:r>
      <w:r w:rsidRPr="009F7442">
        <w:t xml:space="preserve">proposed Insolvency Regulation includes specific provisions on cooperation </w:t>
      </w:r>
      <w:r>
        <w:t xml:space="preserve">and communication </w:t>
      </w:r>
      <w:r w:rsidRPr="009F7442">
        <w:t xml:space="preserve">between the courts and </w:t>
      </w:r>
      <w:r>
        <w:t xml:space="preserve">the </w:t>
      </w:r>
      <w:r w:rsidRPr="009F7442">
        <w:t xml:space="preserve">insolvency practitioners involved in the insolvency of members of groups of companies. </w:t>
      </w:r>
    </w:p>
    <w:p w:rsidR="00926B9B" w:rsidRDefault="008076A7" w:rsidP="00926B9B">
      <w:pPr>
        <w:pStyle w:val="Point123"/>
      </w:pPr>
      <w:r>
        <w:t xml:space="preserve">The </w:t>
      </w:r>
      <w:r w:rsidR="001D2C6A">
        <w:t>provisions on cooperation and communication</w:t>
      </w:r>
      <w:r>
        <w:t xml:space="preserve"> referred to above are completed</w:t>
      </w:r>
      <w:r w:rsidR="001D2C6A">
        <w:t xml:space="preserve"> with a system for the coordination of the insolvency proceedings of members of a group of companies.  </w:t>
      </w:r>
    </w:p>
    <w:p w:rsidR="005474A7" w:rsidRDefault="00A66ADD" w:rsidP="005474A7">
      <w:pPr>
        <w:pStyle w:val="HeadingIVX"/>
      </w:pPr>
      <w:r w:rsidRPr="00A66ADD">
        <w:t>CONCLUSION</w:t>
      </w:r>
    </w:p>
    <w:p w:rsidR="005474A7" w:rsidRDefault="005474A7" w:rsidP="005435C8">
      <w:pPr>
        <w:pStyle w:val="Point123"/>
      </w:pPr>
      <w:r>
        <w:t xml:space="preserve">The Council's position at first reading reflects the compromise </w:t>
      </w:r>
      <w:r w:rsidR="005435C8">
        <w:t xml:space="preserve">package agreed </w:t>
      </w:r>
      <w:r>
        <w:t xml:space="preserve">between the Council and the European Parliament, with the support of the Commission. </w:t>
      </w:r>
    </w:p>
    <w:p w:rsidR="005474A7" w:rsidRDefault="005435C8" w:rsidP="00FC6FE7">
      <w:pPr>
        <w:pStyle w:val="Point123"/>
      </w:pPr>
      <w:r>
        <w:t xml:space="preserve">As indicated in paragraph </w:t>
      </w:r>
      <w:r w:rsidR="00FC6FE7">
        <w:t>6</w:t>
      </w:r>
      <w:r w:rsidR="005474A7">
        <w:t xml:space="preserve"> above, this compromise </w:t>
      </w:r>
      <w:r>
        <w:t xml:space="preserve">package </w:t>
      </w:r>
      <w:r w:rsidR="005474A7">
        <w:t xml:space="preserve">was confirmed by a letter from the Chair of the </w:t>
      </w:r>
      <w:r w:rsidR="005474A7" w:rsidRPr="009D3A90">
        <w:t>European Parliament's Committee on Legal Affairs</w:t>
      </w:r>
      <w:r w:rsidR="005474A7">
        <w:t xml:space="preserve"> addressed to the </w:t>
      </w:r>
      <w:r w:rsidR="005474A7" w:rsidRPr="009D3A90">
        <w:t>Chair of COREPER II</w:t>
      </w:r>
      <w:r w:rsidR="005474A7">
        <w:t xml:space="preserve"> on 2 December 2014. It was subsequently endorsed by the Council </w:t>
      </w:r>
      <w:r w:rsidR="00FC6FE7">
        <w:t xml:space="preserve">(Justice and Home Affairs) on 4 and </w:t>
      </w:r>
      <w:r w:rsidR="005474A7">
        <w:t>5 December 2014, through the ado</w:t>
      </w:r>
      <w:r w:rsidR="00B77F57">
        <w:t>ption of a political agreement.</w:t>
      </w:r>
    </w:p>
    <w:p w:rsidR="00B77F57" w:rsidRDefault="00B77F57" w:rsidP="00B77F57">
      <w:pPr>
        <w:pStyle w:val="Point123"/>
        <w:numPr>
          <w:ilvl w:val="0"/>
          <w:numId w:val="0"/>
        </w:numPr>
        <w:ind w:left="567"/>
      </w:pPr>
      <w:r>
        <w:br w:type="page"/>
      </w:r>
      <w:bookmarkStart w:id="2" w:name="ControlPages"/>
      <w:bookmarkEnd w:id="2"/>
    </w:p>
    <w:p w:rsidR="005474A7" w:rsidRDefault="005474A7" w:rsidP="003D360A">
      <w:pPr>
        <w:pStyle w:val="Point123"/>
      </w:pPr>
      <w:r>
        <w:t xml:space="preserve">The Council believes that its position at first reading represents a balanced package and that, once adopted, </w:t>
      </w:r>
      <w:r w:rsidR="003D360A">
        <w:t xml:space="preserve">the new Regulation will significantly contribute to </w:t>
      </w:r>
      <w:r w:rsidR="003D360A" w:rsidRPr="00890A1F">
        <w:t>making cross-border insolvency proceedings more efficient, benefiting debtors and creditors, bot</w:t>
      </w:r>
      <w:r w:rsidR="005435C8">
        <w:t>h corporate and natural persons,</w:t>
      </w:r>
      <w:r w:rsidR="003D360A" w:rsidRPr="00890A1F">
        <w:t xml:space="preserve"> throughout the European Union, </w:t>
      </w:r>
      <w:r w:rsidR="003D360A" w:rsidRPr="00890A1F">
        <w:rPr>
          <w:color w:val="000000"/>
        </w:rPr>
        <w:t>facilitating the survival of businesses and presenting a second chance for entrepreneurs.</w:t>
      </w:r>
    </w:p>
    <w:p w:rsidR="00FC4670" w:rsidRPr="00A66ADD" w:rsidRDefault="00FC4670" w:rsidP="00A66ADD">
      <w:pPr>
        <w:pStyle w:val="FinalLine"/>
      </w:pPr>
    </w:p>
    <w:sectPr w:rsidR="00FC4670" w:rsidRPr="00A66ADD" w:rsidSect="002B1ABF">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88F" w:rsidRDefault="00D0488F" w:rsidP="00A66ADD">
      <w:pPr>
        <w:spacing w:before="0" w:after="0" w:line="240" w:lineRule="auto"/>
      </w:pPr>
      <w:r>
        <w:separator/>
      </w:r>
    </w:p>
  </w:endnote>
  <w:endnote w:type="continuationSeparator" w:id="0">
    <w:p w:rsidR="00D0488F" w:rsidRDefault="00D0488F" w:rsidP="00A66A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BF" w:rsidRPr="002B1ABF" w:rsidRDefault="002B1ABF" w:rsidP="002B1A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B1ABF" w:rsidRPr="00D94637" w:rsidTr="002B1ABF">
      <w:trPr>
        <w:jc w:val="center"/>
      </w:trPr>
      <w:tc>
        <w:tcPr>
          <w:tcW w:w="5000" w:type="pct"/>
          <w:gridSpan w:val="7"/>
          <w:shd w:val="clear" w:color="auto" w:fill="auto"/>
          <w:tcMar>
            <w:top w:w="57" w:type="dxa"/>
          </w:tcMar>
        </w:tcPr>
        <w:p w:rsidR="002B1ABF" w:rsidRPr="00D94637" w:rsidRDefault="002B1ABF" w:rsidP="00D94637">
          <w:pPr>
            <w:pStyle w:val="FooterText"/>
            <w:pBdr>
              <w:top w:val="single" w:sz="4" w:space="1" w:color="auto"/>
            </w:pBdr>
            <w:spacing w:before="200"/>
            <w:rPr>
              <w:sz w:val="2"/>
              <w:szCs w:val="2"/>
            </w:rPr>
          </w:pPr>
          <w:bookmarkStart w:id="3" w:name="FOOTER_STANDARD"/>
        </w:p>
      </w:tc>
    </w:tr>
    <w:tr w:rsidR="002B1ABF" w:rsidRPr="00B310DC" w:rsidTr="002B1ABF">
      <w:trPr>
        <w:jc w:val="center"/>
      </w:trPr>
      <w:tc>
        <w:tcPr>
          <w:tcW w:w="2500" w:type="pct"/>
          <w:gridSpan w:val="2"/>
          <w:shd w:val="clear" w:color="auto" w:fill="auto"/>
          <w:tcMar>
            <w:top w:w="0" w:type="dxa"/>
          </w:tcMar>
        </w:tcPr>
        <w:p w:rsidR="002B1ABF" w:rsidRPr="00AD7BF2" w:rsidRDefault="002B1ABF" w:rsidP="004F54B2">
          <w:pPr>
            <w:pStyle w:val="FooterText"/>
          </w:pPr>
          <w:r>
            <w:t>16636/5/14</w:t>
          </w:r>
          <w:r w:rsidRPr="002511D8">
            <w:t xml:space="preserve"> </w:t>
          </w:r>
          <w:r>
            <w:t>REV 5 ADD 1</w:t>
          </w:r>
        </w:p>
      </w:tc>
      <w:tc>
        <w:tcPr>
          <w:tcW w:w="625" w:type="pct"/>
          <w:shd w:val="clear" w:color="auto" w:fill="auto"/>
          <w:tcMar>
            <w:top w:w="0" w:type="dxa"/>
          </w:tcMar>
        </w:tcPr>
        <w:p w:rsidR="002B1ABF" w:rsidRPr="00AD7BF2" w:rsidRDefault="002B1ABF" w:rsidP="00D94637">
          <w:pPr>
            <w:pStyle w:val="FooterText"/>
            <w:jc w:val="center"/>
          </w:pPr>
        </w:p>
      </w:tc>
      <w:tc>
        <w:tcPr>
          <w:tcW w:w="1287" w:type="pct"/>
          <w:gridSpan w:val="3"/>
          <w:shd w:val="clear" w:color="auto" w:fill="auto"/>
          <w:tcMar>
            <w:top w:w="0" w:type="dxa"/>
          </w:tcMar>
        </w:tcPr>
        <w:p w:rsidR="002B1ABF" w:rsidRPr="002511D8" w:rsidRDefault="002B1ABF" w:rsidP="00D94637">
          <w:pPr>
            <w:pStyle w:val="FooterText"/>
            <w:jc w:val="center"/>
          </w:pPr>
          <w:proofErr w:type="spellStart"/>
          <w:r>
            <w:t>psc</w:t>
          </w:r>
          <w:proofErr w:type="spellEnd"/>
        </w:p>
      </w:tc>
      <w:tc>
        <w:tcPr>
          <w:tcW w:w="588" w:type="pct"/>
          <w:shd w:val="clear" w:color="auto" w:fill="auto"/>
          <w:tcMar>
            <w:top w:w="0" w:type="dxa"/>
          </w:tcMar>
        </w:tcPr>
        <w:p w:rsidR="002B1ABF" w:rsidRPr="00B310DC" w:rsidRDefault="002B1ABF" w:rsidP="00D94637">
          <w:pPr>
            <w:pStyle w:val="FooterText"/>
            <w:jc w:val="right"/>
          </w:pPr>
          <w:r>
            <w:fldChar w:fldCharType="begin"/>
          </w:r>
          <w:r>
            <w:instrText xml:space="preserve"> PAGE  \* MERGEFORMAT </w:instrText>
          </w:r>
          <w:r>
            <w:fldChar w:fldCharType="separate"/>
          </w:r>
          <w:r>
            <w:rPr>
              <w:noProof/>
            </w:rPr>
            <w:t>7</w:t>
          </w:r>
          <w:r>
            <w:fldChar w:fldCharType="end"/>
          </w:r>
        </w:p>
      </w:tc>
    </w:tr>
    <w:tr w:rsidR="002B1ABF" w:rsidRPr="00D94637" w:rsidTr="002B1ABF">
      <w:trPr>
        <w:jc w:val="center"/>
      </w:trPr>
      <w:tc>
        <w:tcPr>
          <w:tcW w:w="1774" w:type="pct"/>
          <w:shd w:val="clear" w:color="auto" w:fill="auto"/>
        </w:tcPr>
        <w:p w:rsidR="002B1ABF" w:rsidRPr="00AD7BF2" w:rsidRDefault="002B1ABF" w:rsidP="00D94637">
          <w:pPr>
            <w:pStyle w:val="FooterText"/>
            <w:spacing w:before="40"/>
          </w:pPr>
        </w:p>
      </w:tc>
      <w:tc>
        <w:tcPr>
          <w:tcW w:w="1455" w:type="pct"/>
          <w:gridSpan w:val="3"/>
          <w:shd w:val="clear" w:color="auto" w:fill="auto"/>
        </w:tcPr>
        <w:p w:rsidR="002B1ABF" w:rsidRPr="00AD7BF2" w:rsidRDefault="002B1ABF" w:rsidP="00D204D6">
          <w:pPr>
            <w:pStyle w:val="FooterText"/>
            <w:spacing w:before="40"/>
            <w:jc w:val="center"/>
          </w:pPr>
          <w:r>
            <w:t>DPG</w:t>
          </w:r>
        </w:p>
      </w:tc>
      <w:tc>
        <w:tcPr>
          <w:tcW w:w="1147" w:type="pct"/>
          <w:shd w:val="clear" w:color="auto" w:fill="auto"/>
        </w:tcPr>
        <w:p w:rsidR="002B1ABF" w:rsidRPr="00D94637" w:rsidRDefault="002B1ABF" w:rsidP="00D94637">
          <w:pPr>
            <w:pStyle w:val="FooterText"/>
            <w:jc w:val="right"/>
            <w:rPr>
              <w:b/>
              <w:position w:val="-4"/>
              <w:sz w:val="36"/>
            </w:rPr>
          </w:pPr>
        </w:p>
      </w:tc>
      <w:tc>
        <w:tcPr>
          <w:tcW w:w="625" w:type="pct"/>
          <w:gridSpan w:val="2"/>
          <w:shd w:val="clear" w:color="auto" w:fill="auto"/>
        </w:tcPr>
        <w:p w:rsidR="002B1ABF" w:rsidRPr="00D94637" w:rsidRDefault="002B1ABF" w:rsidP="00D94637">
          <w:pPr>
            <w:pStyle w:val="FooterText"/>
            <w:jc w:val="right"/>
            <w:rPr>
              <w:sz w:val="16"/>
            </w:rPr>
          </w:pPr>
          <w:r>
            <w:rPr>
              <w:b/>
              <w:position w:val="-4"/>
              <w:sz w:val="36"/>
            </w:rPr>
            <w:t>EN</w:t>
          </w:r>
        </w:p>
      </w:tc>
    </w:tr>
    <w:bookmarkEnd w:id="3"/>
  </w:tbl>
  <w:p w:rsidR="0090573A" w:rsidRPr="002B1ABF" w:rsidRDefault="0090573A" w:rsidP="002B1AB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B1ABF" w:rsidRPr="00D94637" w:rsidTr="002B1ABF">
      <w:trPr>
        <w:jc w:val="center"/>
      </w:trPr>
      <w:tc>
        <w:tcPr>
          <w:tcW w:w="5000" w:type="pct"/>
          <w:gridSpan w:val="7"/>
          <w:shd w:val="clear" w:color="auto" w:fill="auto"/>
          <w:tcMar>
            <w:top w:w="57" w:type="dxa"/>
          </w:tcMar>
        </w:tcPr>
        <w:p w:rsidR="002B1ABF" w:rsidRPr="00D94637" w:rsidRDefault="002B1ABF" w:rsidP="00D94637">
          <w:pPr>
            <w:pStyle w:val="FooterText"/>
            <w:pBdr>
              <w:top w:val="single" w:sz="4" w:space="1" w:color="auto"/>
            </w:pBdr>
            <w:spacing w:before="200"/>
            <w:rPr>
              <w:sz w:val="2"/>
              <w:szCs w:val="2"/>
            </w:rPr>
          </w:pPr>
        </w:p>
      </w:tc>
    </w:tr>
    <w:tr w:rsidR="002B1ABF" w:rsidRPr="00B310DC" w:rsidTr="002B1ABF">
      <w:trPr>
        <w:jc w:val="center"/>
      </w:trPr>
      <w:tc>
        <w:tcPr>
          <w:tcW w:w="2500" w:type="pct"/>
          <w:gridSpan w:val="2"/>
          <w:shd w:val="clear" w:color="auto" w:fill="auto"/>
          <w:tcMar>
            <w:top w:w="0" w:type="dxa"/>
          </w:tcMar>
        </w:tcPr>
        <w:p w:rsidR="002B1ABF" w:rsidRPr="00AD7BF2" w:rsidRDefault="002B1ABF" w:rsidP="004F54B2">
          <w:pPr>
            <w:pStyle w:val="FooterText"/>
          </w:pPr>
          <w:r>
            <w:t>16636/5/14</w:t>
          </w:r>
          <w:r w:rsidRPr="002511D8">
            <w:t xml:space="preserve"> </w:t>
          </w:r>
          <w:r>
            <w:t>REV 5 ADD 1</w:t>
          </w:r>
        </w:p>
      </w:tc>
      <w:tc>
        <w:tcPr>
          <w:tcW w:w="625" w:type="pct"/>
          <w:shd w:val="clear" w:color="auto" w:fill="auto"/>
          <w:tcMar>
            <w:top w:w="0" w:type="dxa"/>
          </w:tcMar>
        </w:tcPr>
        <w:p w:rsidR="002B1ABF" w:rsidRPr="00AD7BF2" w:rsidRDefault="002B1ABF" w:rsidP="00D94637">
          <w:pPr>
            <w:pStyle w:val="FooterText"/>
            <w:jc w:val="center"/>
          </w:pPr>
        </w:p>
      </w:tc>
      <w:tc>
        <w:tcPr>
          <w:tcW w:w="1287" w:type="pct"/>
          <w:gridSpan w:val="3"/>
          <w:shd w:val="clear" w:color="auto" w:fill="auto"/>
          <w:tcMar>
            <w:top w:w="0" w:type="dxa"/>
          </w:tcMar>
        </w:tcPr>
        <w:p w:rsidR="002B1ABF" w:rsidRPr="002511D8" w:rsidRDefault="002B1ABF" w:rsidP="00D94637">
          <w:pPr>
            <w:pStyle w:val="FooterText"/>
            <w:jc w:val="center"/>
          </w:pPr>
          <w:proofErr w:type="spellStart"/>
          <w:r>
            <w:t>psc</w:t>
          </w:r>
          <w:proofErr w:type="spellEnd"/>
        </w:p>
      </w:tc>
      <w:tc>
        <w:tcPr>
          <w:tcW w:w="588" w:type="pct"/>
          <w:shd w:val="clear" w:color="auto" w:fill="auto"/>
          <w:tcMar>
            <w:top w:w="0" w:type="dxa"/>
          </w:tcMar>
        </w:tcPr>
        <w:p w:rsidR="002B1ABF" w:rsidRPr="00B310DC" w:rsidRDefault="002B1ABF"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2B1ABF" w:rsidRPr="00D94637" w:rsidTr="002B1ABF">
      <w:trPr>
        <w:jc w:val="center"/>
      </w:trPr>
      <w:tc>
        <w:tcPr>
          <w:tcW w:w="1774" w:type="pct"/>
          <w:shd w:val="clear" w:color="auto" w:fill="auto"/>
        </w:tcPr>
        <w:p w:rsidR="002B1ABF" w:rsidRPr="00AD7BF2" w:rsidRDefault="002B1ABF" w:rsidP="00D94637">
          <w:pPr>
            <w:pStyle w:val="FooterText"/>
            <w:spacing w:before="40"/>
          </w:pPr>
        </w:p>
      </w:tc>
      <w:tc>
        <w:tcPr>
          <w:tcW w:w="1455" w:type="pct"/>
          <w:gridSpan w:val="3"/>
          <w:shd w:val="clear" w:color="auto" w:fill="auto"/>
        </w:tcPr>
        <w:p w:rsidR="002B1ABF" w:rsidRPr="00AD7BF2" w:rsidRDefault="002B1ABF" w:rsidP="00D204D6">
          <w:pPr>
            <w:pStyle w:val="FooterText"/>
            <w:spacing w:before="40"/>
            <w:jc w:val="center"/>
          </w:pPr>
          <w:r>
            <w:t>DPG</w:t>
          </w:r>
        </w:p>
      </w:tc>
      <w:tc>
        <w:tcPr>
          <w:tcW w:w="1147" w:type="pct"/>
          <w:shd w:val="clear" w:color="auto" w:fill="auto"/>
        </w:tcPr>
        <w:p w:rsidR="002B1ABF" w:rsidRPr="00D94637" w:rsidRDefault="002B1ABF" w:rsidP="00D94637">
          <w:pPr>
            <w:pStyle w:val="FooterText"/>
            <w:jc w:val="right"/>
            <w:rPr>
              <w:b/>
              <w:position w:val="-4"/>
              <w:sz w:val="36"/>
            </w:rPr>
          </w:pPr>
        </w:p>
      </w:tc>
      <w:tc>
        <w:tcPr>
          <w:tcW w:w="625" w:type="pct"/>
          <w:gridSpan w:val="2"/>
          <w:shd w:val="clear" w:color="auto" w:fill="auto"/>
        </w:tcPr>
        <w:p w:rsidR="002B1ABF" w:rsidRPr="00D94637" w:rsidRDefault="002B1ABF" w:rsidP="00D94637">
          <w:pPr>
            <w:pStyle w:val="FooterText"/>
            <w:jc w:val="right"/>
            <w:rPr>
              <w:sz w:val="16"/>
            </w:rPr>
          </w:pPr>
          <w:r>
            <w:rPr>
              <w:b/>
              <w:position w:val="-4"/>
              <w:sz w:val="36"/>
            </w:rPr>
            <w:t>EN</w:t>
          </w:r>
        </w:p>
      </w:tc>
    </w:tr>
  </w:tbl>
  <w:p w:rsidR="0090573A" w:rsidRPr="002B1ABF" w:rsidRDefault="0090573A" w:rsidP="002B1AB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88F" w:rsidRDefault="00D0488F" w:rsidP="00A66ADD">
      <w:pPr>
        <w:spacing w:before="0" w:after="0" w:line="240" w:lineRule="auto"/>
      </w:pPr>
      <w:r>
        <w:separator/>
      </w:r>
    </w:p>
  </w:footnote>
  <w:footnote w:type="continuationSeparator" w:id="0">
    <w:p w:rsidR="00D0488F" w:rsidRDefault="00D0488F" w:rsidP="00A66ADD">
      <w:pPr>
        <w:spacing w:before="0" w:after="0" w:line="240" w:lineRule="auto"/>
      </w:pPr>
      <w:r>
        <w:continuationSeparator/>
      </w:r>
    </w:p>
  </w:footnote>
  <w:footnote w:id="1">
    <w:p w:rsidR="002E4BF3" w:rsidRPr="00B55801" w:rsidRDefault="002E4BF3" w:rsidP="002E4BF3">
      <w:pPr>
        <w:pStyle w:val="FootnoteText"/>
      </w:pPr>
      <w:r>
        <w:rPr>
          <w:rStyle w:val="FootnoteReference"/>
        </w:rPr>
        <w:footnoteRef/>
      </w:r>
      <w:r w:rsidRPr="00B55801">
        <w:tab/>
      </w:r>
      <w:r>
        <w:t>See</w:t>
      </w:r>
      <w:r w:rsidRPr="00A17754">
        <w:t xml:space="preserve"> 5910/14 CODEC 2041 JUSTCIV 19 PE 50</w:t>
      </w:r>
      <w:r>
        <w:t>.</w:t>
      </w:r>
    </w:p>
  </w:footnote>
  <w:footnote w:id="2">
    <w:p w:rsidR="009D3A90" w:rsidRPr="00DA0DF2" w:rsidRDefault="009D3A90" w:rsidP="00B77F57">
      <w:pPr>
        <w:pStyle w:val="FootnoteText"/>
        <w:tabs>
          <w:tab w:val="left" w:pos="709"/>
        </w:tabs>
        <w:ind w:left="426" w:hanging="426"/>
        <w:rPr>
          <w:lang w:val="en-US"/>
        </w:rPr>
      </w:pPr>
      <w:r w:rsidRPr="00DA0DF2">
        <w:rPr>
          <w:rStyle w:val="FootnoteReference"/>
        </w:rPr>
        <w:footnoteRef/>
      </w:r>
      <w:r w:rsidRPr="00DA0DF2">
        <w:t xml:space="preserve"> </w:t>
      </w:r>
      <w:r w:rsidR="00B77F57">
        <w:tab/>
      </w:r>
      <w:r w:rsidR="00B77F57">
        <w:tab/>
      </w:r>
      <w:r>
        <w:rPr>
          <w:lang w:val="en-US"/>
        </w:rPr>
        <w:t>Se</w:t>
      </w:r>
      <w:r w:rsidRPr="00DA0DF2">
        <w:rPr>
          <w:lang w:val="en-US"/>
        </w:rPr>
        <w:t xml:space="preserve">e </w:t>
      </w:r>
      <w:r w:rsidRPr="00DA0DF2">
        <w:rPr>
          <w:szCs w:val="24"/>
        </w:rPr>
        <w:t>10284/14 JUSTCIV 134 EJUSTICE 54 CODEC 1366 + ADD 1 + COR 1</w:t>
      </w:r>
      <w:r>
        <w:rPr>
          <w:szCs w:val="24"/>
        </w:rPr>
        <w:t>.</w:t>
      </w:r>
    </w:p>
  </w:footnote>
  <w:footnote w:id="3">
    <w:p w:rsidR="009D3A90" w:rsidRPr="00F14402" w:rsidRDefault="009D3A90" w:rsidP="009D3A90">
      <w:pPr>
        <w:pStyle w:val="FootnoteText"/>
      </w:pPr>
      <w:r>
        <w:rPr>
          <w:rStyle w:val="FootnoteReference"/>
        </w:rPr>
        <w:footnoteRef/>
      </w:r>
      <w:r w:rsidRPr="00F14402">
        <w:tab/>
      </w:r>
      <w:r w:rsidRPr="00B55801">
        <w:t>See 13276/14 JUSTCIV 224 EJUSTICE 80 CODEC 1835 + COR 1.</w:t>
      </w:r>
    </w:p>
  </w:footnote>
  <w:footnote w:id="4">
    <w:p w:rsidR="009D3A90" w:rsidRPr="001348B0" w:rsidRDefault="009D3A90" w:rsidP="009D3A90">
      <w:pPr>
        <w:pStyle w:val="FootnoteText"/>
      </w:pPr>
      <w:r>
        <w:rPr>
          <w:rStyle w:val="FootnoteReference"/>
        </w:rPr>
        <w:footnoteRef/>
      </w:r>
      <w:r>
        <w:t xml:space="preserve"> </w:t>
      </w:r>
      <w:r w:rsidRPr="001348B0">
        <w:tab/>
        <w:t xml:space="preserve">See </w:t>
      </w:r>
      <w:r>
        <w:rPr>
          <w:szCs w:val="24"/>
        </w:rPr>
        <w:t xml:space="preserve">15414/14 JUSTCIV 285 EJUSTICE 109 CODEC 2225 + ADD1+ COR1.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BF" w:rsidRPr="002B1ABF" w:rsidRDefault="002B1ABF" w:rsidP="002B1A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BF" w:rsidRPr="002B1ABF" w:rsidRDefault="002B1ABF" w:rsidP="002B1AB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BF" w:rsidRPr="002B1ABF" w:rsidRDefault="002B1ABF" w:rsidP="002B1AB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B2F097C"/>
    <w:multiLevelType w:val="multilevel"/>
    <w:tmpl w:val="44143F88"/>
    <w:styleLink w:val="WWNum22"/>
    <w:lvl w:ilvl="0">
      <w:start w:val="1"/>
      <w:numFmt w:val="decimal"/>
      <w:pStyle w:val="12"/>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2"/>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 w:numId="21">
    <w:abstractNumId w:val="21"/>
  </w:num>
  <w:num w:numId="22">
    <w:abstractNumId w:val="21"/>
    <w:lvlOverride w:ilvl="0">
      <w:lvl w:ilvl="0">
        <w:start w:val="1"/>
        <w:numFmt w:val="decimal"/>
        <w:pStyle w:val="12"/>
        <w:lvlText w:val="%1."/>
        <w:lvlJc w:val="left"/>
        <w:rPr>
          <w:rFonts w:cs="Times New Roman"/>
          <w:b w:val="0"/>
          <w:bCs w:val="0"/>
        </w:rPr>
      </w:lvl>
    </w:lvlOverride>
    <w:lvlOverride w:ilvl="1">
      <w:lvl w:ilvl="1">
        <w:start w:val="1"/>
        <w:numFmt w:val="decimal"/>
        <w:lvlText w:val="%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 w:ilvl="0">
        <w:start w:val="1"/>
        <w:numFmt w:val="decimal"/>
        <w:pStyle w:val="12"/>
        <w:lvlText w:val="%1."/>
        <w:lvlJc w:val="left"/>
        <w:rPr>
          <w:rFonts w:cs="Times New Roman"/>
          <w:b w:val="0"/>
          <w:bCs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bab13a98-a5e4-4ee5-84bb-7149c7643bc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STATEMENT OF THE COUNCIL'S REASONS&quot; /&gt;_x000d__x000a_    &lt;/basicdatatype&gt;_x000d__x000a_  &lt;/metadata&gt;_x000d__x000a_  &lt;metadata key=&quot;md_HeadingText&quot;&gt;_x000d__x000a_    &lt;headingtext text=&quot;STATEMENT OF THE COUNCIL'S REASONS&quot;&gt;_x000d__x000a_      &lt;formattedtext&gt;_x000d__x000a_        &lt;xaml text=&quot;STATEMENT OF THE COUNCIL'S REASONS&quot;&gt;&amp;lt;FlowDocument xmlns=&quot;http://schemas.microsoft.com/winfx/2006/xaml/presentation&quot;&amp;gt;&amp;lt;Paragraph&amp;gt;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17&lt;/text&gt;_x000d__x000a_  &lt;/metadata&gt;_x000d__x000a_  &lt;metadata key=&quot;md_Prefix&quot;&gt;_x000d__x000a_    &lt;text&gt;&lt;/text&gt;_x000d__x000a_  &lt;/metadata&gt;_x000d__x000a_  &lt;metadata key=&quot;md_DocumentNumber&quot;&gt;_x000d__x000a_    &lt;text&gt;16636&lt;/text&gt;_x000d__x000a_  &lt;/metadata&gt;_x000d__x000a_  &lt;metadata key=&quot;md_YearDocumentNumber&quot;&gt;_x000d__x000a_    &lt;text&gt;2014&lt;/text&gt;_x000d__x000a_  &lt;/metadata&gt;_x000d__x000a_  &lt;metadata key=&quot;md_Suffixes&quot;&gt;_x000d__x000a_    &lt;text&gt;REV 5 ADD 1&lt;/text&gt;_x000d__x000a_  &lt;/metadata&gt;_x000d__x000a_  &lt;metadata key=&quot;md_SuffixLanguagesInvolved&quot;&gt;_x000d__x000a_    &lt;text&gt;&lt;/text&gt;_x000d__x000a_  &lt;/metadata&gt;_x000d__x000a_  &lt;metadata key=&quot;md_FirstRevNumber&quot;&gt;_x000d__x000a_    &lt;text&gt;5&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STCIV 319&lt;/text&gt;_x000d__x000a_      &lt;text&gt;EJUSTICE 123&lt;/text&gt;_x000d__x000a_      &lt;text&gt;CODEC 2464&lt;/text&gt;_x000d__x000a_      &lt;text&gt;PARLNAT 303&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2/036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of the Council at first reading with a view to the adoption of a REGULATION OF THE EUROPEAN PARLIAMENT AND OF THE COUNCIL on insolvency proceedings (recast) &amp;#8211; Statement of the Council's reasons &amp;#8211; Adopted by the Council on 12 March 2015&quot;&gt;&amp;lt;FlowDocument FontFamily=&quot;Times New Roman&quot; FontSize=&quot;16&quot; PageWidth=&quot;377&quot; PagePadding=&quot;0,0,0,0&quot; AllowDrop=&quot;False&quot; xmlns=&quot;http://schemas.microsoft.com/winfx/2006/xaml/presentation&quot;&amp;gt;&amp;lt;Paragraph&amp;gt;Position of the Council at first reading with a view to the adoption of a REGULATION OF THE EUROPEAN PARLIAMENT AND OF THE COUNCIL on insolvency proceedings (recast)&amp;lt;/Paragraph&amp;gt;&amp;lt;Paragraph&amp;gt;&amp;#8211; Statement of the Council's reasons&amp;lt;LineBreak /&amp;gt;&amp;#8211; Adopted by the Council on &amp;lt;Run xml:lang=&quot;fr-be&quot;&amp;gt;12 March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ps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4&quot; technicalblockguid=&quot;2f3ed0d6-60fe-4076-a205-80640318393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2-27&lt;/text&gt;_x000d__x000a_  &lt;/metadata&gt;_x000d__x000a_  &lt;metadata key=&quot;md_Prefix&quot;&gt;_x000d__x000a_    &lt;text&gt;&lt;/text&gt;_x000d__x000a_  &lt;/metadata&gt;_x000d__x000a_  &lt;metadata key=&quot;md_DocumentNumber&quot;&gt;_x000d__x000a_    &lt;text&gt;16636&lt;/text&gt;_x000d__x000a_  &lt;/metadata&gt;_x000d__x000a_  &lt;metadata key=&quot;md_YearDocumentNumber&quot;&gt;_x000d__x000a_    &lt;text&gt;2014&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STCIV 319&lt;/text&gt;_x000d__x000a_      &lt;text&gt;EJUSTICE 123&lt;/text&gt;_x000d__x000a_      &lt;text&gt;CODEC 246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2/036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on insolvency proceedings (recast) &amp;#8211; Draft Statement of the Council's reasons&quot;&gt;&amp;lt;FlowDocument FontFamily=&quot;Times New Roman&quot; FontSize=&quot;16&quot; PageWidth=&quot;377&quot; PagePadding=&quot;0,0,0,0&quot; AllowDrop=&quot;False&quot; xmlns=&quot;http://schemas.microsoft.com/winfx/2006/xaml/presentation&quot; xmlns:x=&quot;http://schemas.microsoft.com/winfx/2006/xaml&quot;&amp;gt;&amp;lt;Paragraph Margin=&quot;0,Auto,Auto,Auto&quot;&amp;gt;&amp;lt;Run xml:lang=&quot;fr-be&quot;&amp;gt;Position of the Council at first reading with a view to the adoption of a REGULATION OF THE EUROPEAN PARLIAMENT AND OF THE COUNCIL on insolvency proceedings (recast)&amp;lt;/Run&amp;gt;&amp;lt;/Paragraph&amp;gt;&amp;lt;Paragraph&amp;gt;&amp;#8211; &amp;lt;Run xml:lang=&quot;fr-be&quot; xml:space=&quot;preserve&quot;&amp;gt;Draft &amp;lt;/Run&amp;gt;Statement of the Council's reasons&amp;lt;/Paragraph&amp;gt;&amp;lt;/FlowDocument&amp;gt;&lt;/xaml&gt;_x000d__x000a_  &lt;/metadata&gt;_x000d__x000a_  &lt;metadata key=&quot;md_SubjectFootnote&quot; /&gt;_x000d__x000a_  &lt;metadata key=&quot;md_DG&quot;&gt;_x000d__x000a_    &lt;text&gt;DG D 2A&lt;/text&gt;_x000d__x000a_  &lt;/metadata&gt;_x000d__x000a_  &lt;metadata key=&quot;md_Initials&quot;&gt;_x000d__x000a_    &lt;text&gt;AVI/dd&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A66ADD"/>
    <w:rsid w:val="00025A5D"/>
    <w:rsid w:val="00096B04"/>
    <w:rsid w:val="000E1172"/>
    <w:rsid w:val="00130CD9"/>
    <w:rsid w:val="001348B0"/>
    <w:rsid w:val="00146CD7"/>
    <w:rsid w:val="00182F2F"/>
    <w:rsid w:val="001B24E2"/>
    <w:rsid w:val="001D2C6A"/>
    <w:rsid w:val="0029079D"/>
    <w:rsid w:val="002B1ABF"/>
    <w:rsid w:val="002E4BF3"/>
    <w:rsid w:val="002F6879"/>
    <w:rsid w:val="00356F5F"/>
    <w:rsid w:val="00377570"/>
    <w:rsid w:val="003A49E9"/>
    <w:rsid w:val="003D360A"/>
    <w:rsid w:val="00414945"/>
    <w:rsid w:val="004A5CE6"/>
    <w:rsid w:val="004D27B6"/>
    <w:rsid w:val="005410B9"/>
    <w:rsid w:val="005435C8"/>
    <w:rsid w:val="005474A7"/>
    <w:rsid w:val="00625999"/>
    <w:rsid w:val="006351BB"/>
    <w:rsid w:val="00665AB3"/>
    <w:rsid w:val="007161AD"/>
    <w:rsid w:val="00795A9C"/>
    <w:rsid w:val="008076A7"/>
    <w:rsid w:val="00901450"/>
    <w:rsid w:val="0090573A"/>
    <w:rsid w:val="00905902"/>
    <w:rsid w:val="00920DAF"/>
    <w:rsid w:val="00926B9B"/>
    <w:rsid w:val="009B07D1"/>
    <w:rsid w:val="009C01C0"/>
    <w:rsid w:val="009D3A90"/>
    <w:rsid w:val="009D6076"/>
    <w:rsid w:val="00A210D8"/>
    <w:rsid w:val="00A30641"/>
    <w:rsid w:val="00A31A38"/>
    <w:rsid w:val="00A436AC"/>
    <w:rsid w:val="00A66ADD"/>
    <w:rsid w:val="00A93207"/>
    <w:rsid w:val="00AF3113"/>
    <w:rsid w:val="00B54F86"/>
    <w:rsid w:val="00B77F57"/>
    <w:rsid w:val="00BD6D88"/>
    <w:rsid w:val="00BE6E3D"/>
    <w:rsid w:val="00CD2006"/>
    <w:rsid w:val="00CF3877"/>
    <w:rsid w:val="00D0488F"/>
    <w:rsid w:val="00D05CCC"/>
    <w:rsid w:val="00D13316"/>
    <w:rsid w:val="00D21474"/>
    <w:rsid w:val="00D92867"/>
    <w:rsid w:val="00E5767B"/>
    <w:rsid w:val="00E80814"/>
    <w:rsid w:val="00ED416E"/>
    <w:rsid w:val="00F4751C"/>
    <w:rsid w:val="00F657BC"/>
    <w:rsid w:val="00F67D01"/>
    <w:rsid w:val="00F86DEA"/>
    <w:rsid w:val="00FC4670"/>
    <w:rsid w:val="00FC6FE7"/>
    <w:rsid w:val="00FD65E7"/>
    <w:rsid w:val="00FE7A4A"/>
    <w:rsid w:val="00FF6C6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A66ADD"/>
    <w:pPr>
      <w:spacing w:before="0" w:after="440"/>
      <w:ind w:left="-1134" w:right="-1134"/>
    </w:pPr>
    <w:rPr>
      <w:sz w:val="2"/>
    </w:rPr>
  </w:style>
  <w:style w:type="character" w:customStyle="1" w:styleId="TechnicalBlockChar">
    <w:name w:val="Technical Block Char"/>
    <w:basedOn w:val="DefaultParagraphFont"/>
    <w:link w:val="TechnicalBlock"/>
    <w:rsid w:val="00A66ADD"/>
    <w:rPr>
      <w:sz w:val="24"/>
      <w:szCs w:val="24"/>
      <w:lang w:val="en-GB" w:eastAsia="en-US"/>
    </w:rPr>
  </w:style>
  <w:style w:type="character" w:customStyle="1" w:styleId="HeaderCouncilLargeChar">
    <w:name w:val="Header Council Large Char"/>
    <w:basedOn w:val="TechnicalBlockChar"/>
    <w:link w:val="HeaderCouncilLarge"/>
    <w:rsid w:val="00A66ADD"/>
    <w:rPr>
      <w:sz w:val="2"/>
      <w:szCs w:val="24"/>
      <w:lang w:val="en-GB" w:eastAsia="en-US"/>
    </w:rPr>
  </w:style>
  <w:style w:type="paragraph" w:customStyle="1" w:styleId="FooterText">
    <w:name w:val="Footer Text"/>
    <w:basedOn w:val="Normal"/>
    <w:rsid w:val="00A66ADD"/>
    <w:pPr>
      <w:spacing w:before="0" w:after="0" w:line="240" w:lineRule="auto"/>
    </w:pPr>
  </w:style>
  <w:style w:type="paragraph" w:customStyle="1" w:styleId="Standard">
    <w:name w:val="Standard"/>
    <w:rsid w:val="001348B0"/>
    <w:pPr>
      <w:widowControl w:val="0"/>
      <w:suppressAutoHyphens/>
      <w:autoSpaceDN w:val="0"/>
      <w:spacing w:line="360" w:lineRule="auto"/>
      <w:textAlignment w:val="baseline"/>
    </w:pPr>
    <w:rPr>
      <w:rFonts w:eastAsia="SimSun"/>
      <w:kern w:val="3"/>
      <w:sz w:val="24"/>
      <w:lang w:val="en-GB" w:eastAsia="zh-CN"/>
    </w:rPr>
  </w:style>
  <w:style w:type="character" w:customStyle="1" w:styleId="FootnoteTextChar">
    <w:name w:val="Footnote Text Char"/>
    <w:link w:val="FootnoteText"/>
    <w:rsid w:val="001348B0"/>
    <w:rPr>
      <w:sz w:val="24"/>
      <w:lang w:val="en-GB" w:eastAsia="en-US"/>
    </w:rPr>
  </w:style>
  <w:style w:type="numbering" w:customStyle="1" w:styleId="WWNum22">
    <w:name w:val="WWNum22"/>
    <w:rsid w:val="001348B0"/>
    <w:pPr>
      <w:numPr>
        <w:numId w:val="21"/>
      </w:numPr>
    </w:pPr>
  </w:style>
  <w:style w:type="paragraph" w:customStyle="1" w:styleId="12">
    <w:name w:val="12"/>
    <w:basedOn w:val="Standard"/>
    <w:rsid w:val="001348B0"/>
    <w:pPr>
      <w:widowControl/>
      <w:numPr>
        <w:numId w:val="21"/>
      </w:numPr>
      <w:spacing w:after="240"/>
      <w:ind w:left="567" w:hanging="567"/>
      <w:textAlignment w:val="auto"/>
    </w:pPr>
    <w:rPr>
      <w:bCs/>
      <w:iCs/>
      <w:sz w:val="28"/>
      <w:szCs w:val="28"/>
    </w:rPr>
  </w:style>
  <w:style w:type="paragraph" w:styleId="NormalIndent">
    <w:name w:val="Normal Indent"/>
    <w:basedOn w:val="Normal"/>
    <w:semiHidden/>
    <w:unhideWhenUsed/>
    <w:rsid w:val="001348B0"/>
    <w:pPr>
      <w:widowControl w:val="0"/>
      <w:spacing w:before="0" w:after="0"/>
      <w:ind w:left="567"/>
    </w:pPr>
    <w:rPr>
      <w:szCs w:val="20"/>
      <w:lang w:eastAsia="fr-BE"/>
    </w:rPr>
  </w:style>
  <w:style w:type="paragraph" w:styleId="BalloonText">
    <w:name w:val="Balloon Text"/>
    <w:basedOn w:val="Normal"/>
    <w:link w:val="BalloonTextChar"/>
    <w:uiPriority w:val="99"/>
    <w:semiHidden/>
    <w:unhideWhenUsed/>
    <w:rsid w:val="0090573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3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A66ADD"/>
    <w:pPr>
      <w:spacing w:before="0" w:after="440"/>
      <w:ind w:left="-1134" w:right="-1134"/>
    </w:pPr>
    <w:rPr>
      <w:sz w:val="2"/>
    </w:rPr>
  </w:style>
  <w:style w:type="character" w:customStyle="1" w:styleId="TechnicalBlockChar">
    <w:name w:val="Technical Block Char"/>
    <w:basedOn w:val="DefaultParagraphFont"/>
    <w:link w:val="TechnicalBlock"/>
    <w:rsid w:val="00A66ADD"/>
    <w:rPr>
      <w:sz w:val="24"/>
      <w:szCs w:val="24"/>
      <w:lang w:val="en-GB" w:eastAsia="en-US"/>
    </w:rPr>
  </w:style>
  <w:style w:type="character" w:customStyle="1" w:styleId="HeaderCouncilLargeChar">
    <w:name w:val="Header Council Large Char"/>
    <w:basedOn w:val="TechnicalBlockChar"/>
    <w:link w:val="HeaderCouncilLarge"/>
    <w:rsid w:val="00A66ADD"/>
    <w:rPr>
      <w:sz w:val="2"/>
      <w:szCs w:val="24"/>
      <w:lang w:val="en-GB" w:eastAsia="en-US"/>
    </w:rPr>
  </w:style>
  <w:style w:type="paragraph" w:customStyle="1" w:styleId="FooterText">
    <w:name w:val="Footer Text"/>
    <w:basedOn w:val="Normal"/>
    <w:rsid w:val="00A66ADD"/>
    <w:pPr>
      <w:spacing w:before="0" w:after="0" w:line="240" w:lineRule="auto"/>
    </w:pPr>
  </w:style>
  <w:style w:type="paragraph" w:customStyle="1" w:styleId="Standard">
    <w:name w:val="Standard"/>
    <w:rsid w:val="001348B0"/>
    <w:pPr>
      <w:widowControl w:val="0"/>
      <w:suppressAutoHyphens/>
      <w:autoSpaceDN w:val="0"/>
      <w:spacing w:line="360" w:lineRule="auto"/>
      <w:textAlignment w:val="baseline"/>
    </w:pPr>
    <w:rPr>
      <w:rFonts w:eastAsia="SimSun"/>
      <w:kern w:val="3"/>
      <w:sz w:val="24"/>
      <w:lang w:val="en-GB" w:eastAsia="zh-CN"/>
    </w:rPr>
  </w:style>
  <w:style w:type="character" w:customStyle="1" w:styleId="FootnoteTextChar">
    <w:name w:val="Footnote Text Char"/>
    <w:link w:val="FootnoteText"/>
    <w:rsid w:val="001348B0"/>
    <w:rPr>
      <w:sz w:val="24"/>
      <w:lang w:val="en-GB" w:eastAsia="en-US"/>
    </w:rPr>
  </w:style>
  <w:style w:type="numbering" w:customStyle="1" w:styleId="WWNum22">
    <w:name w:val="WWNum22"/>
    <w:rsid w:val="001348B0"/>
    <w:pPr>
      <w:numPr>
        <w:numId w:val="21"/>
      </w:numPr>
    </w:pPr>
  </w:style>
  <w:style w:type="paragraph" w:customStyle="1" w:styleId="12">
    <w:name w:val="12"/>
    <w:basedOn w:val="Standard"/>
    <w:rsid w:val="001348B0"/>
    <w:pPr>
      <w:widowControl/>
      <w:numPr>
        <w:numId w:val="21"/>
      </w:numPr>
      <w:spacing w:after="240"/>
      <w:ind w:left="567" w:hanging="567"/>
      <w:textAlignment w:val="auto"/>
    </w:pPr>
    <w:rPr>
      <w:bCs/>
      <w:iCs/>
      <w:sz w:val="28"/>
      <w:szCs w:val="28"/>
    </w:rPr>
  </w:style>
  <w:style w:type="paragraph" w:styleId="NormalIndent">
    <w:name w:val="Normal Indent"/>
    <w:basedOn w:val="Normal"/>
    <w:semiHidden/>
    <w:unhideWhenUsed/>
    <w:rsid w:val="001348B0"/>
    <w:pPr>
      <w:widowControl w:val="0"/>
      <w:spacing w:before="0" w:after="0"/>
      <w:ind w:left="567"/>
    </w:pPr>
    <w:rPr>
      <w:szCs w:val="20"/>
      <w:lang w:eastAsia="fr-BE"/>
    </w:rPr>
  </w:style>
  <w:style w:type="paragraph" w:styleId="BalloonText">
    <w:name w:val="Balloon Text"/>
    <w:basedOn w:val="Normal"/>
    <w:link w:val="BalloonTextChar"/>
    <w:uiPriority w:val="99"/>
    <w:semiHidden/>
    <w:unhideWhenUsed/>
    <w:rsid w:val="0090573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3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76696">
      <w:bodyDiv w:val="1"/>
      <w:marLeft w:val="0"/>
      <w:marRight w:val="0"/>
      <w:marTop w:val="0"/>
      <w:marBottom w:val="0"/>
      <w:divBdr>
        <w:top w:val="none" w:sz="0" w:space="0" w:color="auto"/>
        <w:left w:val="none" w:sz="0" w:space="0" w:color="auto"/>
        <w:bottom w:val="none" w:sz="0" w:space="0" w:color="auto"/>
        <w:right w:val="none" w:sz="0" w:space="0" w:color="auto"/>
      </w:divBdr>
    </w:div>
    <w:div w:id="1065490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D0B72-638A-4EAC-AB52-F52B86ED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3</TotalTime>
  <Pages>7</Pages>
  <Words>1430</Words>
  <Characters>7970</Characters>
  <Application>Microsoft Office Word</Application>
  <DocSecurity>0</DocSecurity>
  <Lines>135</Lines>
  <Paragraphs>47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VISCONTI IORDACHITA Andreia</dc:creator>
  <cp:lastModifiedBy>KONTOGIANNI Elpida</cp:lastModifiedBy>
  <cp:revision>3</cp:revision>
  <cp:lastPrinted>2015-03-17T15:36:00Z</cp:lastPrinted>
  <dcterms:created xsi:type="dcterms:W3CDTF">2015-03-17T15:30:00Z</dcterms:created>
  <dcterms:modified xsi:type="dcterms:W3CDTF">2015-03-17T15:37:00Z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y fmtid="{D5CDD505-2E9C-101B-9397-08002B2CF9AE}" pid="5" name="SkipControlLengthPage">
    <vt:lpwstr/>
  </property>
</Properties>
</file>