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CA89233D9874165A34E364AC1DFCD39"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rPr>
          <w:noProof/>
        </w:rPr>
      </w:pPr>
      <w:bookmarkStart w:id="1" w:name="_GoBack"/>
      <w:bookmarkEnd w:id="1"/>
    </w:p>
    <w:p>
      <w:pPr>
        <w:pStyle w:val="Typedudocument"/>
        <w:rPr>
          <w:noProof/>
        </w:rPr>
      </w:pPr>
      <w:r>
        <w:rPr>
          <w:noProof/>
        </w:rPr>
        <w:t>PROJET DE BUDGET RECTIFICATIF Nº 4</w:t>
      </w:r>
      <w:r>
        <w:rPr>
          <w:noProof/>
        </w:rPr>
        <w:br/>
        <w:t>AU BUDGET GÉNÉRAL 2015</w:t>
      </w:r>
    </w:p>
    <w:p>
      <w:pPr>
        <w:pStyle w:val="Titreobjet"/>
        <w:rPr>
          <w:noProof/>
        </w:rPr>
      </w:pPr>
      <w:r>
        <w:rPr>
          <w:noProof/>
        </w:rPr>
        <w:t>ACCOMPAGNANT LA PROPOSITION D'INTERVENTION DU FONDS DE SOLIDARITÉ DE L'UNION EUROPÉENNE EN FAVEUR DE LA ROUMANIE, LA BULGARIE ET L'ITALIE</w:t>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0"/>
          <w:cols w:space="708"/>
          <w:docGrid w:linePitch="360"/>
        </w:sectPr>
      </w:pPr>
    </w:p>
    <w:p>
      <w:pPr>
        <w:rPr>
          <w:noProof/>
        </w:rPr>
      </w:pPr>
      <w:r>
        <w:rPr>
          <w:noProof/>
        </w:rPr>
        <w:lastRenderedPageBreak/>
        <w:t>Vu:</w:t>
      </w:r>
    </w:p>
    <w:p>
      <w:pPr>
        <w:pStyle w:val="Tiret0"/>
        <w:rPr>
          <w:noProof/>
        </w:rPr>
      </w:pPr>
      <w:r>
        <w:rPr>
          <w:noProof/>
        </w:rPr>
        <w:t>le traité sur le fonctionnement de l'Union européenne, et notamment son article 314, lu en combinaison avec le traité instituant la Communauté européenne de l'énergie atomique, et notamment son article 106 </w:t>
      </w:r>
      <w:r>
        <w:rPr>
          <w:i/>
          <w:noProof/>
        </w:rPr>
        <w:t>bis</w:t>
      </w:r>
      <w:r>
        <w:rPr>
          <w:noProof/>
        </w:rPr>
        <w:t>,</w:t>
      </w:r>
    </w:p>
    <w:p>
      <w:pPr>
        <w:pStyle w:val="Tiret0"/>
        <w:rPr>
          <w:rFonts w:cs="Arial"/>
          <w:noProof/>
          <w:szCs w:val="18"/>
        </w:rPr>
      </w:pPr>
      <w:r>
        <w:rPr>
          <w:noProof/>
        </w:rPr>
        <w:t>le règlement (UE, Euratom) nº 966/2012 du Parlement européen et du Conseil du 25 octobre 2012 relatif aux règles financières applicables au budget général de l'Union</w:t>
      </w:r>
      <w:r>
        <w:rPr>
          <w:rStyle w:val="FootnoteReference"/>
          <w:noProof/>
        </w:rPr>
        <w:footnoteReference w:id="2"/>
      </w:r>
      <w:r>
        <w:rPr>
          <w:noProof/>
        </w:rPr>
        <w:t>, et notamment son article 41,</w:t>
      </w:r>
    </w:p>
    <w:p>
      <w:pPr>
        <w:pStyle w:val="Tiret0"/>
        <w:rPr>
          <w:rFonts w:cs="Arial"/>
          <w:noProof/>
          <w:szCs w:val="18"/>
        </w:rPr>
      </w:pPr>
      <w:r>
        <w:rPr>
          <w:rFonts w:ascii="TimesNewRoman" w:hAnsi="TimesNewRoman"/>
          <w:noProof/>
        </w:rPr>
        <w:t>le règlement (UE, Euratom) n° 1311/2013 du Conseil du 2 décembre 2013 fixant le cadre financier pluriannuel pour la période 2014-2020</w:t>
      </w:r>
      <w:r>
        <w:rPr>
          <w:rStyle w:val="FootnoteReference"/>
          <w:rFonts w:ascii="TimesNewRoman" w:hAnsi="TimesNewRoman"/>
          <w:noProof/>
        </w:rPr>
        <w:footnoteReference w:id="3"/>
      </w:r>
      <w:r>
        <w:rPr>
          <w:rFonts w:ascii="TimesNewRoman" w:hAnsi="TimesNewRoman"/>
          <w:noProof/>
        </w:rPr>
        <w:t>, et notamment son article 10,</w:t>
      </w:r>
    </w:p>
    <w:p>
      <w:pPr>
        <w:pStyle w:val="Tiret0"/>
        <w:rPr>
          <w:noProof/>
        </w:rPr>
      </w:pPr>
      <w:r>
        <w:rPr>
          <w:noProof/>
        </w:rPr>
        <w:t>le budget général de l'Union européenne pour l'exercice 2015, adopté le 17 décembre 2014</w:t>
      </w:r>
      <w:r>
        <w:rPr>
          <w:rStyle w:val="FootnoteReference"/>
          <w:noProof/>
        </w:rPr>
        <w:footnoteReference w:id="4"/>
      </w:r>
      <w:r>
        <w:rPr>
          <w:noProof/>
        </w:rPr>
        <w:t>,</w:t>
      </w:r>
    </w:p>
    <w:p>
      <w:pPr>
        <w:pStyle w:val="Tiret0"/>
        <w:rPr>
          <w:noProof/>
        </w:rPr>
      </w:pPr>
      <w:r>
        <w:rPr>
          <w:noProof/>
        </w:rPr>
        <w:t>le projet de budget rectificatif n° 1/2015</w:t>
      </w:r>
      <w:r>
        <w:rPr>
          <w:rStyle w:val="FootnoteReference"/>
          <w:noProof/>
        </w:rPr>
        <w:footnoteReference w:id="5"/>
      </w:r>
      <w:r>
        <w:rPr>
          <w:noProof/>
        </w:rPr>
        <w:t>, adopté le 13 janvier 2015,</w:t>
      </w:r>
    </w:p>
    <w:p>
      <w:pPr>
        <w:pStyle w:val="Tiret0"/>
        <w:rPr>
          <w:noProof/>
        </w:rPr>
      </w:pPr>
      <w:r>
        <w:rPr>
          <w:noProof/>
        </w:rPr>
        <w:t>le projet de budget rectificatif n° 2/2015</w:t>
      </w:r>
      <w:r>
        <w:rPr>
          <w:rStyle w:val="FootnoteReference"/>
          <w:noProof/>
        </w:rPr>
        <w:footnoteReference w:id="6"/>
      </w:r>
      <w:r>
        <w:rPr>
          <w:noProof/>
        </w:rPr>
        <w:t>, adopté le 20 janvier 2015,</w:t>
      </w:r>
    </w:p>
    <w:p>
      <w:pPr>
        <w:pStyle w:val="Tiret0"/>
        <w:rPr>
          <w:noProof/>
        </w:rPr>
      </w:pPr>
      <w:r>
        <w:rPr>
          <w:noProof/>
        </w:rPr>
        <w:t>le projet de budget rectificatif n° 3/2015</w:t>
      </w:r>
      <w:r>
        <w:rPr>
          <w:rStyle w:val="FootnoteReference"/>
          <w:noProof/>
        </w:rPr>
        <w:footnoteReference w:id="7"/>
      </w:r>
      <w:r>
        <w:rPr>
          <w:noProof/>
        </w:rPr>
        <w:t>, adopté le [</w:t>
      </w:r>
      <w:r>
        <w:rPr>
          <w:noProof/>
          <w:highlight w:val="yellow"/>
        </w:rPr>
        <w:t>15 avril 2015</w:t>
      </w:r>
      <w:r>
        <w:rPr>
          <w:noProof/>
        </w:rPr>
        <w:t>],</w:t>
      </w:r>
    </w:p>
    <w:p>
      <w:pPr>
        <w:jc w:val="both"/>
        <w:rPr>
          <w:noProof/>
        </w:rPr>
      </w:pPr>
      <w:r>
        <w:rPr>
          <w:noProof/>
        </w:rPr>
        <w:t>la Commission européenne présente ci-après au Parlement européen et au Conseil le projet de budget rectificatif nº 4 au budget 2015.</w:t>
      </w:r>
    </w:p>
    <w:p>
      <w:pPr>
        <w:rPr>
          <w:b/>
          <w:noProof/>
          <w:u w:val="single"/>
        </w:rPr>
      </w:pPr>
    </w:p>
    <w:p>
      <w:pPr>
        <w:rPr>
          <w:b/>
          <w:noProof/>
          <w:u w:val="single"/>
        </w:rPr>
      </w:pPr>
    </w:p>
    <w:p>
      <w:pPr>
        <w:jc w:val="both"/>
        <w:rPr>
          <w:b/>
          <w:noProof/>
          <w:u w:val="single"/>
        </w:rPr>
      </w:pPr>
      <w:r>
        <w:rPr>
          <w:b/>
          <w:noProof/>
          <w:u w:val="single"/>
        </w:rPr>
        <w:t>MODIFICATIONS À L'ÉTAT DES RECETTES ET DES DÉPENSES PAR SECTION</w:t>
      </w:r>
    </w:p>
    <w:p>
      <w:pPr>
        <w:rPr>
          <w:b/>
          <w:noProof/>
          <w:u w:val="single"/>
        </w:rPr>
      </w:pPr>
    </w:p>
    <w:p>
      <w:pPr>
        <w:jc w:val="both"/>
        <w:rPr>
          <w:noProof/>
        </w:rPr>
      </w:pPr>
      <w:r>
        <w:rPr>
          <w:noProof/>
        </w:rPr>
        <w:t>Les modifications apportées à l'état des recettes et des dépenses par section sont disponibles sur EUR-Lex (</w:t>
      </w:r>
      <w:hyperlink r:id="rId22">
        <w:r>
          <w:rPr>
            <w:rStyle w:val="Hyperlink"/>
            <w:noProof/>
            <w:color w:val="auto"/>
          </w:rPr>
          <w:t>http://eur-lex.europa.eu/budget/www/index-fr.htm</w:t>
        </w:r>
      </w:hyperlink>
      <w:r>
        <w:rPr>
          <w:noProof/>
        </w:rPr>
        <w:t>). Une version en anglais de ces modifications est jointe à titre indicatif en annexe budgétaire.</w:t>
      </w:r>
    </w:p>
    <w:p>
      <w:pPr>
        <w:rPr>
          <w:noProof/>
        </w:rPr>
        <w:sectPr>
          <w:headerReference w:type="even" r:id="rId23"/>
          <w:headerReference w:type="default" r:id="rId24"/>
          <w:footerReference w:type="even" r:id="rId25"/>
          <w:footerReference w:type="default" r:id="rId26"/>
          <w:headerReference w:type="first" r:id="rId27"/>
          <w:footerReference w:type="first" r:id="rId28"/>
          <w:pgSz w:w="11907" w:h="16839"/>
          <w:pgMar w:top="1418" w:right="1418" w:bottom="1418" w:left="1418" w:header="709" w:footer="709" w:gutter="0"/>
          <w:cols w:space="708"/>
          <w:docGrid w:linePitch="360"/>
        </w:sectPr>
      </w:pPr>
    </w:p>
    <w:p>
      <w:pPr>
        <w:pStyle w:val="TOCHeading"/>
        <w:rPr>
          <w:noProof/>
        </w:rPr>
      </w:pPr>
      <w:bookmarkStart w:id="2" w:name="_Toc294675429"/>
      <w:bookmarkStart w:id="3" w:name="_Toc272133653"/>
      <w:bookmarkStart w:id="4" w:name="_Toc294673202"/>
      <w:bookmarkStart w:id="5" w:name="_Toc318365572"/>
      <w:bookmarkStart w:id="6" w:name="_Toc361649893"/>
      <w:bookmarkStart w:id="7" w:name="_Toc387301589"/>
      <w:r>
        <w:rPr>
          <w:noProof/>
        </w:rPr>
        <w:lastRenderedPageBreak/>
        <w:t>TABLE DES MATIÈRES</w:t>
      </w:r>
    </w:p>
    <w:p>
      <w:pPr>
        <w:pStyle w:val="TOC1"/>
        <w:tabs>
          <w:tab w:val="left" w:pos="480"/>
          <w:tab w:val="right" w:leader="dot" w:pos="9061"/>
        </w:tabs>
        <w:rPr>
          <w:rFonts w:asciiTheme="minorHAnsi" w:eastAsiaTheme="minorEastAsia" w:hAnsiTheme="minorHAnsi" w:cstheme="minorBidi"/>
          <w:b w:val="0"/>
          <w:bCs w:val="0"/>
          <w:caps w:val="0"/>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416354621" w:history="1">
        <w:r>
          <w:rPr>
            <w:rStyle w:val="Hyperlink"/>
            <w:noProof/>
          </w:rPr>
          <w:t>1.</w:t>
        </w:r>
        <w:r>
          <w:rPr>
            <w:rFonts w:asciiTheme="minorHAnsi" w:eastAsiaTheme="minorEastAsia" w:hAnsiTheme="minorHAnsi" w:cstheme="minorBidi"/>
            <w:b w:val="0"/>
            <w:bCs w:val="0"/>
            <w:caps w:val="0"/>
            <w:noProof/>
            <w:sz w:val="22"/>
            <w:szCs w:val="22"/>
            <w:lang w:val="en-GB" w:eastAsia="en-GB" w:bidi="ar-SA"/>
          </w:rPr>
          <w:tab/>
        </w:r>
        <w:r>
          <w:rPr>
            <w:rStyle w:val="Hyperlink"/>
            <w:noProof/>
          </w:rPr>
          <w:t>Introduction</w:t>
        </w:r>
        <w:r>
          <w:rPr>
            <w:noProof/>
            <w:webHidden/>
          </w:rPr>
          <w:tab/>
        </w:r>
        <w:r>
          <w:rPr>
            <w:noProof/>
            <w:webHidden/>
          </w:rPr>
          <w:fldChar w:fldCharType="begin"/>
        </w:r>
        <w:r>
          <w:rPr>
            <w:noProof/>
            <w:webHidden/>
          </w:rPr>
          <w:instrText xml:space="preserve"> PAGEREF _Toc416354621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80"/>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416354622" w:history="1">
        <w:r>
          <w:rPr>
            <w:rStyle w:val="Hyperlink"/>
            <w:smallCaps/>
            <w:noProof/>
          </w:rPr>
          <w:t>2.</w:t>
        </w:r>
        <w:r>
          <w:rPr>
            <w:rFonts w:asciiTheme="minorHAnsi" w:eastAsiaTheme="minorEastAsia" w:hAnsiTheme="minorHAnsi" w:cstheme="minorBidi"/>
            <w:b w:val="0"/>
            <w:bCs w:val="0"/>
            <w:caps w:val="0"/>
            <w:noProof/>
            <w:sz w:val="22"/>
            <w:szCs w:val="22"/>
            <w:lang w:val="en-GB" w:eastAsia="en-GB" w:bidi="ar-SA"/>
          </w:rPr>
          <w:tab/>
        </w:r>
        <w:r>
          <w:rPr>
            <w:rStyle w:val="Hyperlink"/>
            <w:smallCaps/>
            <w:noProof/>
          </w:rPr>
          <w:t>Intervention du Fonds de solidarité de l'UE</w:t>
        </w:r>
        <w:r>
          <w:rPr>
            <w:noProof/>
            <w:webHidden/>
          </w:rPr>
          <w:tab/>
        </w:r>
        <w:r>
          <w:rPr>
            <w:noProof/>
            <w:webHidden/>
          </w:rPr>
          <w:fldChar w:fldCharType="begin"/>
        </w:r>
        <w:r>
          <w:rPr>
            <w:noProof/>
            <w:webHidden/>
          </w:rPr>
          <w:instrText xml:space="preserve"> PAGEREF _Toc416354622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720"/>
          <w:tab w:val="right" w:leader="dot" w:pos="9061"/>
        </w:tabs>
        <w:rPr>
          <w:rFonts w:asciiTheme="minorHAnsi" w:eastAsiaTheme="minorEastAsia" w:hAnsiTheme="minorHAnsi" w:cstheme="minorBidi"/>
          <w:smallCaps w:val="0"/>
          <w:noProof/>
          <w:sz w:val="22"/>
          <w:szCs w:val="22"/>
          <w:lang w:val="en-GB" w:eastAsia="en-GB" w:bidi="ar-SA"/>
        </w:rPr>
      </w:pPr>
      <w:hyperlink w:anchor="_Toc416354623" w:history="1">
        <w:r>
          <w:rPr>
            <w:rStyle w:val="Hyperlink"/>
            <w:b/>
            <w:noProof/>
          </w:rPr>
          <w:t>2.1</w:t>
        </w:r>
        <w:r>
          <w:rPr>
            <w:rFonts w:asciiTheme="minorHAnsi" w:eastAsiaTheme="minorEastAsia" w:hAnsiTheme="minorHAnsi" w:cstheme="minorBidi"/>
            <w:smallCaps w:val="0"/>
            <w:noProof/>
            <w:sz w:val="22"/>
            <w:szCs w:val="22"/>
            <w:lang w:val="en-GB" w:eastAsia="en-GB" w:bidi="ar-SA"/>
          </w:rPr>
          <w:tab/>
        </w:r>
        <w:r>
          <w:rPr>
            <w:rStyle w:val="Hyperlink"/>
            <w:b/>
            <w:noProof/>
          </w:rPr>
          <w:t>Roumanie – Inondations au printemps</w:t>
        </w:r>
        <w:r>
          <w:rPr>
            <w:noProof/>
            <w:webHidden/>
          </w:rPr>
          <w:tab/>
        </w:r>
        <w:r>
          <w:rPr>
            <w:noProof/>
            <w:webHidden/>
          </w:rPr>
          <w:fldChar w:fldCharType="begin"/>
        </w:r>
        <w:r>
          <w:rPr>
            <w:noProof/>
            <w:webHidden/>
          </w:rPr>
          <w:instrText xml:space="preserve"> PAGEREF _Toc416354623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720"/>
          <w:tab w:val="right" w:leader="dot" w:pos="9061"/>
        </w:tabs>
        <w:rPr>
          <w:rFonts w:asciiTheme="minorHAnsi" w:eastAsiaTheme="minorEastAsia" w:hAnsiTheme="minorHAnsi" w:cstheme="minorBidi"/>
          <w:smallCaps w:val="0"/>
          <w:noProof/>
          <w:sz w:val="22"/>
          <w:szCs w:val="22"/>
          <w:lang w:val="en-GB" w:eastAsia="en-GB" w:bidi="ar-SA"/>
        </w:rPr>
      </w:pPr>
      <w:hyperlink w:anchor="_Toc416354624" w:history="1">
        <w:r>
          <w:rPr>
            <w:rStyle w:val="Hyperlink"/>
            <w:b/>
            <w:noProof/>
          </w:rPr>
          <w:t>2.2</w:t>
        </w:r>
        <w:r>
          <w:rPr>
            <w:rFonts w:asciiTheme="minorHAnsi" w:eastAsiaTheme="minorEastAsia" w:hAnsiTheme="minorHAnsi" w:cstheme="minorBidi"/>
            <w:smallCaps w:val="0"/>
            <w:noProof/>
            <w:sz w:val="22"/>
            <w:szCs w:val="22"/>
            <w:lang w:val="en-GB" w:eastAsia="en-GB" w:bidi="ar-SA"/>
          </w:rPr>
          <w:tab/>
        </w:r>
        <w:r>
          <w:rPr>
            <w:rStyle w:val="Hyperlink"/>
            <w:b/>
            <w:noProof/>
          </w:rPr>
          <w:t>Roumanie – Inondations en été</w:t>
        </w:r>
        <w:r>
          <w:rPr>
            <w:noProof/>
            <w:webHidden/>
          </w:rPr>
          <w:tab/>
        </w:r>
        <w:r>
          <w:rPr>
            <w:noProof/>
            <w:webHidden/>
          </w:rPr>
          <w:fldChar w:fldCharType="begin"/>
        </w:r>
        <w:r>
          <w:rPr>
            <w:noProof/>
            <w:webHidden/>
          </w:rPr>
          <w:instrText xml:space="preserve"> PAGEREF _Toc416354624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720"/>
          <w:tab w:val="right" w:leader="dot" w:pos="9061"/>
        </w:tabs>
        <w:rPr>
          <w:rFonts w:asciiTheme="minorHAnsi" w:eastAsiaTheme="minorEastAsia" w:hAnsiTheme="minorHAnsi" w:cstheme="minorBidi"/>
          <w:smallCaps w:val="0"/>
          <w:noProof/>
          <w:sz w:val="22"/>
          <w:szCs w:val="22"/>
          <w:lang w:val="en-GB" w:eastAsia="en-GB" w:bidi="ar-SA"/>
        </w:rPr>
      </w:pPr>
      <w:hyperlink w:anchor="_Toc416354625" w:history="1">
        <w:r>
          <w:rPr>
            <w:rStyle w:val="Hyperlink"/>
            <w:b/>
            <w:noProof/>
          </w:rPr>
          <w:t>2.3</w:t>
        </w:r>
        <w:r>
          <w:rPr>
            <w:rFonts w:asciiTheme="minorHAnsi" w:eastAsiaTheme="minorEastAsia" w:hAnsiTheme="minorHAnsi" w:cstheme="minorBidi"/>
            <w:smallCaps w:val="0"/>
            <w:noProof/>
            <w:sz w:val="22"/>
            <w:szCs w:val="22"/>
            <w:lang w:val="en-GB" w:eastAsia="en-GB" w:bidi="ar-SA"/>
          </w:rPr>
          <w:tab/>
        </w:r>
        <w:r>
          <w:rPr>
            <w:rStyle w:val="Hyperlink"/>
            <w:b/>
            <w:noProof/>
          </w:rPr>
          <w:t>Bulgarie – Inondations en été</w:t>
        </w:r>
        <w:r>
          <w:rPr>
            <w:noProof/>
            <w:webHidden/>
          </w:rPr>
          <w:tab/>
        </w:r>
        <w:r>
          <w:rPr>
            <w:noProof/>
            <w:webHidden/>
          </w:rPr>
          <w:fldChar w:fldCharType="begin"/>
        </w:r>
        <w:r>
          <w:rPr>
            <w:noProof/>
            <w:webHidden/>
          </w:rPr>
          <w:instrText xml:space="preserve"> PAGEREF _Toc416354625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720"/>
          <w:tab w:val="right" w:leader="dot" w:pos="9061"/>
        </w:tabs>
        <w:rPr>
          <w:rFonts w:asciiTheme="minorHAnsi" w:eastAsiaTheme="minorEastAsia" w:hAnsiTheme="minorHAnsi" w:cstheme="minorBidi"/>
          <w:smallCaps w:val="0"/>
          <w:noProof/>
          <w:sz w:val="22"/>
          <w:szCs w:val="22"/>
          <w:lang w:val="en-GB" w:eastAsia="en-GB" w:bidi="ar-SA"/>
        </w:rPr>
      </w:pPr>
      <w:hyperlink w:anchor="_Toc416354626" w:history="1">
        <w:r>
          <w:rPr>
            <w:rStyle w:val="Hyperlink"/>
            <w:b/>
            <w:noProof/>
          </w:rPr>
          <w:t>2.4</w:t>
        </w:r>
        <w:r>
          <w:rPr>
            <w:rFonts w:asciiTheme="minorHAnsi" w:eastAsiaTheme="minorEastAsia" w:hAnsiTheme="minorHAnsi" w:cstheme="minorBidi"/>
            <w:smallCaps w:val="0"/>
            <w:noProof/>
            <w:sz w:val="22"/>
            <w:szCs w:val="22"/>
            <w:lang w:val="en-GB" w:eastAsia="en-GB" w:bidi="ar-SA"/>
          </w:rPr>
          <w:tab/>
        </w:r>
        <w:r>
          <w:rPr>
            <w:rStyle w:val="Hyperlink"/>
            <w:b/>
            <w:noProof/>
          </w:rPr>
          <w:t>Italie – Inondations en automne</w:t>
        </w:r>
        <w:r>
          <w:rPr>
            <w:noProof/>
            <w:webHidden/>
          </w:rPr>
          <w:tab/>
        </w:r>
        <w:r>
          <w:rPr>
            <w:noProof/>
            <w:webHidden/>
          </w:rPr>
          <w:fldChar w:fldCharType="begin"/>
        </w:r>
        <w:r>
          <w:rPr>
            <w:noProof/>
            <w:webHidden/>
          </w:rPr>
          <w:instrText xml:space="preserve"> PAGEREF _Toc416354626 \h </w:instrText>
        </w:r>
        <w:r>
          <w:rPr>
            <w:noProof/>
            <w:webHidden/>
          </w:rPr>
        </w:r>
        <w:r>
          <w:rPr>
            <w:noProof/>
            <w:webHidden/>
          </w:rPr>
          <w:fldChar w:fldCharType="separate"/>
        </w:r>
        <w:r>
          <w:rPr>
            <w:noProof/>
            <w:webHidden/>
          </w:rPr>
          <w:t>7</w:t>
        </w:r>
        <w:r>
          <w:rPr>
            <w:noProof/>
            <w:webHidden/>
          </w:rPr>
          <w:fldChar w:fldCharType="end"/>
        </w:r>
      </w:hyperlink>
    </w:p>
    <w:p>
      <w:pPr>
        <w:pStyle w:val="TOC1"/>
        <w:tabs>
          <w:tab w:val="left" w:pos="480"/>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416354627" w:history="1">
        <w:r>
          <w:rPr>
            <w:rStyle w:val="Hyperlink"/>
            <w:smallCaps/>
            <w:noProof/>
          </w:rPr>
          <w:t>3.</w:t>
        </w:r>
        <w:r>
          <w:rPr>
            <w:rFonts w:asciiTheme="minorHAnsi" w:eastAsiaTheme="minorEastAsia" w:hAnsiTheme="minorHAnsi" w:cstheme="minorBidi"/>
            <w:b w:val="0"/>
            <w:bCs w:val="0"/>
            <w:caps w:val="0"/>
            <w:noProof/>
            <w:sz w:val="22"/>
            <w:szCs w:val="22"/>
            <w:lang w:val="en-GB" w:eastAsia="en-GB" w:bidi="ar-SA"/>
          </w:rPr>
          <w:tab/>
        </w:r>
        <w:r>
          <w:rPr>
            <w:rStyle w:val="Hyperlink"/>
            <w:smallCaps/>
            <w:noProof/>
          </w:rPr>
          <w:t>Financement</w:t>
        </w:r>
        <w:r>
          <w:rPr>
            <w:noProof/>
            <w:webHidden/>
          </w:rPr>
          <w:tab/>
        </w:r>
        <w:r>
          <w:rPr>
            <w:noProof/>
            <w:webHidden/>
          </w:rPr>
          <w:fldChar w:fldCharType="begin"/>
        </w:r>
        <w:r>
          <w:rPr>
            <w:noProof/>
            <w:webHidden/>
          </w:rPr>
          <w:instrText xml:space="preserve"> PAGEREF _Toc416354627 \h </w:instrText>
        </w:r>
        <w:r>
          <w:rPr>
            <w:noProof/>
            <w:webHidden/>
          </w:rPr>
        </w:r>
        <w:r>
          <w:rPr>
            <w:noProof/>
            <w:webHidden/>
          </w:rPr>
          <w:fldChar w:fldCharType="separate"/>
        </w:r>
        <w:r>
          <w:rPr>
            <w:noProof/>
            <w:webHidden/>
          </w:rPr>
          <w:t>8</w:t>
        </w:r>
        <w:r>
          <w:rPr>
            <w:noProof/>
            <w:webHidden/>
          </w:rPr>
          <w:fldChar w:fldCharType="end"/>
        </w:r>
      </w:hyperlink>
    </w:p>
    <w:p>
      <w:pPr>
        <w:pStyle w:val="TOC1"/>
        <w:tabs>
          <w:tab w:val="left" w:pos="480"/>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416354629" w:history="1">
        <w:r>
          <w:rPr>
            <w:rStyle w:val="Hyperlink"/>
            <w:noProof/>
          </w:rPr>
          <w:t>4.</w:t>
        </w:r>
        <w:r>
          <w:rPr>
            <w:rFonts w:asciiTheme="minorHAnsi" w:eastAsiaTheme="minorEastAsia" w:hAnsiTheme="minorHAnsi" w:cstheme="minorBidi"/>
            <w:b w:val="0"/>
            <w:bCs w:val="0"/>
            <w:caps w:val="0"/>
            <w:noProof/>
            <w:sz w:val="22"/>
            <w:szCs w:val="22"/>
            <w:lang w:val="en-GB" w:eastAsia="en-GB" w:bidi="ar-SA"/>
          </w:rPr>
          <w:tab/>
        </w:r>
        <w:r>
          <w:rPr>
            <w:rStyle w:val="Hyperlink"/>
            <w:noProof/>
          </w:rPr>
          <w:t>Tableau récapitulatif par rubrique du CFP</w:t>
        </w:r>
        <w:r>
          <w:rPr>
            <w:noProof/>
            <w:webHidden/>
          </w:rPr>
          <w:tab/>
        </w:r>
        <w:r>
          <w:rPr>
            <w:noProof/>
            <w:webHidden/>
          </w:rPr>
          <w:fldChar w:fldCharType="begin"/>
        </w:r>
        <w:r>
          <w:rPr>
            <w:noProof/>
            <w:webHidden/>
          </w:rPr>
          <w:instrText xml:space="preserve"> PAGEREF _Toc416354629 \h </w:instrText>
        </w:r>
        <w:r>
          <w:rPr>
            <w:noProof/>
            <w:webHidden/>
          </w:rPr>
        </w:r>
        <w:r>
          <w:rPr>
            <w:noProof/>
            <w:webHidden/>
          </w:rPr>
          <w:fldChar w:fldCharType="separate"/>
        </w:r>
        <w:r>
          <w:rPr>
            <w:noProof/>
            <w:webHidden/>
          </w:rPr>
          <w:t>10</w:t>
        </w:r>
        <w:r>
          <w:rPr>
            <w:noProof/>
            <w:webHidden/>
          </w:rPr>
          <w:fldChar w:fldCharType="end"/>
        </w:r>
      </w:hyperlink>
    </w:p>
    <w:p>
      <w:pPr>
        <w:pStyle w:val="TOC1"/>
        <w:tabs>
          <w:tab w:val="left" w:pos="480"/>
          <w:tab w:val="right" w:leader="dot" w:pos="9061"/>
        </w:tabs>
        <w:rPr>
          <w:rFonts w:ascii="Calibri" w:hAnsi="Calibri"/>
          <w:b w:val="0"/>
          <w:bCs w:val="0"/>
          <w:caps w:val="0"/>
          <w:noProof/>
          <w:sz w:val="22"/>
          <w:szCs w:val="22"/>
        </w:rPr>
      </w:pPr>
      <w:r>
        <w:rPr>
          <w:noProof/>
        </w:rPr>
        <w:fldChar w:fldCharType="end"/>
      </w:r>
    </w:p>
    <w:p>
      <w:pPr>
        <w:rPr>
          <w:noProof/>
        </w:rPr>
        <w:sectPr>
          <w:headerReference w:type="even" r:id="rId29"/>
          <w:headerReference w:type="default" r:id="rId30"/>
          <w:footerReference w:type="even" r:id="rId31"/>
          <w:footerReference w:type="default" r:id="rId32"/>
          <w:headerReference w:type="first" r:id="rId33"/>
          <w:footerReference w:type="first" r:id="rId34"/>
          <w:pgSz w:w="11907" w:h="16839"/>
          <w:pgMar w:top="1418" w:right="1418" w:bottom="1418" w:left="1418" w:header="709" w:footer="709" w:gutter="0"/>
          <w:cols w:space="720"/>
        </w:sectPr>
      </w:pPr>
    </w:p>
    <w:p>
      <w:pPr>
        <w:pStyle w:val="ManualHeading1"/>
        <w:spacing w:before="240"/>
        <w:ind w:left="851" w:hanging="851"/>
        <w:rPr>
          <w:noProof/>
        </w:rPr>
      </w:pPr>
      <w:bookmarkStart w:id="8" w:name="_Toc385506031"/>
      <w:bookmarkStart w:id="9" w:name="_Toc414446440"/>
      <w:bookmarkStart w:id="10" w:name="_Toc416354621"/>
      <w:bookmarkStart w:id="11" w:name="_Toc351469332"/>
      <w:bookmarkStart w:id="12" w:name="_Toc361649879"/>
      <w:r>
        <w:rPr>
          <w:noProof/>
        </w:rPr>
        <w:t>1.</w:t>
      </w:r>
      <w:r>
        <w:rPr>
          <w:noProof/>
        </w:rPr>
        <w:tab/>
        <w:t>Introduction</w:t>
      </w:r>
      <w:bookmarkEnd w:id="8"/>
      <w:bookmarkEnd w:id="9"/>
      <w:bookmarkEnd w:id="10"/>
    </w:p>
    <w:p>
      <w:pPr>
        <w:spacing w:before="120" w:after="120"/>
        <w:jc w:val="both"/>
        <w:rPr>
          <w:noProof/>
        </w:rPr>
      </w:pPr>
      <w:r>
        <w:rPr>
          <w:noProof/>
        </w:rPr>
        <w:t>Le projet de budget rectificatif (PBR) n° 4 pour l'exercice 2015 couvre l'intervention du Fonds de solidarité de l'Union européenne (FSUE), pour un montant de 66 505 850 EUR en crédits d'engagement et de paiement. Cette intervention porte sur des inondations survenues en Roumanie, à deux reprises, ainsi qu'en Bulgarie et en Italie.</w:t>
      </w:r>
    </w:p>
    <w:p>
      <w:pPr>
        <w:keepNext/>
        <w:tabs>
          <w:tab w:val="left" w:pos="850"/>
        </w:tabs>
        <w:spacing w:before="360" w:after="120"/>
        <w:ind w:left="851" w:hanging="851"/>
        <w:jc w:val="both"/>
        <w:outlineLvl w:val="0"/>
        <w:rPr>
          <w:b/>
          <w:smallCaps/>
          <w:noProof/>
        </w:rPr>
      </w:pPr>
      <w:bookmarkStart w:id="13" w:name="_Toc385506032"/>
      <w:bookmarkStart w:id="14" w:name="_Toc367427548"/>
      <w:bookmarkStart w:id="15" w:name="_Toc309303297"/>
      <w:bookmarkStart w:id="16" w:name="_Toc414446441"/>
      <w:bookmarkStart w:id="17" w:name="_Toc416354622"/>
      <w:r>
        <w:rPr>
          <w:b/>
          <w:smallCaps/>
          <w:noProof/>
        </w:rPr>
        <w:t>2.</w:t>
      </w:r>
      <w:r>
        <w:rPr>
          <w:noProof/>
        </w:rPr>
        <w:tab/>
      </w:r>
      <w:r>
        <w:rPr>
          <w:b/>
          <w:smallCaps/>
          <w:noProof/>
        </w:rPr>
        <w:t>Intervention du Fonds de solidarité de l'UE</w:t>
      </w:r>
      <w:bookmarkEnd w:id="13"/>
      <w:bookmarkEnd w:id="14"/>
      <w:bookmarkEnd w:id="15"/>
      <w:bookmarkEnd w:id="16"/>
      <w:bookmarkEnd w:id="17"/>
    </w:p>
    <w:p>
      <w:pPr>
        <w:spacing w:before="120" w:after="120"/>
        <w:jc w:val="both"/>
        <w:rPr>
          <w:noProof/>
        </w:rPr>
      </w:pPr>
      <w:r>
        <w:rPr>
          <w:noProof/>
        </w:rPr>
        <w:t>Au cours du second semestre de 2014, la Commission a reçu quatre nouvelles demandes d'assistance financière au titre du Fonds de solidarité de l'Union européenne (FSUE) concernant des catastrophes survenues en Roumanie (inondations au printemps et en été), en Bulgarie (inondations en été) et en Italie (inondations en automne).</w:t>
      </w:r>
    </w:p>
    <w:p>
      <w:pPr>
        <w:spacing w:before="120" w:after="120"/>
        <w:jc w:val="both"/>
        <w:rPr>
          <w:noProof/>
        </w:rPr>
      </w:pPr>
      <w:r>
        <w:rPr>
          <w:noProof/>
        </w:rPr>
        <w:t>Les services de la Commission ont procédé à un examen approfondi des quatre demandes conformément au règlement (CE) n° 2012/2002 du Conseil instituant le FSUE</w:t>
      </w:r>
      <w:r>
        <w:rPr>
          <w:rStyle w:val="FootnoteReference"/>
          <w:noProof/>
        </w:rPr>
        <w:footnoteReference w:id="8"/>
      </w:r>
      <w:r>
        <w:rPr>
          <w:noProof/>
        </w:rPr>
        <w:t xml:space="preserve"> (ci-après dénommé le «règlement»), et notamment à ses articles 2, 3 et 4. </w:t>
      </w:r>
    </w:p>
    <w:p>
      <w:pPr>
        <w:spacing w:before="120" w:after="120"/>
        <w:jc w:val="both"/>
        <w:rPr>
          <w:rFonts w:eastAsia="Calibri"/>
          <w:noProof/>
        </w:rPr>
      </w:pPr>
      <w:r>
        <w:rPr>
          <w:noProof/>
        </w:rPr>
        <w:t>Les principaux éléments de ces évaluations sont résumés ci-après.</w:t>
      </w:r>
    </w:p>
    <w:p>
      <w:pPr>
        <w:spacing w:before="120" w:after="120"/>
        <w:jc w:val="both"/>
        <w:rPr>
          <w:rFonts w:eastAsia="Calibri"/>
          <w:noProof/>
        </w:rPr>
      </w:pPr>
    </w:p>
    <w:p>
      <w:pPr>
        <w:keepNext/>
        <w:tabs>
          <w:tab w:val="left" w:pos="709"/>
        </w:tabs>
        <w:spacing w:before="120" w:after="120"/>
        <w:ind w:left="709" w:hanging="709"/>
        <w:jc w:val="both"/>
        <w:outlineLvl w:val="1"/>
        <w:rPr>
          <w:b/>
          <w:noProof/>
        </w:rPr>
      </w:pPr>
      <w:bookmarkStart w:id="18" w:name="_Toc309303298"/>
      <w:bookmarkStart w:id="19" w:name="_Toc385506033"/>
      <w:bookmarkStart w:id="20" w:name="_Toc367427549"/>
      <w:bookmarkStart w:id="21" w:name="_Toc414446442"/>
      <w:bookmarkStart w:id="22" w:name="_Toc416354623"/>
      <w:r>
        <w:rPr>
          <w:b/>
          <w:noProof/>
        </w:rPr>
        <w:t>2.1</w:t>
      </w:r>
      <w:r>
        <w:rPr>
          <w:noProof/>
        </w:rPr>
        <w:tab/>
      </w:r>
      <w:bookmarkEnd w:id="18"/>
      <w:r>
        <w:rPr>
          <w:b/>
          <w:noProof/>
        </w:rPr>
        <w:t>Roumanie – Inondations au printemps</w:t>
      </w:r>
      <w:bookmarkEnd w:id="19"/>
      <w:bookmarkEnd w:id="20"/>
      <w:bookmarkEnd w:id="21"/>
      <w:bookmarkEnd w:id="22"/>
    </w:p>
    <w:p>
      <w:pPr>
        <w:pStyle w:val="ListNumber"/>
        <w:numPr>
          <w:ilvl w:val="0"/>
          <w:numId w:val="39"/>
        </w:numPr>
        <w:rPr>
          <w:noProof/>
        </w:rPr>
      </w:pPr>
      <w:r>
        <w:rPr>
          <w:noProof/>
        </w:rPr>
        <w:t xml:space="preserve">Au cours des mois d'avril et de mai 2014, la Roumanie a connu, sur la majeure partie de son territoire, des inondations de grande ampleur qui ont causé des dommages considérables aux infrastructures publiques et privées, aux habitations privées et à l'agriculture. </w:t>
      </w:r>
    </w:p>
    <w:p>
      <w:pPr>
        <w:pStyle w:val="ListNumber"/>
        <w:numPr>
          <w:ilvl w:val="0"/>
          <w:numId w:val="39"/>
        </w:numPr>
        <w:rPr>
          <w:noProof/>
        </w:rPr>
      </w:pPr>
      <w:r>
        <w:rPr>
          <w:noProof/>
        </w:rPr>
        <w:t>Ces inondations sont d'origine naturelle et relèvent donc du champ d'application principal du FSUE.</w:t>
      </w:r>
    </w:p>
    <w:p>
      <w:pPr>
        <w:pStyle w:val="ListNumber"/>
        <w:numPr>
          <w:ilvl w:val="0"/>
          <w:numId w:val="39"/>
        </w:numPr>
        <w:rPr>
          <w:noProof/>
        </w:rPr>
      </w:pPr>
      <w:r>
        <w:rPr>
          <w:noProof/>
        </w:rPr>
        <w:t xml:space="preserve">La demande de la Roumanie a été reçue le 9 juillet 2014, dans le délai de douze semaines à compter de la date à laquelle le premier dommage est survenu, en l'occurrence le 19 avril 2014. </w:t>
      </w:r>
    </w:p>
    <w:p>
      <w:pPr>
        <w:pStyle w:val="ListNumber"/>
        <w:numPr>
          <w:ilvl w:val="0"/>
          <w:numId w:val="39"/>
        </w:numPr>
        <w:rPr>
          <w:noProof/>
        </w:rPr>
      </w:pPr>
      <w:r>
        <w:rPr>
          <w:noProof/>
        </w:rPr>
        <w:t>La Roumanie n'a pas demandé le paiement d'une avance.</w:t>
      </w:r>
    </w:p>
    <w:p>
      <w:pPr>
        <w:pStyle w:val="ListNumber"/>
        <w:numPr>
          <w:ilvl w:val="0"/>
          <w:numId w:val="39"/>
        </w:numPr>
        <w:rPr>
          <w:noProof/>
        </w:rPr>
      </w:pPr>
      <w:r>
        <w:rPr>
          <w:noProof/>
        </w:rPr>
        <w:t>La demande a été introduite en tant que catastrophe survenue dans un «pays voisin», conformément à l'article 2, paragraphe 4, du règlement. En vertu de cette disposition, un pays touché par la même catastrophe qu'un pays voisin pour lequel il s'agit d'une catastrophe majeure peut exceptionnellement bénéficier d'une intervention du FSUE même si elle ne peut pas être considérée comme une catastrophe majeure ou régionale dans ce pays. La Roumanie a fait valoir qu'elle avait été touchée par la même catastrophe que celle survenue en Serbie à partir du 14 mai 2014 et qui avait été qualifiée de catastrophe majeure par la Commission.</w:t>
      </w:r>
    </w:p>
    <w:p>
      <w:pPr>
        <w:pStyle w:val="ListNumber"/>
        <w:numPr>
          <w:ilvl w:val="0"/>
          <w:numId w:val="39"/>
        </w:numPr>
        <w:rPr>
          <w:noProof/>
        </w:rPr>
      </w:pPr>
      <w:r>
        <w:rPr>
          <w:noProof/>
        </w:rPr>
        <w:t>Lors de son évaluation des conditions météorologiques, la Commission est cependant parvenue à la conclusion que les informations fournies par les autorités roumaines ne permettaient pas d'imputer l'ensemble des dommages déclarés (survenus dès le 19 avril) à la même catastrophe que celle ayant touché la Serbie. Elle a par conséquent demandé à la Roumanie de réexaminer et d'actualiser sa demande afin d'exclure les dommages causés avant le 14 mai. La Commission a reçu une version révisée de la demande de la Roumanie le 29 septembre 2014.</w:t>
      </w:r>
    </w:p>
    <w:p>
      <w:pPr>
        <w:pStyle w:val="ListNumber"/>
        <w:numPr>
          <w:ilvl w:val="0"/>
          <w:numId w:val="39"/>
        </w:numPr>
        <w:rPr>
          <w:noProof/>
        </w:rPr>
      </w:pPr>
      <w:r>
        <w:rPr>
          <w:noProof/>
        </w:rPr>
        <w:t>Dans la version révisée de la demande, les autorités roumaines estiment à 167,927 millions d'EUR le montant total des dommages directs causés par la catastrophe. Ce montant représente 0,13 % du revenu national brut (RNB) de la Roumanie ou 21,43 % du seuil d'intervention du FSUE pour une catastrophe dite «majeure» applicable à ce pays en 2014, qui s'établit à 783,738 millions d'EUR (soit 0,6 % du RNB sur la base des données de 2012). Le montant total des dommages directs restant inférieur au seuil fixé pour une catastrophe dite «majeure» et le seuil fixé pour une catastrophe dite «régionale» tel que prévu à l'article 2, paragraphe 3, du règlement n'étant pas atteint, la demande a été évaluée positivement au regard de la disposition de l'article 2, paragraphe 4, relative aux pays voisins.</w:t>
      </w:r>
    </w:p>
    <w:p>
      <w:pPr>
        <w:pStyle w:val="ListNumber"/>
        <w:numPr>
          <w:ilvl w:val="0"/>
          <w:numId w:val="39"/>
        </w:numPr>
        <w:rPr>
          <w:noProof/>
        </w:rPr>
      </w:pPr>
      <w:r>
        <w:rPr>
          <w:noProof/>
        </w:rPr>
        <w:t>En ce qui concerne l'incidence et les conséquences de la catastrophe, celle-ci a touché 30 des 42 circonscriptions roumaines et a entraîné l'évacuation d'une partie de la population, occasionné des pertes majeures et frappé de plein fouet différents secteurs de l'économie. La catastrophe a notamment endommagé les infrastructures de prévention et de transport ainsi que celles dans le secteur de l'eau, du traitement des eaux usées, de l'énergie et de la communication. En ce qui concerne l'agriculture, la montée des eaux a provoqué la perte de cultures et d'animaux; dans le secteur sylvicole, des voies d'accès et des pépinières ont été détruites à la suite de ruptures de barrages; enfin, des habitations privées ont été inondées, tout comme des écoles, des hôpitaux, d'autres édifices publics et des biens culturels.</w:t>
      </w:r>
    </w:p>
    <w:p>
      <w:pPr>
        <w:pStyle w:val="ListNumber"/>
        <w:numPr>
          <w:ilvl w:val="0"/>
          <w:numId w:val="39"/>
        </w:numPr>
        <w:rPr>
          <w:noProof/>
        </w:rPr>
      </w:pPr>
      <w:r>
        <w:rPr>
          <w:noProof/>
        </w:rPr>
        <w:t xml:space="preserve">Le coût des actions urgentes de première nécessité admissibles au titre de l'article 3, paragraphe 2, du règlement a été estimé par les autorités roumaines à 145,527 millions d’EUR et a été ventilé par type d'action. La plus grande partie du coût des actions urgentes (plus de 95 millions d'EUR) concerne des actions de remise en état dans le domaine des transports. Le deuxième poste de dépenses concerne la sécurisation des infrastructures de prévention, pour un montant de 44 millions d'EUR. </w:t>
      </w:r>
    </w:p>
    <w:p>
      <w:pPr>
        <w:pStyle w:val="ListNumber"/>
        <w:numPr>
          <w:ilvl w:val="0"/>
          <w:numId w:val="39"/>
        </w:numPr>
        <w:rPr>
          <w:noProof/>
        </w:rPr>
      </w:pPr>
      <w:r>
        <w:rPr>
          <w:noProof/>
        </w:rPr>
        <w:t>Les régions sinistrées sont admissibles au titre des Fonds structurels et d'investissement européens (2014-2020) en tant que «régions moins développées». Les autorités roumaines n'ont pas indiqué à la Commission qu'elles avaient l'intention de redéployer les crédits fournis au titre du programme des Fonds ESI vers des mesures de remise en état.</w:t>
      </w:r>
    </w:p>
    <w:p>
      <w:pPr>
        <w:pStyle w:val="ListNumber"/>
        <w:numPr>
          <w:ilvl w:val="0"/>
          <w:numId w:val="39"/>
        </w:numPr>
        <w:rPr>
          <w:noProof/>
        </w:rPr>
      </w:pPr>
      <w:r>
        <w:rPr>
          <w:noProof/>
        </w:rPr>
        <w:t xml:space="preserve">En ce qui concerne la mise en œuvre de la législation de l'Union sur la prévention et la gestion des risques de catastrophes liée à la nature de la catastrophe, la Roumanie met actuellement en œuvre la directive 2007/60/CE du Parlement européen et du Conseil du 23 octobre 2007 relative à l'évaluation et à la gestion des risques d'inondation (directive «Inondations»). Au cours d'une deuxième étape de transposition de la directive, la Roumanie a commencé à dresser, en mars 2014, des cartes des zones inondables et des cartes des risques d'inondation pour les zones désignées comme présentant d'importants risques potentiels d'inondation. </w:t>
      </w:r>
    </w:p>
    <w:p>
      <w:pPr>
        <w:pStyle w:val="ListNumber"/>
        <w:numPr>
          <w:ilvl w:val="0"/>
          <w:numId w:val="39"/>
        </w:numPr>
        <w:rPr>
          <w:noProof/>
        </w:rPr>
      </w:pPr>
      <w:r>
        <w:rPr>
          <w:noProof/>
        </w:rPr>
        <w:t>À la date de présentation de la demande, la Roumanie ne faisait l'objet d'aucune procédure d'infraction concernant la législation de l'Union liée à la nature de la catastrophe.</w:t>
      </w:r>
    </w:p>
    <w:p>
      <w:pPr>
        <w:pStyle w:val="ListNumber"/>
        <w:numPr>
          <w:ilvl w:val="0"/>
          <w:numId w:val="39"/>
        </w:numPr>
        <w:rPr>
          <w:noProof/>
        </w:rPr>
      </w:pPr>
      <w:r>
        <w:rPr>
          <w:noProof/>
        </w:rPr>
        <w:t>Les autorités roumaines n'ont pas indiqué de prise en charge des coûts éligibles par des assurances.</w:t>
      </w:r>
    </w:p>
    <w:p>
      <w:pPr>
        <w:keepNext/>
        <w:tabs>
          <w:tab w:val="left" w:pos="709"/>
        </w:tabs>
        <w:spacing w:before="360" w:after="120"/>
        <w:ind w:left="709" w:hanging="709"/>
        <w:jc w:val="both"/>
        <w:outlineLvl w:val="1"/>
        <w:rPr>
          <w:b/>
          <w:noProof/>
        </w:rPr>
      </w:pPr>
      <w:bookmarkStart w:id="23" w:name="_Toc385506034"/>
      <w:bookmarkStart w:id="24" w:name="_Toc367427550"/>
      <w:bookmarkStart w:id="25" w:name="_Toc309303299"/>
      <w:bookmarkStart w:id="26" w:name="_Toc414446443"/>
      <w:bookmarkStart w:id="27" w:name="_Toc416354624"/>
      <w:r>
        <w:rPr>
          <w:b/>
          <w:noProof/>
        </w:rPr>
        <w:t>2.2</w:t>
      </w:r>
      <w:r>
        <w:rPr>
          <w:noProof/>
        </w:rPr>
        <w:tab/>
      </w:r>
      <w:bookmarkStart w:id="28" w:name="_Toc367427554"/>
      <w:bookmarkStart w:id="29" w:name="_Toc309303300"/>
      <w:bookmarkEnd w:id="23"/>
      <w:bookmarkEnd w:id="24"/>
      <w:bookmarkEnd w:id="25"/>
      <w:r>
        <w:rPr>
          <w:b/>
          <w:noProof/>
        </w:rPr>
        <w:t>Roumanie – Inondations en été</w:t>
      </w:r>
      <w:bookmarkEnd w:id="26"/>
      <w:bookmarkEnd w:id="27"/>
    </w:p>
    <w:p>
      <w:pPr>
        <w:pStyle w:val="ListNumber"/>
        <w:numPr>
          <w:ilvl w:val="0"/>
          <w:numId w:val="40"/>
        </w:numPr>
        <w:rPr>
          <w:noProof/>
        </w:rPr>
      </w:pPr>
      <w:r>
        <w:rPr>
          <w:noProof/>
        </w:rPr>
        <w:t>Au cours de la période allant de la fin juillet à la mi-août 2014, le sud-ouest de la Roumanie a été touché par de fortes précipitations et les inondations et glissements de terrain qui ont suivi. La catastrophe a causé des dommages aux infrastructures publiques et privées, aux entreprises et au secteur agricole ainsi qu'au patrimoine culturel et aux habitations privées.</w:t>
      </w:r>
    </w:p>
    <w:p>
      <w:pPr>
        <w:pStyle w:val="ListNumber"/>
        <w:numPr>
          <w:ilvl w:val="0"/>
          <w:numId w:val="40"/>
        </w:numPr>
        <w:rPr>
          <w:noProof/>
        </w:rPr>
      </w:pPr>
      <w:r>
        <w:rPr>
          <w:noProof/>
        </w:rPr>
        <w:t>Ces inondations sont d'origine naturelle et relèvent donc du champ d'application principal du Fonds de solidarité.</w:t>
      </w:r>
    </w:p>
    <w:p>
      <w:pPr>
        <w:pStyle w:val="ListNumber"/>
        <w:numPr>
          <w:ilvl w:val="0"/>
          <w:numId w:val="40"/>
        </w:numPr>
        <w:rPr>
          <w:noProof/>
        </w:rPr>
      </w:pPr>
      <w:r>
        <w:rPr>
          <w:noProof/>
        </w:rPr>
        <w:t>La demande de la Roumanie a été reçue le 3 octobre 2014, dans le délai de douze semaines à compter de la date à laquelle le premier dommage est survenu, en l'occurrence le 28 juillet 2014. Des renseignements supplémentaires, dont le montant révisé des dommages, ont été fournis le 13 janvier 2015.</w:t>
      </w:r>
    </w:p>
    <w:p>
      <w:pPr>
        <w:pStyle w:val="ListNumber"/>
        <w:numPr>
          <w:ilvl w:val="0"/>
          <w:numId w:val="40"/>
        </w:numPr>
        <w:rPr>
          <w:noProof/>
        </w:rPr>
      </w:pPr>
      <w:r>
        <w:rPr>
          <w:noProof/>
        </w:rPr>
        <w:t>La Roumanie n'a pas demandé le paiement d'une avance.</w:t>
      </w:r>
    </w:p>
    <w:p>
      <w:pPr>
        <w:pStyle w:val="ListNumber"/>
        <w:numPr>
          <w:ilvl w:val="0"/>
          <w:numId w:val="39"/>
        </w:numPr>
        <w:rPr>
          <w:noProof/>
        </w:rPr>
      </w:pPr>
      <w:r>
        <w:rPr>
          <w:noProof/>
        </w:rPr>
        <w:t xml:space="preserve">Les autorités roumaines estiment à 171,911 millions d'EUR le montant total des dommages directs causés par la catastrophe. Ce montant représente 0,13 % du RNB de la Roumanie ou 21,9 % du seuil d'intervention du Fonds de solidarité pour une catastrophe dite «majeure» applicable à ce pays en 2014, qui s'établit à 783,738 millions d'EUR (soit 0,6 % du RNB sur la base des données de 2012). </w:t>
      </w:r>
    </w:p>
    <w:p>
      <w:pPr>
        <w:pStyle w:val="ListNumber"/>
        <w:numPr>
          <w:ilvl w:val="0"/>
          <w:numId w:val="39"/>
        </w:numPr>
        <w:rPr>
          <w:noProof/>
        </w:rPr>
      </w:pPr>
      <w:r>
        <w:rPr>
          <w:noProof/>
        </w:rPr>
        <w:t xml:space="preserve">Le montant total des dommages directs restant inférieur au seuil fixé pour une catastrophe dite «majeure» pour l'intervention du FSUE, la demande a été examinée au regard des critères applicables aux «catastrophes régionales» tels que prévus à l'article 2, paragraphe 3, du règlement, qui définit une «catastrophe régionale» comme toute catastrophe naturelle qui occasionne, dans une région au niveau NUTS 2 d'un État éligible, des dommages directs supérieurs à 1,5 % du PIB de cette région. La demande de la Roumanie ne porte que sur une seule région de niveau NUTS 2, à savoir la région de Sud-Vest Oltenia. Les dommages directs déclarés, d'un montant de 171,911 millions d'EUR, représentent 1,64 % du PIB de la région en question (10 480 millions d'EUR sur la base des chiffres de 2011) et dépassent le seuil de 1,5 % prévu à l'article 2, paragraphe 3, du règlement. La demande de la Roumanie est dès lors admissible pour une contribution du Fonds de solidarité. </w:t>
      </w:r>
    </w:p>
    <w:p>
      <w:pPr>
        <w:pStyle w:val="ListNumber"/>
        <w:numPr>
          <w:ilvl w:val="0"/>
          <w:numId w:val="39"/>
        </w:numPr>
        <w:rPr>
          <w:noProof/>
        </w:rPr>
      </w:pPr>
      <w:r>
        <w:rPr>
          <w:noProof/>
        </w:rPr>
        <w:t>En ce qui concerne l'incidence et les conséquences de la catastrophe, celle-ci a touché plus de 126 000 habitants dans cinq circonscriptions de la région de Sud-Vest Oltenia. Elle a fortement endommagé les infrastructures publiques (ruptures de digues et de barrages, dommages aux routes, aux ponts, aux installations de traitement des eaux usées et aux réseaux d'assainissement) et a dévasté la production agricole (cultures, notamment maraîchères, et vignobles). La Roumanie fait valoir que plus de 2 300 habitations privées, 20 écoles, 9 jardins d'enfants et 11 églises ont subi des dommages.</w:t>
      </w:r>
    </w:p>
    <w:p>
      <w:pPr>
        <w:pStyle w:val="ListNumber"/>
        <w:numPr>
          <w:ilvl w:val="0"/>
          <w:numId w:val="40"/>
        </w:numPr>
        <w:rPr>
          <w:noProof/>
        </w:rPr>
      </w:pPr>
      <w:r>
        <w:rPr>
          <w:noProof/>
        </w:rPr>
        <w:t>Le coût des actions urgentes de première nécessité admissibles au titre de l'article 3, paragraphe 2, du règlement a été estimé par les autorités roumaines à 93,955 millions d’EUR et a été ventilé par type d'action. La plus grande partie du coût des actions, estimée à plus de 59 millions d'EUR, concerne le rétablissement des infrastructures de transport et le deuxième poste de dépenses, d'un montant d'environ 26 millions d'EUR, la sécurisation des infrastructures de prévention.</w:t>
      </w:r>
    </w:p>
    <w:p>
      <w:pPr>
        <w:pStyle w:val="ListNumber"/>
        <w:numPr>
          <w:ilvl w:val="0"/>
          <w:numId w:val="40"/>
        </w:numPr>
        <w:rPr>
          <w:noProof/>
        </w:rPr>
      </w:pPr>
      <w:r>
        <w:rPr>
          <w:noProof/>
        </w:rPr>
        <w:t>La région de Sud-Vest Oltenia est admissible au titre des Fonds structurels et d'investissement européens (2014-2020) en tant que «région moins développée». Les autorités roumaines n'ont pas indiqué à la Commission qu'elles avaient l'intention de redéployer les crédits fournis au titre du programme des Fonds ESI vers des mesures de remise en état.</w:t>
      </w:r>
    </w:p>
    <w:p>
      <w:pPr>
        <w:pStyle w:val="ListNumber"/>
        <w:numPr>
          <w:ilvl w:val="0"/>
          <w:numId w:val="40"/>
        </w:numPr>
        <w:rPr>
          <w:noProof/>
        </w:rPr>
      </w:pPr>
      <w:r>
        <w:rPr>
          <w:noProof/>
        </w:rPr>
        <w:t xml:space="preserve">En ce qui concerne la mise en œuvre de la législation de l'Union sur la prévention et la gestion des risques de catastrophes liée à la nature de la catastrophe, la Roumanie met actuellement en œuvre la directive 2007/60/CE du Parlement européen et du Conseil du 23 octobre 2007 relative à l'évaluation et à la gestion des risques d'inondation (directive «Inondations»). Au cours d'une deuxième étape de transposition de la directive, la Roumanie a commencé à dresser, en mars 2014, des cartes des zones inondables et des cartes des risques d'inondation pour les zones désignées comme présentant d'importants risques potentiels d'inondation. </w:t>
      </w:r>
    </w:p>
    <w:p>
      <w:pPr>
        <w:pStyle w:val="ListNumber"/>
        <w:numPr>
          <w:ilvl w:val="0"/>
          <w:numId w:val="40"/>
        </w:numPr>
        <w:rPr>
          <w:noProof/>
        </w:rPr>
      </w:pPr>
      <w:r>
        <w:rPr>
          <w:noProof/>
        </w:rPr>
        <w:t>À la date de présentation de la demande, la Roumanie ne faisait l'objet d'aucune procédure d'infraction concernant la législation de l'Union liée à la nature de la catastrophe.</w:t>
      </w:r>
    </w:p>
    <w:p>
      <w:pPr>
        <w:pStyle w:val="ListNumber"/>
        <w:numPr>
          <w:ilvl w:val="0"/>
          <w:numId w:val="39"/>
        </w:numPr>
        <w:rPr>
          <w:noProof/>
        </w:rPr>
      </w:pPr>
      <w:r>
        <w:rPr>
          <w:noProof/>
        </w:rPr>
        <w:t>Les autorités roumaines ont fait savoir que les coûts éligibles n'étaient pas couverts par des assurances.</w:t>
      </w:r>
    </w:p>
    <w:p>
      <w:pPr>
        <w:keepNext/>
        <w:tabs>
          <w:tab w:val="left" w:pos="709"/>
        </w:tabs>
        <w:spacing w:before="360" w:after="120"/>
        <w:ind w:left="709" w:hanging="709"/>
        <w:jc w:val="both"/>
        <w:outlineLvl w:val="1"/>
        <w:rPr>
          <w:b/>
          <w:noProof/>
        </w:rPr>
      </w:pPr>
      <w:bookmarkStart w:id="30" w:name="_Toc414446444"/>
      <w:bookmarkStart w:id="31" w:name="_Toc416354625"/>
      <w:bookmarkStart w:id="32" w:name="_Toc385506036"/>
      <w:r>
        <w:rPr>
          <w:b/>
          <w:noProof/>
        </w:rPr>
        <w:t>2.3</w:t>
      </w:r>
      <w:r>
        <w:rPr>
          <w:noProof/>
        </w:rPr>
        <w:tab/>
      </w:r>
      <w:r>
        <w:rPr>
          <w:b/>
          <w:noProof/>
        </w:rPr>
        <w:t>Bulgarie – Inondations en été</w:t>
      </w:r>
      <w:bookmarkEnd w:id="30"/>
      <w:bookmarkEnd w:id="31"/>
    </w:p>
    <w:p>
      <w:pPr>
        <w:pStyle w:val="ListNumber"/>
        <w:numPr>
          <w:ilvl w:val="0"/>
          <w:numId w:val="41"/>
        </w:numPr>
        <w:rPr>
          <w:noProof/>
        </w:rPr>
      </w:pPr>
      <w:r>
        <w:rPr>
          <w:noProof/>
        </w:rPr>
        <w:t>Tout comme la Roumanie, la Bulgarie a souffert de pluies abondantes et violentes à la fin du mois de juillet et au début du mois d'août 2014, qui ont provoqué des dommages considérables aux infrastructures publiques et privées, aux entreprises, aux habitations et aux biens privés, et qui ont frappé de plein fouet le secteur agricole.</w:t>
      </w:r>
    </w:p>
    <w:p>
      <w:pPr>
        <w:pStyle w:val="ListNumber"/>
        <w:numPr>
          <w:ilvl w:val="0"/>
          <w:numId w:val="41"/>
        </w:numPr>
        <w:rPr>
          <w:noProof/>
        </w:rPr>
      </w:pPr>
      <w:r>
        <w:rPr>
          <w:noProof/>
        </w:rPr>
        <w:t>Ces inondations sont d'origine naturelle et relèvent donc du champ d'application principal du Fonds de solidarité.</w:t>
      </w:r>
    </w:p>
    <w:p>
      <w:pPr>
        <w:pStyle w:val="ListNumber"/>
        <w:numPr>
          <w:ilvl w:val="0"/>
          <w:numId w:val="41"/>
        </w:numPr>
        <w:rPr>
          <w:noProof/>
        </w:rPr>
      </w:pPr>
      <w:r>
        <w:rPr>
          <w:noProof/>
        </w:rPr>
        <w:t>La demande de la Bulgarie a été reçue le 23 octobre 2014, dans le délai de douze semaines à compter de la date à laquelle le premier dommage est survenu, en l'occurrence le 31 juillet 2014. Des informations actualisées ont été fournies le 12 novembre 2014.</w:t>
      </w:r>
    </w:p>
    <w:p>
      <w:pPr>
        <w:pStyle w:val="ListNumber"/>
        <w:numPr>
          <w:ilvl w:val="0"/>
          <w:numId w:val="41"/>
        </w:numPr>
        <w:rPr>
          <w:noProof/>
        </w:rPr>
      </w:pPr>
      <w:r>
        <w:rPr>
          <w:noProof/>
        </w:rPr>
        <w:t>La Bulgarie n'a pas demandé le paiement d'une avance.</w:t>
      </w:r>
    </w:p>
    <w:p>
      <w:pPr>
        <w:pStyle w:val="ListNumber"/>
        <w:numPr>
          <w:ilvl w:val="0"/>
          <w:numId w:val="41"/>
        </w:numPr>
        <w:rPr>
          <w:noProof/>
        </w:rPr>
      </w:pPr>
      <w:r>
        <w:rPr>
          <w:noProof/>
        </w:rPr>
        <w:t>Les autorités bulgares estiment à 79,344 millions d'EUR le montant total des dommages directs causés par la catastrophe. Ce montant représente 0,20 % du RNB de la Bulgarie ou 34,1 % du seuil d'intervention du Fonds de solidarité pour une catastrophe dite «majeure» applicable à ce pays en 2014, qui s'établit à 232,502 millions d'EUR (soit 0,6 % du RNB sur la base des données de 2012).</w:t>
      </w:r>
    </w:p>
    <w:p>
      <w:pPr>
        <w:pStyle w:val="ListNumber"/>
        <w:numPr>
          <w:ilvl w:val="0"/>
          <w:numId w:val="41"/>
        </w:numPr>
        <w:rPr>
          <w:noProof/>
        </w:rPr>
      </w:pPr>
      <w:r>
        <w:rPr>
          <w:noProof/>
        </w:rPr>
        <w:t xml:space="preserve">Étant donné que le montant total des dommages directs reste inférieur au seuil fixé pour une catastrophe dite «majeure» pour l'intervention du FSUE, la demande a été examinée au regard des critères applicables aux «catastrophes régionales» tels que prévus à l'article 2, paragraphe 3, du règlement qui définit une «catastrophe régionale» comme toute catastrophe naturelle qui occasionne, dans une région au niveau NUTS 2 d'un État éligible, des dommages directs supérieurs à 1,5 % du PIB de cette région. La demande de la Bulgarie ne porte que sur une seule région de niveau NUTS 2, à savoir la région de Severozapaden, située dans le nord-ouest du pays et qui constitue l'une des régions les plus pauvres de l'UE. Les dommages directs déclarés, d'un montant de 79,344 millions d'EUR, représentent 2,9 % du PIB de la région en question (2 732 millions d'EUR sur la base des chiffres de 2011) et dépassent donc le seuil de 1,5 % prévu à l'article 2, paragraphe 3, du règlement. La demande de la Bulgarie est dès lors admissible pour une contribution du FSUE. </w:t>
      </w:r>
    </w:p>
    <w:p>
      <w:pPr>
        <w:pStyle w:val="ListNumber"/>
        <w:numPr>
          <w:ilvl w:val="0"/>
          <w:numId w:val="41"/>
        </w:numPr>
        <w:rPr>
          <w:noProof/>
        </w:rPr>
      </w:pPr>
      <w:r>
        <w:rPr>
          <w:noProof/>
        </w:rPr>
        <w:t>En ce qui concerne l'incidence et les conséquences de la catastrophe, la majeure partie des dommages a touché la ville de Mizia et le village de Krushovitsa. Des routes, des rues de desserte locale, des exploitations agricoles ainsi qu'environ 700 habitations privées et édifices publics ont été inondés. Le 2 août, le maire de Mizia a déclaré l'état d'urgence et plus de 800 personnes ont dû être évacuées. Les routes et autres voies d'accès vers Mizia et les villages environnants ont été coupées. Les infrastructures publiques dans les secteurs de l'énergie, de l'eau, des transports et de l'éducation, ainsi que les biens du patrimoine culturel et les zones naturelles protégées ont subi des dommages considérables.</w:t>
      </w:r>
    </w:p>
    <w:p>
      <w:pPr>
        <w:pStyle w:val="ListNumber"/>
        <w:numPr>
          <w:ilvl w:val="0"/>
          <w:numId w:val="41"/>
        </w:numPr>
        <w:rPr>
          <w:noProof/>
        </w:rPr>
      </w:pPr>
      <w:r>
        <w:rPr>
          <w:noProof/>
        </w:rPr>
        <w:t>Le coût des actions urgentes de première nécessité admissibles au titre de l'article 3, paragraphe 2, du règlement a été estimé par les autorités bulgares à 69,108 millions d'EUR et a été ventilé par type d'action. Le poste de dépenses le plus important (30 millions d'EUR) concerne le rétablissement des infrastructures de transport. Un montant supplémentaire estimé à 19 millions d'EUR sera nécessaire pour les réparations dans le secteur de l'eau et du traitement des eaux usées.</w:t>
      </w:r>
    </w:p>
    <w:p>
      <w:pPr>
        <w:pStyle w:val="ListNumber"/>
        <w:numPr>
          <w:ilvl w:val="0"/>
          <w:numId w:val="41"/>
        </w:numPr>
        <w:rPr>
          <w:noProof/>
        </w:rPr>
      </w:pPr>
      <w:r>
        <w:rPr>
          <w:noProof/>
        </w:rPr>
        <w:t>La région sinistrée de Severozapaden est une «région moins développée» au titre des Fonds structurels et d'investissement européens (2014-2020). Les autorités bulgares n'ont pas indiqué à la Commission qu'elles avaient l'intention de redéployer les crédits fournis au titre du programme des Fonds ESI vers des mesures de remise en état.</w:t>
      </w:r>
    </w:p>
    <w:p>
      <w:pPr>
        <w:pStyle w:val="ListNumber"/>
        <w:numPr>
          <w:ilvl w:val="0"/>
          <w:numId w:val="41"/>
        </w:numPr>
        <w:rPr>
          <w:noProof/>
        </w:rPr>
      </w:pPr>
      <w:r>
        <w:rPr>
          <w:noProof/>
        </w:rPr>
        <w:t xml:space="preserve">En ce qui concerne la mise en œuvre de la législation de l'Union sur la prévention et la gestion des risques de catastrophes liée à la nature de la catastrophe, la Bulgarie met actuellement en œuvre la directive 2007/60/CE du Parlement européen et du Conseil du 23 octobre 2007 relative à l'évaluation et à la gestion des risques d'inondation (directive «Inondations»). En vertu de la législation bulgare sur les cours d'eau, une évaluation préliminaire des risques d'inondation a été effectuée pour chaque district du bassin hydrographique dans lequel avaient été identifiées des zones présentant des risques potentiels importants d'inondation. </w:t>
      </w:r>
    </w:p>
    <w:p>
      <w:pPr>
        <w:pStyle w:val="ListNumber"/>
        <w:numPr>
          <w:ilvl w:val="0"/>
          <w:numId w:val="41"/>
        </w:numPr>
        <w:rPr>
          <w:noProof/>
        </w:rPr>
      </w:pPr>
      <w:r>
        <w:rPr>
          <w:noProof/>
        </w:rPr>
        <w:t>À la date de présentation de la demande, la Bulgarie ne faisait l'objet d'aucune procédure d'infraction concernant la législation de l'Union liée à la nature de la catastrophe.</w:t>
      </w:r>
    </w:p>
    <w:p>
      <w:pPr>
        <w:pStyle w:val="ListNumber"/>
        <w:numPr>
          <w:ilvl w:val="0"/>
          <w:numId w:val="39"/>
        </w:numPr>
        <w:rPr>
          <w:noProof/>
        </w:rPr>
      </w:pPr>
      <w:r>
        <w:rPr>
          <w:noProof/>
        </w:rPr>
        <w:t>Les autorités bulgares ont fait savoir que les coûts éligibles n'étaient pas couverts par des assurances.</w:t>
      </w:r>
    </w:p>
    <w:p>
      <w:pPr>
        <w:keepNext/>
        <w:tabs>
          <w:tab w:val="left" w:pos="709"/>
        </w:tabs>
        <w:spacing w:before="360" w:after="120"/>
        <w:ind w:left="709" w:hanging="709"/>
        <w:jc w:val="both"/>
        <w:outlineLvl w:val="1"/>
        <w:rPr>
          <w:b/>
          <w:noProof/>
        </w:rPr>
      </w:pPr>
      <w:bookmarkStart w:id="33" w:name="_Toc414446445"/>
      <w:bookmarkStart w:id="34" w:name="_Toc416354626"/>
      <w:r>
        <w:rPr>
          <w:b/>
          <w:noProof/>
        </w:rPr>
        <w:t>2.4</w:t>
      </w:r>
      <w:r>
        <w:rPr>
          <w:noProof/>
        </w:rPr>
        <w:tab/>
      </w:r>
      <w:r>
        <w:rPr>
          <w:b/>
          <w:noProof/>
        </w:rPr>
        <w:t>Italie – Inondations en automne</w:t>
      </w:r>
      <w:bookmarkEnd w:id="33"/>
      <w:bookmarkEnd w:id="34"/>
    </w:p>
    <w:p>
      <w:pPr>
        <w:pStyle w:val="ListNumber"/>
        <w:numPr>
          <w:ilvl w:val="0"/>
          <w:numId w:val="42"/>
        </w:numPr>
        <w:rPr>
          <w:noProof/>
        </w:rPr>
      </w:pPr>
      <w:r>
        <w:rPr>
          <w:noProof/>
        </w:rPr>
        <w:t>Entre le 9 octobre et le 18 novembre 2014, une grande partie du nord-ouest de l'Italie a souffert de périodes récurrentes d'intempéries, avec de fortes pluies suivies d'inondations et de glissements de terrain qui ont provoqué des dommages considérables aux infrastructures publiques et privées, aux entreprises, aux habitations et aux biens privés, et qui ont frappé de plein fouet le secteur agricole.</w:t>
      </w:r>
    </w:p>
    <w:p>
      <w:pPr>
        <w:pStyle w:val="ListNumber"/>
        <w:numPr>
          <w:ilvl w:val="0"/>
          <w:numId w:val="42"/>
        </w:numPr>
        <w:rPr>
          <w:noProof/>
        </w:rPr>
      </w:pPr>
      <w:r>
        <w:rPr>
          <w:noProof/>
        </w:rPr>
        <w:t>Ces inondations sont d'origine naturelle et relèvent donc du champ d'application principal du FSUE.</w:t>
      </w:r>
    </w:p>
    <w:p>
      <w:pPr>
        <w:pStyle w:val="ListNumber"/>
        <w:numPr>
          <w:ilvl w:val="0"/>
          <w:numId w:val="42"/>
        </w:numPr>
        <w:rPr>
          <w:noProof/>
        </w:rPr>
      </w:pPr>
      <w:r>
        <w:rPr>
          <w:noProof/>
        </w:rPr>
        <w:t>La demande de l'Italie a été reçue le 23 décembre 2014, dans le délai de douze semaines à compter de la date à laquelle le premier dommage est survenu, en l'occurrence le 9 octobre 2014. Des informations actualisées ont été fournies par les autorités italiennes le 3 février 2015.</w:t>
      </w:r>
    </w:p>
    <w:p>
      <w:pPr>
        <w:pStyle w:val="ListNumber"/>
        <w:numPr>
          <w:ilvl w:val="0"/>
          <w:numId w:val="42"/>
        </w:numPr>
        <w:rPr>
          <w:noProof/>
        </w:rPr>
      </w:pPr>
      <w:r>
        <w:rPr>
          <w:noProof/>
        </w:rPr>
        <w:t>L'Italie n'a pas demandé le paiement d'une avance.</w:t>
      </w:r>
    </w:p>
    <w:p>
      <w:pPr>
        <w:pStyle w:val="ListNumber"/>
        <w:numPr>
          <w:ilvl w:val="0"/>
          <w:numId w:val="42"/>
        </w:numPr>
        <w:rPr>
          <w:noProof/>
        </w:rPr>
      </w:pPr>
      <w:r>
        <w:rPr>
          <w:noProof/>
        </w:rPr>
        <w:t>Les événements décrits dans la demande se sont produits sur une période de près de six semaines à plusieurs endroits dans cinq régions d'Italie, à savoir l'Émilie-Romagne, la Ligurie, la Lombardie, le Piémont et la Toscane. L'examen par la Commission de la demande et des arguments qui y sont avancés a néanmoins confirmé que ces événements pouvaient tous être attribués au même phénomène météorologique. Ces événements peuvent dès lors être considérés comme une catastrophe naturelle unique, au sens du règlement (CE) n° 2012/2002 du Conseil, qui relève du champ d'intervention du FSUE.</w:t>
      </w:r>
    </w:p>
    <w:p>
      <w:pPr>
        <w:pStyle w:val="ListNumber"/>
        <w:numPr>
          <w:ilvl w:val="0"/>
          <w:numId w:val="42"/>
        </w:numPr>
        <w:rPr>
          <w:noProof/>
        </w:rPr>
      </w:pPr>
      <w:r>
        <w:rPr>
          <w:noProof/>
        </w:rPr>
        <w:t xml:space="preserve">Les autorités italiennes ont estimé à 2 241,052 millions d'EUR le montant total des dommages directs causés par la catastrophe. Ce montant représente 70,4 % du seuil d'intervention du Fonds de solidarité pour une catastrophe dite «majeure» applicable à ce pays en 2014, qui s'établit à 3 184 millions d'EUR (soit 3 milliards d'EUR aux prix de 2011). </w:t>
      </w:r>
    </w:p>
    <w:p>
      <w:pPr>
        <w:pStyle w:val="ListNumber"/>
        <w:numPr>
          <w:ilvl w:val="0"/>
          <w:numId w:val="42"/>
        </w:numPr>
        <w:rPr>
          <w:noProof/>
        </w:rPr>
      </w:pPr>
      <w:r>
        <w:rPr>
          <w:noProof/>
        </w:rPr>
        <w:t xml:space="preserve">Le montant total des dommages directs restant inférieur au seuil fixé pour une catastrophe dite «majeure» pour l'intervention du Fonds de solidarité, la demande a été examinée au regard des critères applicables aux «catastrophes régionales» tels que prévus à l'article 2, paragraphe 3, du règlement qui définit une «catastrophe régionale» comme toute catastrophe naturelle qui occasionne, dans une région au niveau NUTS 2 d'un État éligible, des dommages directs supérieurs à 1,5 % du PIB de cette région. Lorsque plusieurs régions au niveau NUTS 2 sont touchées, comme en l'espèce, le seuil est appliqué au PIB moyen de ces régions, pondéré en fonction de la part du total des dommages occasionnés dans chaque région. Sur la base des chiffres présentés par les autorités italiennes, les dommages provoqués dans les cinq régions touchées représentent 1,84 % du PIB régional pondéré et dépassent donc le seuil de 1,5 % prévu à l'article 2, paragraphe 3, du règlement. La demande de l'Italie est dès lors admissible pour une contribution du FSUE. </w:t>
      </w:r>
    </w:p>
    <w:p>
      <w:pPr>
        <w:pStyle w:val="ListNumber"/>
        <w:numPr>
          <w:ilvl w:val="0"/>
          <w:numId w:val="42"/>
        </w:numPr>
        <w:rPr>
          <w:noProof/>
        </w:rPr>
      </w:pPr>
      <w:r>
        <w:rPr>
          <w:noProof/>
        </w:rPr>
        <w:t>En ce qui concerne l'incidence et les conséquences de la catastrophe, celle-ci a touché les cinq régions de manière différente, en fonction des conditions locales spécifiques. On a notamment constaté de nombreux glissements de terrain et coulées de boue, des inondations dans les bassins hydrographiques, des rivières sortant de leur lit, la submersion de ponts et d'autres infrastructures. Dans certains cas, il était estimé que les précipitations correspondaient à des périodes de retour d'un siècle voire de plusieurs siècles. Dans l'ensemble, la catastrophe a fait onze morts et a entraîné l'évacuation d'environ 3 000 personnes. Des dommages importants ont été causés à l'environnement, aux infrastructures publiques (routes, eau, réseau d'assainissement, gaz et électricité), à l'agriculture ainsi qu'aux secteurs économiques et productifs étant donné que les inondations ont touché plusieurs zones urbaines (Gênes étant l'exemple le plus marquant) à forte densité de population. La Ligurie est la région qui a été la plus durement touchée (42 % du total des dommages occasionnés), suivie par l'Émilie-Romagne (21 %), le Piémont (17 %), la Lombardie (12 %) et la Toscane (8 %).</w:t>
      </w:r>
    </w:p>
    <w:p>
      <w:pPr>
        <w:pStyle w:val="ListNumber"/>
        <w:numPr>
          <w:ilvl w:val="0"/>
          <w:numId w:val="42"/>
        </w:numPr>
        <w:rPr>
          <w:noProof/>
        </w:rPr>
      </w:pPr>
      <w:r>
        <w:rPr>
          <w:noProof/>
        </w:rPr>
        <w:t>Le coût des actions urgentes de première nécessité admissibles au titre de l'article 3, paragraphe 2, du règlement a été estimé par les autorités italiennes à 434,314 millions d'EUR et a été ventilé par type d'action. La plus grande partie du coût des actions urgentes (250 millions d'EUR) concerne des actions de remise en état d'infrastructures et d'installations dans les domaines de l'énergie, de l'eau et du traitement des eaux usées, des télécommunications, des transports, de la santé et de l'éducation. Le deuxième poste de dépenses concerne la sécurisation des infrastructures de prévention et des mesures visant à protéger le patrimoine culturel et s'élève à 135 millions d'EUR.</w:t>
      </w:r>
    </w:p>
    <w:p>
      <w:pPr>
        <w:pStyle w:val="ListNumber"/>
        <w:numPr>
          <w:ilvl w:val="0"/>
          <w:numId w:val="42"/>
        </w:numPr>
        <w:rPr>
          <w:noProof/>
        </w:rPr>
      </w:pPr>
      <w:r>
        <w:rPr>
          <w:noProof/>
        </w:rPr>
        <w:t>Les régions sinistrées sont admissibles au titre des Fonds structurels et d'investissement européens (2014-2020) en tant que «régions plus développées». Les autorités italiennes n'ont pas indiqué à la Commission qu'elles avaient l'intention de redéployer les crédits fournis au titre du programme des Fonds ESI vers des mesures de remise en état.</w:t>
      </w:r>
    </w:p>
    <w:p>
      <w:pPr>
        <w:pStyle w:val="ListNumber"/>
        <w:numPr>
          <w:ilvl w:val="0"/>
          <w:numId w:val="42"/>
        </w:numPr>
        <w:rPr>
          <w:noProof/>
        </w:rPr>
      </w:pPr>
      <w:r>
        <w:rPr>
          <w:noProof/>
        </w:rPr>
        <w:t xml:space="preserve">La demande présente en détail la mise en œuvre de la législation de l'Union sur la prévention et la gestion des risques de catastrophes liée à la nature de la catastrophe. L'Italie a indiqué qu'elle mettait actuellement en œuvre la directive 2007/60/CE (directive «Inondations») sur la base du décret législatif n° 49 du 23 février 2010. Elle signale qu'elle a mené une évaluation préliminaire des risques d'inondation pour chaque district du bassin hydrographique dans lequel avaient été identifiées des zones présentant d'importants risques potentiels d'inondation. </w:t>
      </w:r>
    </w:p>
    <w:p>
      <w:pPr>
        <w:pStyle w:val="ListNumber"/>
        <w:numPr>
          <w:ilvl w:val="0"/>
          <w:numId w:val="42"/>
        </w:numPr>
        <w:rPr>
          <w:noProof/>
        </w:rPr>
      </w:pPr>
      <w:r>
        <w:rPr>
          <w:noProof/>
        </w:rPr>
        <w:t>À la date de présentation de la demande, l'Italie ne faisait l'objet d'aucune procédure d'infraction concernant la législation de l'Union liée à la nature de la catastrophe.</w:t>
      </w:r>
    </w:p>
    <w:p>
      <w:pPr>
        <w:pStyle w:val="ListNumber"/>
        <w:numPr>
          <w:ilvl w:val="0"/>
          <w:numId w:val="39"/>
        </w:numPr>
        <w:rPr>
          <w:noProof/>
        </w:rPr>
      </w:pPr>
      <w:r>
        <w:rPr>
          <w:noProof/>
        </w:rPr>
        <w:t>Les autorités italiennes ont fait savoir que les coûts éligibles n'étaient pas couverts par des assurances.</w:t>
      </w:r>
    </w:p>
    <w:p>
      <w:pPr>
        <w:keepNext/>
        <w:tabs>
          <w:tab w:val="left" w:pos="850"/>
        </w:tabs>
        <w:spacing w:before="360" w:after="120"/>
        <w:ind w:left="851" w:hanging="851"/>
        <w:jc w:val="both"/>
        <w:outlineLvl w:val="0"/>
        <w:rPr>
          <w:b/>
          <w:smallCaps/>
          <w:noProof/>
        </w:rPr>
      </w:pPr>
      <w:bookmarkStart w:id="35" w:name="_Toc414446446"/>
      <w:bookmarkStart w:id="36" w:name="_Toc416354627"/>
      <w:r>
        <w:rPr>
          <w:b/>
          <w:smallCaps/>
          <w:noProof/>
        </w:rPr>
        <w:t>3.</w:t>
      </w:r>
      <w:r>
        <w:rPr>
          <w:noProof/>
        </w:rPr>
        <w:tab/>
      </w:r>
      <w:r>
        <w:rPr>
          <w:b/>
          <w:smallCaps/>
          <w:noProof/>
        </w:rPr>
        <w:t>Financement</w:t>
      </w:r>
      <w:bookmarkEnd w:id="28"/>
      <w:bookmarkEnd w:id="29"/>
      <w:bookmarkEnd w:id="32"/>
      <w:bookmarkEnd w:id="35"/>
      <w:bookmarkEnd w:id="36"/>
    </w:p>
    <w:p>
      <w:pPr>
        <w:spacing w:before="360"/>
        <w:jc w:val="both"/>
        <w:rPr>
          <w:noProof/>
        </w:rPr>
      </w:pPr>
      <w:r>
        <w:rPr>
          <w:noProof/>
        </w:rPr>
        <w:t>La solidarité ayant été la principale justification de la création du Fonds, la Commission estime que l'aide accordée au titre de celui-ci doit être progressive. Cela signifie que, conformément à la pratique antérieure, la part des dommages dépassant le seuil d'intervention du Fonds pour une catastrophe dite «majeure» (soit 0,6 % du RNB ou 3 milliards d'EUR aux prix de 2011, le montant le moins élevé étant retenu) devrait bénéficier d'une intensité d'aide supérieure à celle accordée pour la part des dommages qui ne dépasse pas le seuil. Les taux appliqués dans le passé pour calculer les subventions allouées lors de catastrophes majeures étaient de 2,5 % du total des dommages directs au-dessous du seuil et de 6 % au-dessus. En ce qui concerne les catastrophes régionales et les catastrophes reconnues en vertu de la disposition relative aux pays voisins, le taux s'élève à 2,5 %. Ce taux a été appliqué dans les quatre cas ci-dessous étant donné qu'aucun d'entre eux ne dépassait le seuil fixé respectivement pour une catastrophe dite «majeure».</w:t>
      </w:r>
    </w:p>
    <w:p>
      <w:pPr>
        <w:spacing w:before="360"/>
        <w:jc w:val="both"/>
        <w:rPr>
          <w:noProof/>
        </w:rPr>
      </w:pPr>
      <w:r>
        <w:rPr>
          <w:noProof/>
        </w:rPr>
        <w:t>La Commission propose dès lors d'appliquer les mêmes taux et de mobiliser les montants d'aides suivants:</w:t>
      </w:r>
    </w:p>
    <w:tbl>
      <w:tblPr>
        <w:tblW w:w="9210" w:type="dxa"/>
        <w:jc w:val="center"/>
        <w:tblInd w:w="226" w:type="dxa"/>
        <w:tblLayout w:type="fixed"/>
        <w:tblLook w:val="04A0" w:firstRow="1" w:lastRow="0" w:firstColumn="1" w:lastColumn="0" w:noHBand="0" w:noVBand="1"/>
      </w:tblPr>
      <w:tblGrid>
        <w:gridCol w:w="1770"/>
        <w:gridCol w:w="1061"/>
        <w:gridCol w:w="1276"/>
        <w:gridCol w:w="1065"/>
        <w:gridCol w:w="993"/>
        <w:gridCol w:w="1134"/>
        <w:gridCol w:w="850"/>
        <w:gridCol w:w="1061"/>
      </w:tblGrid>
      <w:tr>
        <w:trPr>
          <w:trHeight w:val="336"/>
          <w:jc w:val="center"/>
        </w:trPr>
        <w:tc>
          <w:tcPr>
            <w:tcW w:w="1769" w:type="dxa"/>
            <w:tcBorders>
              <w:top w:val="nil"/>
              <w:left w:val="nil"/>
              <w:bottom w:val="single" w:sz="4" w:space="0" w:color="auto"/>
              <w:right w:val="nil"/>
            </w:tcBorders>
          </w:tcPr>
          <w:p>
            <w:pPr>
              <w:jc w:val="center"/>
              <w:rPr>
                <w:b/>
                <w:noProof/>
                <w:snapToGrid w:val="0"/>
                <w:sz w:val="18"/>
                <w:szCs w:val="18"/>
              </w:rPr>
            </w:pPr>
          </w:p>
        </w:tc>
        <w:tc>
          <w:tcPr>
            <w:tcW w:w="1061" w:type="dxa"/>
            <w:tcBorders>
              <w:top w:val="nil"/>
              <w:left w:val="nil"/>
              <w:bottom w:val="single" w:sz="4" w:space="0" w:color="auto"/>
              <w:right w:val="nil"/>
            </w:tcBorders>
          </w:tcPr>
          <w:p>
            <w:pPr>
              <w:ind w:right="59"/>
              <w:jc w:val="center"/>
              <w:rPr>
                <w:i/>
                <w:noProof/>
                <w:snapToGrid w:val="0"/>
                <w:sz w:val="18"/>
                <w:szCs w:val="18"/>
              </w:rPr>
            </w:pPr>
          </w:p>
        </w:tc>
        <w:tc>
          <w:tcPr>
            <w:tcW w:w="1276" w:type="dxa"/>
            <w:tcBorders>
              <w:top w:val="nil"/>
              <w:left w:val="nil"/>
              <w:bottom w:val="single" w:sz="4" w:space="0" w:color="auto"/>
              <w:right w:val="nil"/>
            </w:tcBorders>
          </w:tcPr>
          <w:p>
            <w:pPr>
              <w:jc w:val="center"/>
              <w:rPr>
                <w:i/>
                <w:noProof/>
                <w:snapToGrid w:val="0"/>
                <w:sz w:val="18"/>
                <w:szCs w:val="18"/>
              </w:rPr>
            </w:pPr>
          </w:p>
        </w:tc>
        <w:tc>
          <w:tcPr>
            <w:tcW w:w="1065" w:type="dxa"/>
            <w:tcBorders>
              <w:top w:val="nil"/>
              <w:left w:val="nil"/>
              <w:bottom w:val="single" w:sz="4" w:space="0" w:color="auto"/>
              <w:right w:val="nil"/>
            </w:tcBorders>
          </w:tcPr>
          <w:p>
            <w:pPr>
              <w:jc w:val="center"/>
              <w:rPr>
                <w:i/>
                <w:noProof/>
                <w:snapToGrid w:val="0"/>
                <w:sz w:val="18"/>
                <w:szCs w:val="18"/>
              </w:rPr>
            </w:pPr>
          </w:p>
        </w:tc>
        <w:tc>
          <w:tcPr>
            <w:tcW w:w="993" w:type="dxa"/>
            <w:tcBorders>
              <w:top w:val="nil"/>
              <w:left w:val="nil"/>
              <w:bottom w:val="single" w:sz="4" w:space="0" w:color="auto"/>
              <w:right w:val="nil"/>
            </w:tcBorders>
          </w:tcPr>
          <w:p>
            <w:pPr>
              <w:jc w:val="center"/>
              <w:rPr>
                <w:i/>
                <w:noProof/>
                <w:snapToGrid w:val="0"/>
                <w:sz w:val="18"/>
                <w:szCs w:val="18"/>
              </w:rPr>
            </w:pPr>
          </w:p>
        </w:tc>
        <w:tc>
          <w:tcPr>
            <w:tcW w:w="1134" w:type="dxa"/>
            <w:tcBorders>
              <w:top w:val="nil"/>
              <w:left w:val="nil"/>
              <w:bottom w:val="single" w:sz="4" w:space="0" w:color="auto"/>
              <w:right w:val="nil"/>
            </w:tcBorders>
          </w:tcPr>
          <w:p>
            <w:pPr>
              <w:jc w:val="center"/>
              <w:rPr>
                <w:i/>
                <w:noProof/>
                <w:snapToGrid w:val="0"/>
                <w:sz w:val="18"/>
                <w:szCs w:val="18"/>
              </w:rPr>
            </w:pPr>
          </w:p>
        </w:tc>
        <w:tc>
          <w:tcPr>
            <w:tcW w:w="850" w:type="dxa"/>
            <w:tcBorders>
              <w:top w:val="nil"/>
              <w:left w:val="nil"/>
              <w:bottom w:val="single" w:sz="4" w:space="0" w:color="auto"/>
              <w:right w:val="nil"/>
            </w:tcBorders>
          </w:tcPr>
          <w:p>
            <w:pPr>
              <w:jc w:val="center"/>
              <w:rPr>
                <w:i/>
                <w:noProof/>
                <w:snapToGrid w:val="0"/>
                <w:sz w:val="18"/>
                <w:szCs w:val="18"/>
              </w:rPr>
            </w:pPr>
          </w:p>
        </w:tc>
        <w:tc>
          <w:tcPr>
            <w:tcW w:w="1061" w:type="dxa"/>
            <w:tcBorders>
              <w:top w:val="nil"/>
              <w:left w:val="nil"/>
              <w:bottom w:val="single" w:sz="4" w:space="0" w:color="auto"/>
              <w:right w:val="nil"/>
            </w:tcBorders>
            <w:vAlign w:val="center"/>
            <w:hideMark/>
          </w:tcPr>
          <w:p>
            <w:pPr>
              <w:jc w:val="right"/>
              <w:rPr>
                <w:i/>
                <w:noProof/>
                <w:snapToGrid w:val="0"/>
                <w:sz w:val="18"/>
                <w:szCs w:val="18"/>
              </w:rPr>
            </w:pPr>
            <w:r>
              <w:rPr>
                <w:i/>
                <w:noProof/>
                <w:snapToGrid w:val="0"/>
                <w:sz w:val="18"/>
              </w:rPr>
              <w:t>(en EUR)</w:t>
            </w:r>
          </w:p>
        </w:tc>
      </w:tr>
      <w:tr>
        <w:trPr>
          <w:trHeight w:val="788"/>
          <w:jc w:val="center"/>
        </w:trPr>
        <w:tc>
          <w:tcPr>
            <w:tcW w:w="1769" w:type="dxa"/>
            <w:tcBorders>
              <w:top w:val="single" w:sz="4" w:space="0" w:color="auto"/>
              <w:left w:val="single" w:sz="4" w:space="0" w:color="auto"/>
              <w:bottom w:val="dotted" w:sz="4" w:space="0" w:color="auto"/>
              <w:right w:val="dotted" w:sz="4" w:space="0" w:color="auto"/>
            </w:tcBorders>
            <w:shd w:val="clear" w:color="auto" w:fill="EEECE1"/>
            <w:hideMark/>
          </w:tcPr>
          <w:p>
            <w:pPr>
              <w:rPr>
                <w:b/>
                <w:noProof/>
                <w:snapToGrid w:val="0"/>
                <w:sz w:val="18"/>
                <w:szCs w:val="18"/>
              </w:rPr>
            </w:pPr>
            <w:r>
              <w:rPr>
                <w:b/>
                <w:noProof/>
                <w:snapToGrid w:val="0"/>
                <w:sz w:val="18"/>
              </w:rPr>
              <w:t>Catastrophe</w:t>
            </w:r>
          </w:p>
        </w:tc>
        <w:tc>
          <w:tcPr>
            <w:tcW w:w="1061" w:type="dxa"/>
            <w:tcBorders>
              <w:top w:val="single" w:sz="4" w:space="0" w:color="auto"/>
              <w:left w:val="dotted" w:sz="4" w:space="0" w:color="auto"/>
              <w:bottom w:val="dotted" w:sz="4" w:space="0" w:color="auto"/>
              <w:right w:val="dotted" w:sz="4" w:space="0" w:color="auto"/>
            </w:tcBorders>
            <w:shd w:val="clear" w:color="auto" w:fill="EEECE1"/>
            <w:hideMark/>
          </w:tcPr>
          <w:p>
            <w:pPr>
              <w:ind w:right="59"/>
              <w:jc w:val="center"/>
              <w:rPr>
                <w:i/>
                <w:noProof/>
                <w:snapToGrid w:val="0"/>
                <w:sz w:val="18"/>
                <w:szCs w:val="18"/>
              </w:rPr>
            </w:pPr>
            <w:r>
              <w:rPr>
                <w:i/>
                <w:noProof/>
                <w:snapToGrid w:val="0"/>
                <w:sz w:val="18"/>
              </w:rPr>
              <w:t>Dommages directs</w:t>
            </w:r>
            <w:r>
              <w:rPr>
                <w:noProof/>
              </w:rPr>
              <w:br/>
            </w:r>
            <w:r>
              <w:rPr>
                <w:i/>
                <w:noProof/>
                <w:snapToGrid w:val="0"/>
                <w:sz w:val="18"/>
              </w:rPr>
              <w:t>(en Mio EUR)</w:t>
            </w:r>
          </w:p>
        </w:tc>
        <w:tc>
          <w:tcPr>
            <w:tcW w:w="1276" w:type="dxa"/>
            <w:tcBorders>
              <w:top w:val="single" w:sz="4" w:space="0" w:color="auto"/>
              <w:left w:val="dotted" w:sz="4" w:space="0" w:color="auto"/>
              <w:bottom w:val="dotted" w:sz="4" w:space="0" w:color="auto"/>
              <w:right w:val="dotted" w:sz="4" w:space="0" w:color="auto"/>
            </w:tcBorders>
            <w:shd w:val="clear" w:color="auto" w:fill="EEECE1"/>
            <w:hideMark/>
          </w:tcPr>
          <w:p>
            <w:pPr>
              <w:jc w:val="center"/>
              <w:rPr>
                <w:i/>
                <w:noProof/>
                <w:snapToGrid w:val="0"/>
                <w:sz w:val="18"/>
                <w:szCs w:val="18"/>
              </w:rPr>
            </w:pPr>
            <w:r>
              <w:rPr>
                <w:i/>
                <w:noProof/>
                <w:snapToGrid w:val="0"/>
                <w:sz w:val="18"/>
              </w:rPr>
              <w:t>Seuil «catastrophe régionale» appliqué (en Mio EUR)</w:t>
            </w:r>
          </w:p>
        </w:tc>
        <w:tc>
          <w:tcPr>
            <w:tcW w:w="1065" w:type="dxa"/>
            <w:tcBorders>
              <w:top w:val="single" w:sz="4" w:space="0" w:color="auto"/>
              <w:left w:val="dotted" w:sz="4" w:space="0" w:color="auto"/>
              <w:bottom w:val="dotted" w:sz="4" w:space="0" w:color="auto"/>
              <w:right w:val="dotted" w:sz="4" w:space="0" w:color="auto"/>
            </w:tcBorders>
            <w:shd w:val="clear" w:color="auto" w:fill="EEECE1"/>
            <w:hideMark/>
          </w:tcPr>
          <w:p>
            <w:pPr>
              <w:jc w:val="center"/>
              <w:rPr>
                <w:i/>
                <w:noProof/>
                <w:snapToGrid w:val="0"/>
                <w:sz w:val="18"/>
                <w:szCs w:val="18"/>
              </w:rPr>
            </w:pPr>
            <w:r>
              <w:rPr>
                <w:i/>
                <w:noProof/>
                <w:snapToGrid w:val="0"/>
                <w:sz w:val="18"/>
              </w:rPr>
              <w:t>Seuil «catastrophe majeure»</w:t>
            </w:r>
            <w:r>
              <w:rPr>
                <w:noProof/>
              </w:rPr>
              <w:br/>
            </w:r>
            <w:r>
              <w:rPr>
                <w:i/>
                <w:noProof/>
                <w:snapToGrid w:val="0"/>
                <w:sz w:val="18"/>
              </w:rPr>
              <w:t>(en Mio EUR)</w:t>
            </w:r>
          </w:p>
        </w:tc>
        <w:tc>
          <w:tcPr>
            <w:tcW w:w="993" w:type="dxa"/>
            <w:tcBorders>
              <w:top w:val="single" w:sz="4" w:space="0" w:color="auto"/>
              <w:left w:val="dotted" w:sz="4" w:space="0" w:color="auto"/>
              <w:bottom w:val="dotted" w:sz="4" w:space="0" w:color="auto"/>
              <w:right w:val="dotted" w:sz="4" w:space="0" w:color="auto"/>
            </w:tcBorders>
            <w:shd w:val="clear" w:color="auto" w:fill="EEECE1"/>
            <w:hideMark/>
          </w:tcPr>
          <w:p>
            <w:pPr>
              <w:jc w:val="center"/>
              <w:rPr>
                <w:i/>
                <w:noProof/>
                <w:snapToGrid w:val="0"/>
                <w:sz w:val="18"/>
                <w:szCs w:val="18"/>
              </w:rPr>
            </w:pPr>
            <w:r>
              <w:rPr>
                <w:i/>
                <w:noProof/>
                <w:snapToGrid w:val="0"/>
                <w:sz w:val="18"/>
              </w:rPr>
              <w:t>Coût total des actions éligibles</w:t>
            </w:r>
            <w:r>
              <w:rPr>
                <w:noProof/>
              </w:rPr>
              <w:br/>
            </w:r>
            <w:r>
              <w:rPr>
                <w:i/>
                <w:noProof/>
                <w:snapToGrid w:val="0"/>
                <w:sz w:val="18"/>
              </w:rPr>
              <w:t>(en Mio EUR)</w:t>
            </w:r>
          </w:p>
        </w:tc>
        <w:tc>
          <w:tcPr>
            <w:tcW w:w="1134" w:type="dxa"/>
            <w:tcBorders>
              <w:top w:val="single" w:sz="4" w:space="0" w:color="auto"/>
              <w:left w:val="dotted" w:sz="4" w:space="0" w:color="auto"/>
              <w:bottom w:val="dotted" w:sz="4" w:space="0" w:color="auto"/>
              <w:right w:val="dotted" w:sz="4" w:space="0" w:color="auto"/>
            </w:tcBorders>
            <w:shd w:val="clear" w:color="auto" w:fill="EEECE1"/>
            <w:hideMark/>
          </w:tcPr>
          <w:p>
            <w:pPr>
              <w:jc w:val="center"/>
              <w:rPr>
                <w:i/>
                <w:noProof/>
                <w:snapToGrid w:val="0"/>
                <w:sz w:val="18"/>
                <w:szCs w:val="18"/>
              </w:rPr>
            </w:pPr>
            <w:r>
              <w:rPr>
                <w:i/>
                <w:noProof/>
                <w:snapToGrid w:val="0"/>
                <w:sz w:val="18"/>
              </w:rPr>
              <w:t>2,5 % des dommages directs à concurrence du seuil (en EUR)</w:t>
            </w:r>
          </w:p>
        </w:tc>
        <w:tc>
          <w:tcPr>
            <w:tcW w:w="850" w:type="dxa"/>
            <w:tcBorders>
              <w:top w:val="single" w:sz="4" w:space="0" w:color="auto"/>
              <w:left w:val="dotted" w:sz="4" w:space="0" w:color="auto"/>
              <w:bottom w:val="dotted" w:sz="4" w:space="0" w:color="auto"/>
              <w:right w:val="dotted" w:sz="4" w:space="0" w:color="auto"/>
            </w:tcBorders>
            <w:shd w:val="clear" w:color="auto" w:fill="EEECE1"/>
            <w:hideMark/>
          </w:tcPr>
          <w:p>
            <w:pPr>
              <w:jc w:val="center"/>
              <w:rPr>
                <w:i/>
                <w:noProof/>
                <w:snapToGrid w:val="0"/>
                <w:sz w:val="18"/>
                <w:szCs w:val="18"/>
              </w:rPr>
            </w:pPr>
            <w:r>
              <w:rPr>
                <w:i/>
                <w:noProof/>
                <w:snapToGrid w:val="0"/>
                <w:sz w:val="18"/>
              </w:rPr>
              <w:t>Écrêtement</w:t>
            </w:r>
          </w:p>
        </w:tc>
        <w:tc>
          <w:tcPr>
            <w:tcW w:w="1061" w:type="dxa"/>
            <w:tcBorders>
              <w:top w:val="single" w:sz="4" w:space="0" w:color="auto"/>
              <w:left w:val="dotted" w:sz="4" w:space="0" w:color="auto"/>
              <w:bottom w:val="dotted" w:sz="4" w:space="0" w:color="auto"/>
              <w:right w:val="single" w:sz="4" w:space="0" w:color="auto"/>
            </w:tcBorders>
            <w:shd w:val="clear" w:color="auto" w:fill="EEECE1"/>
            <w:hideMark/>
          </w:tcPr>
          <w:p>
            <w:pPr>
              <w:jc w:val="center"/>
              <w:rPr>
                <w:noProof/>
                <w:snapToGrid w:val="0"/>
                <w:sz w:val="18"/>
                <w:szCs w:val="18"/>
              </w:rPr>
            </w:pPr>
            <w:r>
              <w:rPr>
                <w:b/>
                <w:noProof/>
                <w:snapToGrid w:val="0"/>
                <w:sz w:val="18"/>
              </w:rPr>
              <w:t>Montant total de l'aide proposée (en EUR)</w:t>
            </w:r>
          </w:p>
        </w:tc>
      </w:tr>
      <w:tr>
        <w:trPr>
          <w:jc w:val="center"/>
        </w:trPr>
        <w:tc>
          <w:tcPr>
            <w:tcW w:w="1769" w:type="dxa"/>
            <w:tcBorders>
              <w:top w:val="dotted" w:sz="4" w:space="0" w:color="auto"/>
              <w:left w:val="single" w:sz="4" w:space="0" w:color="auto"/>
              <w:bottom w:val="dotted" w:sz="4" w:space="0" w:color="auto"/>
              <w:right w:val="dotted" w:sz="4" w:space="0" w:color="auto"/>
            </w:tcBorders>
            <w:shd w:val="clear" w:color="auto" w:fill="EEECE1"/>
            <w:vAlign w:val="center"/>
            <w:hideMark/>
          </w:tcPr>
          <w:p>
            <w:pPr>
              <w:spacing w:before="40" w:after="40"/>
              <w:rPr>
                <w:noProof/>
                <w:snapToGrid w:val="0"/>
                <w:sz w:val="18"/>
                <w:szCs w:val="18"/>
              </w:rPr>
            </w:pPr>
            <w:r>
              <w:rPr>
                <w:noProof/>
                <w:snapToGrid w:val="0"/>
                <w:sz w:val="18"/>
              </w:rPr>
              <w:t>ROUMANIE (inondations au printemps)</w:t>
            </w:r>
          </w:p>
        </w:tc>
        <w:tc>
          <w:tcPr>
            <w:tcW w:w="1061" w:type="dxa"/>
            <w:tcBorders>
              <w:top w:val="dotted" w:sz="4" w:space="0" w:color="auto"/>
              <w:left w:val="dotted" w:sz="4" w:space="0" w:color="auto"/>
              <w:bottom w:val="dotted" w:sz="4" w:space="0" w:color="auto"/>
              <w:right w:val="dotted" w:sz="4" w:space="0" w:color="auto"/>
            </w:tcBorders>
            <w:vAlign w:val="center"/>
            <w:hideMark/>
          </w:tcPr>
          <w:p>
            <w:pPr>
              <w:spacing w:before="40" w:after="40"/>
              <w:ind w:right="35"/>
              <w:jc w:val="right"/>
              <w:rPr>
                <w:i/>
                <w:noProof/>
                <w:snapToGrid w:val="0"/>
                <w:sz w:val="18"/>
                <w:szCs w:val="18"/>
              </w:rPr>
            </w:pPr>
            <w:r>
              <w:rPr>
                <w:i/>
                <w:noProof/>
                <w:snapToGrid w:val="0"/>
                <w:sz w:val="18"/>
              </w:rPr>
              <w:t>167,927</w:t>
            </w:r>
          </w:p>
        </w:tc>
        <w:tc>
          <w:tcPr>
            <w:tcW w:w="1276" w:type="dxa"/>
            <w:tcBorders>
              <w:top w:val="dotted" w:sz="4" w:space="0" w:color="auto"/>
              <w:left w:val="dotted" w:sz="4" w:space="0" w:color="auto"/>
              <w:bottom w:val="dotted" w:sz="4" w:space="0" w:color="auto"/>
              <w:right w:val="dotted" w:sz="4" w:space="0" w:color="auto"/>
            </w:tcBorders>
            <w:vAlign w:val="center"/>
            <w:hideMark/>
          </w:tcPr>
          <w:p>
            <w:pPr>
              <w:spacing w:before="40" w:after="40"/>
              <w:ind w:right="35"/>
              <w:jc w:val="right"/>
              <w:rPr>
                <w:i/>
                <w:noProof/>
                <w:snapToGrid w:val="0"/>
                <w:sz w:val="18"/>
                <w:szCs w:val="18"/>
              </w:rPr>
            </w:pPr>
            <w:r>
              <w:rPr>
                <w:i/>
                <w:noProof/>
                <w:snapToGrid w:val="0"/>
                <w:sz w:val="18"/>
              </w:rPr>
              <w:t>~</w:t>
            </w:r>
          </w:p>
        </w:tc>
        <w:tc>
          <w:tcPr>
            <w:tcW w:w="1065" w:type="dxa"/>
            <w:tcBorders>
              <w:top w:val="dotted" w:sz="4" w:space="0" w:color="auto"/>
              <w:left w:val="dotted" w:sz="4" w:space="0" w:color="auto"/>
              <w:bottom w:val="dotted" w:sz="4" w:space="0" w:color="auto"/>
              <w:right w:val="dotted" w:sz="4" w:space="0" w:color="auto"/>
            </w:tcBorders>
            <w:vAlign w:val="center"/>
            <w:hideMark/>
          </w:tcPr>
          <w:p>
            <w:pPr>
              <w:spacing w:before="40" w:after="40"/>
              <w:ind w:right="35"/>
              <w:jc w:val="right"/>
              <w:rPr>
                <w:i/>
                <w:noProof/>
                <w:snapToGrid w:val="0"/>
                <w:sz w:val="18"/>
                <w:szCs w:val="18"/>
              </w:rPr>
            </w:pPr>
            <w:r>
              <w:rPr>
                <w:i/>
                <w:noProof/>
                <w:snapToGrid w:val="0"/>
                <w:sz w:val="18"/>
              </w:rPr>
              <w:t>783,738</w:t>
            </w:r>
          </w:p>
        </w:tc>
        <w:tc>
          <w:tcPr>
            <w:tcW w:w="993" w:type="dxa"/>
            <w:tcBorders>
              <w:top w:val="dotted" w:sz="4" w:space="0" w:color="auto"/>
              <w:left w:val="dotted" w:sz="4" w:space="0" w:color="auto"/>
              <w:bottom w:val="dotted" w:sz="4" w:space="0" w:color="auto"/>
              <w:right w:val="dotted" w:sz="4" w:space="0" w:color="auto"/>
            </w:tcBorders>
            <w:vAlign w:val="center"/>
            <w:hideMark/>
          </w:tcPr>
          <w:p>
            <w:pPr>
              <w:spacing w:before="40" w:after="40"/>
              <w:ind w:right="35"/>
              <w:jc w:val="right"/>
              <w:rPr>
                <w:i/>
                <w:noProof/>
                <w:snapToGrid w:val="0"/>
                <w:sz w:val="18"/>
                <w:szCs w:val="18"/>
              </w:rPr>
            </w:pPr>
            <w:r>
              <w:rPr>
                <w:i/>
                <w:noProof/>
                <w:snapToGrid w:val="0"/>
                <w:sz w:val="18"/>
              </w:rPr>
              <w:t>145,527</w:t>
            </w:r>
          </w:p>
        </w:tc>
        <w:tc>
          <w:tcPr>
            <w:tcW w:w="1134" w:type="dxa"/>
            <w:tcBorders>
              <w:top w:val="dotted" w:sz="4" w:space="0" w:color="auto"/>
              <w:left w:val="dotted" w:sz="4" w:space="0" w:color="auto"/>
              <w:bottom w:val="dotted" w:sz="4" w:space="0" w:color="auto"/>
              <w:right w:val="dotted" w:sz="4" w:space="0" w:color="auto"/>
            </w:tcBorders>
            <w:vAlign w:val="center"/>
            <w:hideMark/>
          </w:tcPr>
          <w:p>
            <w:pPr>
              <w:jc w:val="right"/>
              <w:rPr>
                <w:i/>
                <w:noProof/>
                <w:snapToGrid w:val="0"/>
                <w:sz w:val="18"/>
                <w:szCs w:val="18"/>
              </w:rPr>
            </w:pPr>
            <w:r>
              <w:rPr>
                <w:i/>
                <w:noProof/>
                <w:snapToGrid w:val="0"/>
                <w:sz w:val="18"/>
              </w:rPr>
              <w:t>4 198 175</w:t>
            </w:r>
          </w:p>
        </w:tc>
        <w:tc>
          <w:tcPr>
            <w:tcW w:w="850" w:type="dxa"/>
            <w:tcBorders>
              <w:top w:val="dotted" w:sz="4" w:space="0" w:color="auto"/>
              <w:left w:val="dotted" w:sz="4" w:space="0" w:color="auto"/>
              <w:bottom w:val="dotted" w:sz="4" w:space="0" w:color="auto"/>
              <w:right w:val="dotted" w:sz="4" w:space="0" w:color="auto"/>
            </w:tcBorders>
            <w:vAlign w:val="center"/>
            <w:hideMark/>
          </w:tcPr>
          <w:p>
            <w:pPr>
              <w:spacing w:before="40" w:after="40"/>
              <w:ind w:right="35"/>
              <w:jc w:val="right"/>
              <w:rPr>
                <w:i/>
                <w:noProof/>
                <w:snapToGrid w:val="0"/>
                <w:sz w:val="18"/>
                <w:szCs w:val="18"/>
              </w:rPr>
            </w:pPr>
            <w:r>
              <w:rPr>
                <w:i/>
                <w:noProof/>
                <w:snapToGrid w:val="0"/>
                <w:sz w:val="18"/>
              </w:rPr>
              <w:t>Non</w:t>
            </w:r>
          </w:p>
        </w:tc>
        <w:tc>
          <w:tcPr>
            <w:tcW w:w="1061" w:type="dxa"/>
            <w:tcBorders>
              <w:top w:val="dotted" w:sz="4" w:space="0" w:color="auto"/>
              <w:left w:val="dotted" w:sz="4" w:space="0" w:color="auto"/>
              <w:bottom w:val="dotted" w:sz="4" w:space="0" w:color="auto"/>
              <w:right w:val="single" w:sz="4" w:space="0" w:color="auto"/>
            </w:tcBorders>
            <w:vAlign w:val="center"/>
            <w:hideMark/>
          </w:tcPr>
          <w:p>
            <w:pPr>
              <w:spacing w:before="40" w:after="40"/>
              <w:ind w:right="35"/>
              <w:jc w:val="right"/>
              <w:rPr>
                <w:b/>
                <w:i/>
                <w:noProof/>
                <w:snapToGrid w:val="0"/>
                <w:sz w:val="18"/>
                <w:szCs w:val="18"/>
              </w:rPr>
            </w:pPr>
            <w:r>
              <w:rPr>
                <w:i/>
                <w:noProof/>
                <w:snapToGrid w:val="0"/>
                <w:sz w:val="18"/>
              </w:rPr>
              <w:t>4 198 175</w:t>
            </w:r>
          </w:p>
        </w:tc>
      </w:tr>
      <w:tr>
        <w:trPr>
          <w:jc w:val="center"/>
        </w:trPr>
        <w:tc>
          <w:tcPr>
            <w:tcW w:w="1769" w:type="dxa"/>
            <w:tcBorders>
              <w:top w:val="dotted" w:sz="4" w:space="0" w:color="auto"/>
              <w:left w:val="single" w:sz="4" w:space="0" w:color="auto"/>
              <w:bottom w:val="dotted" w:sz="4" w:space="0" w:color="auto"/>
              <w:right w:val="dotted" w:sz="4" w:space="0" w:color="auto"/>
            </w:tcBorders>
            <w:shd w:val="clear" w:color="auto" w:fill="EEECE1"/>
            <w:vAlign w:val="center"/>
            <w:hideMark/>
          </w:tcPr>
          <w:p>
            <w:pPr>
              <w:spacing w:before="40" w:after="40"/>
              <w:rPr>
                <w:noProof/>
                <w:snapToGrid w:val="0"/>
                <w:sz w:val="18"/>
                <w:szCs w:val="18"/>
              </w:rPr>
            </w:pPr>
            <w:r>
              <w:rPr>
                <w:noProof/>
                <w:snapToGrid w:val="0"/>
                <w:sz w:val="18"/>
              </w:rPr>
              <w:t>ROUMANIE (inondations en été)</w:t>
            </w:r>
          </w:p>
        </w:tc>
        <w:tc>
          <w:tcPr>
            <w:tcW w:w="1061" w:type="dxa"/>
            <w:tcBorders>
              <w:top w:val="dotted" w:sz="4" w:space="0" w:color="auto"/>
              <w:left w:val="dotted" w:sz="4" w:space="0" w:color="auto"/>
              <w:bottom w:val="dotted" w:sz="4" w:space="0" w:color="auto"/>
              <w:right w:val="dotted" w:sz="4" w:space="0" w:color="auto"/>
            </w:tcBorders>
            <w:vAlign w:val="center"/>
            <w:hideMark/>
          </w:tcPr>
          <w:p>
            <w:pPr>
              <w:spacing w:before="40" w:after="40"/>
              <w:ind w:right="35"/>
              <w:jc w:val="right"/>
              <w:rPr>
                <w:i/>
                <w:noProof/>
                <w:snapToGrid w:val="0"/>
                <w:sz w:val="18"/>
                <w:szCs w:val="18"/>
              </w:rPr>
            </w:pPr>
            <w:r>
              <w:rPr>
                <w:i/>
                <w:noProof/>
                <w:snapToGrid w:val="0"/>
                <w:sz w:val="18"/>
              </w:rPr>
              <w:t>171,911</w:t>
            </w:r>
          </w:p>
        </w:tc>
        <w:tc>
          <w:tcPr>
            <w:tcW w:w="1276" w:type="dxa"/>
            <w:tcBorders>
              <w:top w:val="dotted" w:sz="4" w:space="0" w:color="auto"/>
              <w:left w:val="dotted" w:sz="4" w:space="0" w:color="auto"/>
              <w:bottom w:val="dotted" w:sz="4" w:space="0" w:color="auto"/>
              <w:right w:val="dotted" w:sz="4" w:space="0" w:color="auto"/>
            </w:tcBorders>
            <w:vAlign w:val="center"/>
            <w:hideMark/>
          </w:tcPr>
          <w:p>
            <w:pPr>
              <w:spacing w:before="40" w:after="40"/>
              <w:ind w:right="35"/>
              <w:jc w:val="right"/>
              <w:rPr>
                <w:i/>
                <w:noProof/>
                <w:snapToGrid w:val="0"/>
                <w:sz w:val="18"/>
                <w:szCs w:val="18"/>
              </w:rPr>
            </w:pPr>
            <w:r>
              <w:rPr>
                <w:i/>
                <w:noProof/>
                <w:snapToGrid w:val="0"/>
                <w:sz w:val="18"/>
              </w:rPr>
              <w:t>157,200</w:t>
            </w:r>
          </w:p>
        </w:tc>
        <w:tc>
          <w:tcPr>
            <w:tcW w:w="1065" w:type="dxa"/>
            <w:tcBorders>
              <w:top w:val="dotted" w:sz="4" w:space="0" w:color="auto"/>
              <w:left w:val="dotted" w:sz="4" w:space="0" w:color="auto"/>
              <w:bottom w:val="dotted" w:sz="4" w:space="0" w:color="auto"/>
              <w:right w:val="dotted" w:sz="4" w:space="0" w:color="auto"/>
            </w:tcBorders>
            <w:vAlign w:val="center"/>
            <w:hideMark/>
          </w:tcPr>
          <w:p>
            <w:pPr>
              <w:spacing w:before="40" w:after="40"/>
              <w:ind w:right="35"/>
              <w:jc w:val="right"/>
              <w:rPr>
                <w:i/>
                <w:noProof/>
                <w:snapToGrid w:val="0"/>
                <w:sz w:val="18"/>
                <w:szCs w:val="18"/>
              </w:rPr>
            </w:pPr>
            <w:r>
              <w:rPr>
                <w:i/>
                <w:noProof/>
                <w:snapToGrid w:val="0"/>
                <w:sz w:val="18"/>
              </w:rPr>
              <w:t>783,738</w:t>
            </w:r>
          </w:p>
        </w:tc>
        <w:tc>
          <w:tcPr>
            <w:tcW w:w="993" w:type="dxa"/>
            <w:tcBorders>
              <w:top w:val="dotted" w:sz="4" w:space="0" w:color="auto"/>
              <w:left w:val="dotted" w:sz="4" w:space="0" w:color="auto"/>
              <w:bottom w:val="dotted" w:sz="4" w:space="0" w:color="auto"/>
              <w:right w:val="dotted" w:sz="4" w:space="0" w:color="auto"/>
            </w:tcBorders>
            <w:vAlign w:val="center"/>
            <w:hideMark/>
          </w:tcPr>
          <w:p>
            <w:pPr>
              <w:spacing w:before="40" w:after="40"/>
              <w:ind w:right="35"/>
              <w:jc w:val="right"/>
              <w:rPr>
                <w:i/>
                <w:noProof/>
                <w:snapToGrid w:val="0"/>
                <w:sz w:val="18"/>
                <w:szCs w:val="18"/>
              </w:rPr>
            </w:pPr>
            <w:r>
              <w:rPr>
                <w:i/>
                <w:noProof/>
                <w:snapToGrid w:val="0"/>
                <w:sz w:val="18"/>
              </w:rPr>
              <w:t>93,955</w:t>
            </w:r>
          </w:p>
        </w:tc>
        <w:tc>
          <w:tcPr>
            <w:tcW w:w="1134" w:type="dxa"/>
            <w:tcBorders>
              <w:top w:val="dotted" w:sz="4" w:space="0" w:color="auto"/>
              <w:left w:val="dotted" w:sz="4" w:space="0" w:color="auto"/>
              <w:bottom w:val="dotted" w:sz="4" w:space="0" w:color="auto"/>
              <w:right w:val="dotted" w:sz="4" w:space="0" w:color="auto"/>
            </w:tcBorders>
            <w:vAlign w:val="center"/>
            <w:hideMark/>
          </w:tcPr>
          <w:p>
            <w:pPr>
              <w:jc w:val="right"/>
              <w:rPr>
                <w:i/>
                <w:noProof/>
                <w:snapToGrid w:val="0"/>
                <w:sz w:val="18"/>
                <w:szCs w:val="18"/>
              </w:rPr>
            </w:pPr>
            <w:r>
              <w:rPr>
                <w:i/>
                <w:noProof/>
                <w:snapToGrid w:val="0"/>
                <w:sz w:val="18"/>
              </w:rPr>
              <w:t>4 297 775</w:t>
            </w:r>
          </w:p>
        </w:tc>
        <w:tc>
          <w:tcPr>
            <w:tcW w:w="850" w:type="dxa"/>
            <w:tcBorders>
              <w:top w:val="dotted" w:sz="4" w:space="0" w:color="auto"/>
              <w:left w:val="dotted" w:sz="4" w:space="0" w:color="auto"/>
              <w:bottom w:val="dotted" w:sz="4" w:space="0" w:color="auto"/>
              <w:right w:val="dotted" w:sz="4" w:space="0" w:color="auto"/>
            </w:tcBorders>
            <w:vAlign w:val="center"/>
            <w:hideMark/>
          </w:tcPr>
          <w:p>
            <w:pPr>
              <w:spacing w:before="40" w:after="40"/>
              <w:ind w:right="35"/>
              <w:jc w:val="right"/>
              <w:rPr>
                <w:i/>
                <w:noProof/>
                <w:snapToGrid w:val="0"/>
                <w:sz w:val="18"/>
                <w:szCs w:val="18"/>
              </w:rPr>
            </w:pPr>
            <w:r>
              <w:rPr>
                <w:i/>
                <w:noProof/>
                <w:snapToGrid w:val="0"/>
                <w:sz w:val="18"/>
              </w:rPr>
              <w:t>Non</w:t>
            </w:r>
          </w:p>
        </w:tc>
        <w:tc>
          <w:tcPr>
            <w:tcW w:w="1061" w:type="dxa"/>
            <w:tcBorders>
              <w:top w:val="dotted" w:sz="4" w:space="0" w:color="auto"/>
              <w:left w:val="dotted" w:sz="4" w:space="0" w:color="auto"/>
              <w:bottom w:val="dotted" w:sz="4" w:space="0" w:color="auto"/>
              <w:right w:val="single" w:sz="4" w:space="0" w:color="auto"/>
            </w:tcBorders>
            <w:vAlign w:val="center"/>
            <w:hideMark/>
          </w:tcPr>
          <w:p>
            <w:pPr>
              <w:spacing w:before="40" w:after="40"/>
              <w:ind w:right="35"/>
              <w:jc w:val="right"/>
              <w:rPr>
                <w:b/>
                <w:i/>
                <w:noProof/>
                <w:snapToGrid w:val="0"/>
                <w:sz w:val="18"/>
                <w:szCs w:val="18"/>
              </w:rPr>
            </w:pPr>
            <w:r>
              <w:rPr>
                <w:i/>
                <w:noProof/>
                <w:snapToGrid w:val="0"/>
                <w:sz w:val="18"/>
              </w:rPr>
              <w:t>4 297 775</w:t>
            </w:r>
          </w:p>
        </w:tc>
      </w:tr>
      <w:tr>
        <w:trPr>
          <w:jc w:val="center"/>
        </w:trPr>
        <w:tc>
          <w:tcPr>
            <w:tcW w:w="1769" w:type="dxa"/>
            <w:tcBorders>
              <w:top w:val="dotted" w:sz="4" w:space="0" w:color="auto"/>
              <w:left w:val="single" w:sz="4" w:space="0" w:color="auto"/>
              <w:bottom w:val="dotted" w:sz="4" w:space="0" w:color="auto"/>
              <w:right w:val="dotted" w:sz="4" w:space="0" w:color="auto"/>
            </w:tcBorders>
            <w:shd w:val="clear" w:color="auto" w:fill="EEECE1"/>
            <w:vAlign w:val="center"/>
            <w:hideMark/>
          </w:tcPr>
          <w:p>
            <w:pPr>
              <w:spacing w:before="40" w:after="40"/>
              <w:rPr>
                <w:noProof/>
                <w:snapToGrid w:val="0"/>
                <w:sz w:val="18"/>
                <w:szCs w:val="18"/>
              </w:rPr>
            </w:pPr>
            <w:r>
              <w:rPr>
                <w:noProof/>
                <w:snapToGrid w:val="0"/>
                <w:sz w:val="18"/>
              </w:rPr>
              <w:t>BULGARIE</w:t>
            </w:r>
          </w:p>
        </w:tc>
        <w:tc>
          <w:tcPr>
            <w:tcW w:w="1061" w:type="dxa"/>
            <w:tcBorders>
              <w:top w:val="dotted" w:sz="4" w:space="0" w:color="auto"/>
              <w:left w:val="dotted" w:sz="4" w:space="0" w:color="auto"/>
              <w:bottom w:val="dotted" w:sz="4" w:space="0" w:color="auto"/>
              <w:right w:val="dotted" w:sz="4" w:space="0" w:color="auto"/>
            </w:tcBorders>
            <w:vAlign w:val="center"/>
            <w:hideMark/>
          </w:tcPr>
          <w:p>
            <w:pPr>
              <w:spacing w:before="40" w:after="40"/>
              <w:ind w:right="35"/>
              <w:jc w:val="right"/>
              <w:rPr>
                <w:i/>
                <w:noProof/>
                <w:snapToGrid w:val="0"/>
                <w:sz w:val="18"/>
                <w:szCs w:val="18"/>
              </w:rPr>
            </w:pPr>
            <w:r>
              <w:rPr>
                <w:i/>
                <w:noProof/>
                <w:snapToGrid w:val="0"/>
                <w:sz w:val="18"/>
              </w:rPr>
              <w:t>79,344</w:t>
            </w:r>
          </w:p>
        </w:tc>
        <w:tc>
          <w:tcPr>
            <w:tcW w:w="1276" w:type="dxa"/>
            <w:tcBorders>
              <w:top w:val="dotted" w:sz="4" w:space="0" w:color="auto"/>
              <w:left w:val="dotted" w:sz="4" w:space="0" w:color="auto"/>
              <w:bottom w:val="dotted" w:sz="4" w:space="0" w:color="auto"/>
              <w:right w:val="dotted" w:sz="4" w:space="0" w:color="auto"/>
            </w:tcBorders>
            <w:vAlign w:val="center"/>
            <w:hideMark/>
          </w:tcPr>
          <w:p>
            <w:pPr>
              <w:spacing w:before="40" w:after="40"/>
              <w:ind w:right="35"/>
              <w:jc w:val="right"/>
              <w:rPr>
                <w:i/>
                <w:noProof/>
                <w:snapToGrid w:val="0"/>
                <w:sz w:val="18"/>
                <w:szCs w:val="18"/>
              </w:rPr>
            </w:pPr>
            <w:r>
              <w:rPr>
                <w:i/>
                <w:noProof/>
                <w:snapToGrid w:val="0"/>
                <w:sz w:val="18"/>
              </w:rPr>
              <w:t>40,980</w:t>
            </w:r>
          </w:p>
        </w:tc>
        <w:tc>
          <w:tcPr>
            <w:tcW w:w="1065" w:type="dxa"/>
            <w:tcBorders>
              <w:top w:val="dotted" w:sz="4" w:space="0" w:color="auto"/>
              <w:left w:val="dotted" w:sz="4" w:space="0" w:color="auto"/>
              <w:bottom w:val="dotted" w:sz="4" w:space="0" w:color="auto"/>
              <w:right w:val="dotted" w:sz="4" w:space="0" w:color="auto"/>
            </w:tcBorders>
            <w:vAlign w:val="center"/>
            <w:hideMark/>
          </w:tcPr>
          <w:p>
            <w:pPr>
              <w:spacing w:before="40" w:after="40"/>
              <w:ind w:right="35"/>
              <w:jc w:val="right"/>
              <w:rPr>
                <w:i/>
                <w:noProof/>
                <w:snapToGrid w:val="0"/>
                <w:sz w:val="18"/>
                <w:szCs w:val="18"/>
              </w:rPr>
            </w:pPr>
            <w:r>
              <w:rPr>
                <w:i/>
                <w:noProof/>
                <w:snapToGrid w:val="0"/>
                <w:sz w:val="18"/>
              </w:rPr>
              <w:t>232,502</w:t>
            </w:r>
          </w:p>
        </w:tc>
        <w:tc>
          <w:tcPr>
            <w:tcW w:w="993" w:type="dxa"/>
            <w:tcBorders>
              <w:top w:val="dotted" w:sz="4" w:space="0" w:color="auto"/>
              <w:left w:val="dotted" w:sz="4" w:space="0" w:color="auto"/>
              <w:bottom w:val="dotted" w:sz="4" w:space="0" w:color="auto"/>
              <w:right w:val="dotted" w:sz="4" w:space="0" w:color="auto"/>
            </w:tcBorders>
            <w:vAlign w:val="center"/>
            <w:hideMark/>
          </w:tcPr>
          <w:p>
            <w:pPr>
              <w:spacing w:before="40" w:after="40"/>
              <w:ind w:right="35"/>
              <w:jc w:val="right"/>
              <w:rPr>
                <w:i/>
                <w:noProof/>
                <w:snapToGrid w:val="0"/>
                <w:sz w:val="18"/>
                <w:szCs w:val="18"/>
              </w:rPr>
            </w:pPr>
            <w:r>
              <w:rPr>
                <w:i/>
                <w:noProof/>
                <w:snapToGrid w:val="0"/>
                <w:sz w:val="18"/>
              </w:rPr>
              <w:t>69,108</w:t>
            </w:r>
          </w:p>
        </w:tc>
        <w:tc>
          <w:tcPr>
            <w:tcW w:w="1134" w:type="dxa"/>
            <w:tcBorders>
              <w:top w:val="dotted" w:sz="4" w:space="0" w:color="auto"/>
              <w:left w:val="dotted" w:sz="4" w:space="0" w:color="auto"/>
              <w:bottom w:val="dotted" w:sz="4" w:space="0" w:color="auto"/>
              <w:right w:val="dotted" w:sz="4" w:space="0" w:color="auto"/>
            </w:tcBorders>
            <w:vAlign w:val="center"/>
            <w:hideMark/>
          </w:tcPr>
          <w:p>
            <w:pPr>
              <w:jc w:val="right"/>
              <w:rPr>
                <w:i/>
                <w:noProof/>
                <w:snapToGrid w:val="0"/>
                <w:sz w:val="18"/>
                <w:szCs w:val="18"/>
              </w:rPr>
            </w:pPr>
            <w:r>
              <w:rPr>
                <w:i/>
                <w:noProof/>
                <w:snapToGrid w:val="0"/>
                <w:sz w:val="18"/>
              </w:rPr>
              <w:t>1 983 600</w:t>
            </w:r>
          </w:p>
        </w:tc>
        <w:tc>
          <w:tcPr>
            <w:tcW w:w="850" w:type="dxa"/>
            <w:tcBorders>
              <w:top w:val="dotted" w:sz="4" w:space="0" w:color="auto"/>
              <w:left w:val="dotted" w:sz="4" w:space="0" w:color="auto"/>
              <w:bottom w:val="dotted" w:sz="4" w:space="0" w:color="auto"/>
              <w:right w:val="dotted" w:sz="4" w:space="0" w:color="auto"/>
            </w:tcBorders>
            <w:vAlign w:val="center"/>
            <w:hideMark/>
          </w:tcPr>
          <w:p>
            <w:pPr>
              <w:spacing w:before="40" w:after="40"/>
              <w:ind w:right="35"/>
              <w:jc w:val="right"/>
              <w:rPr>
                <w:i/>
                <w:noProof/>
                <w:snapToGrid w:val="0"/>
                <w:sz w:val="18"/>
                <w:szCs w:val="18"/>
              </w:rPr>
            </w:pPr>
            <w:r>
              <w:rPr>
                <w:i/>
                <w:noProof/>
                <w:snapToGrid w:val="0"/>
                <w:sz w:val="18"/>
              </w:rPr>
              <w:t>Non</w:t>
            </w:r>
          </w:p>
        </w:tc>
        <w:tc>
          <w:tcPr>
            <w:tcW w:w="1061" w:type="dxa"/>
            <w:tcBorders>
              <w:top w:val="dotted" w:sz="4" w:space="0" w:color="auto"/>
              <w:left w:val="dotted" w:sz="4" w:space="0" w:color="auto"/>
              <w:bottom w:val="dotted" w:sz="4" w:space="0" w:color="auto"/>
              <w:right w:val="single" w:sz="4" w:space="0" w:color="auto"/>
            </w:tcBorders>
            <w:vAlign w:val="center"/>
            <w:hideMark/>
          </w:tcPr>
          <w:p>
            <w:pPr>
              <w:spacing w:before="40" w:after="40"/>
              <w:ind w:right="35"/>
              <w:jc w:val="right"/>
              <w:rPr>
                <w:b/>
                <w:i/>
                <w:noProof/>
                <w:snapToGrid w:val="0"/>
                <w:sz w:val="18"/>
                <w:szCs w:val="18"/>
              </w:rPr>
            </w:pPr>
            <w:r>
              <w:rPr>
                <w:i/>
                <w:noProof/>
                <w:snapToGrid w:val="0"/>
                <w:sz w:val="18"/>
              </w:rPr>
              <w:t>1 983 600</w:t>
            </w:r>
          </w:p>
        </w:tc>
      </w:tr>
      <w:tr>
        <w:trPr>
          <w:jc w:val="center"/>
        </w:trPr>
        <w:tc>
          <w:tcPr>
            <w:tcW w:w="1769" w:type="dxa"/>
            <w:tcBorders>
              <w:top w:val="dotted" w:sz="4" w:space="0" w:color="auto"/>
              <w:left w:val="single" w:sz="4" w:space="0" w:color="auto"/>
              <w:bottom w:val="dotted" w:sz="4" w:space="0" w:color="auto"/>
              <w:right w:val="dotted" w:sz="4" w:space="0" w:color="auto"/>
            </w:tcBorders>
            <w:shd w:val="clear" w:color="auto" w:fill="EEECE1"/>
            <w:vAlign w:val="center"/>
            <w:hideMark/>
          </w:tcPr>
          <w:p>
            <w:pPr>
              <w:spacing w:before="40" w:after="40"/>
              <w:rPr>
                <w:noProof/>
                <w:snapToGrid w:val="0"/>
                <w:sz w:val="18"/>
                <w:szCs w:val="18"/>
              </w:rPr>
            </w:pPr>
            <w:r>
              <w:rPr>
                <w:noProof/>
                <w:snapToGrid w:val="0"/>
                <w:sz w:val="18"/>
              </w:rPr>
              <w:t>ITALIE</w:t>
            </w:r>
          </w:p>
        </w:tc>
        <w:tc>
          <w:tcPr>
            <w:tcW w:w="1061" w:type="dxa"/>
            <w:tcBorders>
              <w:top w:val="dotted" w:sz="4" w:space="0" w:color="auto"/>
              <w:left w:val="dotted" w:sz="4" w:space="0" w:color="auto"/>
              <w:bottom w:val="dotted" w:sz="4" w:space="0" w:color="auto"/>
              <w:right w:val="dotted" w:sz="4" w:space="0" w:color="auto"/>
            </w:tcBorders>
            <w:vAlign w:val="center"/>
            <w:hideMark/>
          </w:tcPr>
          <w:p>
            <w:pPr>
              <w:spacing w:before="40" w:after="40"/>
              <w:ind w:right="35"/>
              <w:jc w:val="right"/>
              <w:rPr>
                <w:i/>
                <w:noProof/>
                <w:snapToGrid w:val="0"/>
                <w:sz w:val="18"/>
                <w:szCs w:val="18"/>
              </w:rPr>
            </w:pPr>
            <w:r>
              <w:rPr>
                <w:i/>
                <w:noProof/>
                <w:snapToGrid w:val="0"/>
                <w:sz w:val="18"/>
              </w:rPr>
              <w:t>2 241,052</w:t>
            </w:r>
          </w:p>
        </w:tc>
        <w:tc>
          <w:tcPr>
            <w:tcW w:w="1276" w:type="dxa"/>
            <w:tcBorders>
              <w:top w:val="dotted" w:sz="4" w:space="0" w:color="auto"/>
              <w:left w:val="dotted" w:sz="4" w:space="0" w:color="auto"/>
              <w:bottom w:val="dotted" w:sz="4" w:space="0" w:color="auto"/>
              <w:right w:val="dotted" w:sz="4" w:space="0" w:color="auto"/>
            </w:tcBorders>
            <w:vAlign w:val="center"/>
            <w:hideMark/>
          </w:tcPr>
          <w:p>
            <w:pPr>
              <w:spacing w:before="40" w:after="40"/>
              <w:ind w:right="35"/>
              <w:jc w:val="right"/>
              <w:rPr>
                <w:i/>
                <w:noProof/>
                <w:snapToGrid w:val="0"/>
                <w:sz w:val="18"/>
                <w:szCs w:val="18"/>
              </w:rPr>
            </w:pPr>
            <w:r>
              <w:rPr>
                <w:i/>
                <w:noProof/>
                <w:snapToGrid w:val="0"/>
                <w:sz w:val="18"/>
              </w:rPr>
              <w:t>1 832,944</w:t>
            </w:r>
          </w:p>
        </w:tc>
        <w:tc>
          <w:tcPr>
            <w:tcW w:w="1065" w:type="dxa"/>
            <w:tcBorders>
              <w:top w:val="dotted" w:sz="4" w:space="0" w:color="auto"/>
              <w:left w:val="dotted" w:sz="4" w:space="0" w:color="auto"/>
              <w:bottom w:val="dotted" w:sz="4" w:space="0" w:color="auto"/>
              <w:right w:val="dotted" w:sz="4" w:space="0" w:color="auto"/>
            </w:tcBorders>
            <w:vAlign w:val="center"/>
            <w:hideMark/>
          </w:tcPr>
          <w:p>
            <w:pPr>
              <w:spacing w:before="40" w:after="40"/>
              <w:ind w:right="35"/>
              <w:jc w:val="right"/>
              <w:rPr>
                <w:i/>
                <w:noProof/>
                <w:snapToGrid w:val="0"/>
                <w:sz w:val="18"/>
                <w:szCs w:val="18"/>
              </w:rPr>
            </w:pPr>
            <w:r>
              <w:rPr>
                <w:i/>
                <w:noProof/>
                <w:snapToGrid w:val="0"/>
                <w:sz w:val="18"/>
              </w:rPr>
              <w:t>3 183,624</w:t>
            </w:r>
          </w:p>
        </w:tc>
        <w:tc>
          <w:tcPr>
            <w:tcW w:w="993" w:type="dxa"/>
            <w:tcBorders>
              <w:top w:val="dotted" w:sz="4" w:space="0" w:color="auto"/>
              <w:left w:val="dotted" w:sz="4" w:space="0" w:color="auto"/>
              <w:bottom w:val="dotted" w:sz="4" w:space="0" w:color="auto"/>
              <w:right w:val="dotted" w:sz="4" w:space="0" w:color="auto"/>
            </w:tcBorders>
            <w:vAlign w:val="center"/>
            <w:hideMark/>
          </w:tcPr>
          <w:p>
            <w:pPr>
              <w:spacing w:before="40" w:after="40"/>
              <w:ind w:right="35"/>
              <w:jc w:val="right"/>
              <w:rPr>
                <w:i/>
                <w:noProof/>
                <w:snapToGrid w:val="0"/>
                <w:sz w:val="18"/>
                <w:szCs w:val="18"/>
              </w:rPr>
            </w:pPr>
            <w:r>
              <w:rPr>
                <w:i/>
                <w:noProof/>
                <w:snapToGrid w:val="0"/>
                <w:sz w:val="18"/>
              </w:rPr>
              <w:t>434,314</w:t>
            </w:r>
          </w:p>
        </w:tc>
        <w:tc>
          <w:tcPr>
            <w:tcW w:w="1134" w:type="dxa"/>
            <w:tcBorders>
              <w:top w:val="dotted" w:sz="4" w:space="0" w:color="auto"/>
              <w:left w:val="dotted" w:sz="4" w:space="0" w:color="auto"/>
              <w:bottom w:val="dotted" w:sz="4" w:space="0" w:color="auto"/>
              <w:right w:val="dotted" w:sz="4" w:space="0" w:color="auto"/>
            </w:tcBorders>
            <w:vAlign w:val="center"/>
            <w:hideMark/>
          </w:tcPr>
          <w:p>
            <w:pPr>
              <w:jc w:val="right"/>
              <w:rPr>
                <w:i/>
                <w:noProof/>
                <w:snapToGrid w:val="0"/>
                <w:sz w:val="18"/>
                <w:szCs w:val="18"/>
              </w:rPr>
            </w:pPr>
            <w:r>
              <w:rPr>
                <w:i/>
                <w:noProof/>
                <w:snapToGrid w:val="0"/>
                <w:sz w:val="18"/>
              </w:rPr>
              <w:t>56 026 300</w:t>
            </w:r>
          </w:p>
        </w:tc>
        <w:tc>
          <w:tcPr>
            <w:tcW w:w="850" w:type="dxa"/>
            <w:tcBorders>
              <w:top w:val="dotted" w:sz="4" w:space="0" w:color="auto"/>
              <w:left w:val="dotted" w:sz="4" w:space="0" w:color="auto"/>
              <w:bottom w:val="dotted" w:sz="4" w:space="0" w:color="auto"/>
              <w:right w:val="dotted" w:sz="4" w:space="0" w:color="auto"/>
            </w:tcBorders>
            <w:vAlign w:val="center"/>
            <w:hideMark/>
          </w:tcPr>
          <w:p>
            <w:pPr>
              <w:spacing w:before="40" w:after="40"/>
              <w:ind w:right="35"/>
              <w:jc w:val="right"/>
              <w:rPr>
                <w:i/>
                <w:noProof/>
                <w:snapToGrid w:val="0"/>
                <w:sz w:val="18"/>
                <w:szCs w:val="18"/>
              </w:rPr>
            </w:pPr>
            <w:r>
              <w:rPr>
                <w:i/>
                <w:noProof/>
                <w:snapToGrid w:val="0"/>
                <w:sz w:val="18"/>
              </w:rPr>
              <w:t>Non</w:t>
            </w:r>
          </w:p>
        </w:tc>
        <w:tc>
          <w:tcPr>
            <w:tcW w:w="1061" w:type="dxa"/>
            <w:tcBorders>
              <w:top w:val="dotted" w:sz="4" w:space="0" w:color="auto"/>
              <w:left w:val="dotted" w:sz="4" w:space="0" w:color="auto"/>
              <w:bottom w:val="dotted" w:sz="4" w:space="0" w:color="auto"/>
              <w:right w:val="single" w:sz="4" w:space="0" w:color="auto"/>
            </w:tcBorders>
            <w:vAlign w:val="center"/>
            <w:hideMark/>
          </w:tcPr>
          <w:p>
            <w:pPr>
              <w:spacing w:before="40" w:after="40"/>
              <w:ind w:right="35"/>
              <w:jc w:val="right"/>
              <w:rPr>
                <w:b/>
                <w:i/>
                <w:noProof/>
                <w:snapToGrid w:val="0"/>
                <w:sz w:val="18"/>
                <w:szCs w:val="18"/>
              </w:rPr>
            </w:pPr>
            <w:r>
              <w:rPr>
                <w:i/>
                <w:noProof/>
                <w:snapToGrid w:val="0"/>
                <w:sz w:val="18"/>
              </w:rPr>
              <w:t xml:space="preserve">56 026 300 </w:t>
            </w:r>
          </w:p>
        </w:tc>
      </w:tr>
      <w:tr>
        <w:trPr>
          <w:jc w:val="center"/>
        </w:trPr>
        <w:tc>
          <w:tcPr>
            <w:tcW w:w="1769" w:type="dxa"/>
            <w:tcBorders>
              <w:top w:val="dotted" w:sz="4" w:space="0" w:color="auto"/>
              <w:left w:val="single" w:sz="4" w:space="0" w:color="auto"/>
              <w:bottom w:val="single" w:sz="4" w:space="0" w:color="auto"/>
              <w:right w:val="dotted" w:sz="4" w:space="0" w:color="auto"/>
            </w:tcBorders>
            <w:shd w:val="clear" w:color="auto" w:fill="EEECE1"/>
            <w:vAlign w:val="center"/>
            <w:hideMark/>
          </w:tcPr>
          <w:p>
            <w:pPr>
              <w:spacing w:before="40" w:after="40"/>
              <w:rPr>
                <w:noProof/>
                <w:snapToGrid w:val="0"/>
                <w:sz w:val="18"/>
                <w:szCs w:val="18"/>
              </w:rPr>
            </w:pPr>
            <w:r>
              <w:rPr>
                <w:b/>
                <w:noProof/>
                <w:snapToGrid w:val="0"/>
                <w:sz w:val="20"/>
              </w:rPr>
              <w:t>TOTAL</w:t>
            </w:r>
          </w:p>
        </w:tc>
        <w:tc>
          <w:tcPr>
            <w:tcW w:w="1061" w:type="dxa"/>
            <w:tcBorders>
              <w:top w:val="dotted" w:sz="4" w:space="0" w:color="auto"/>
              <w:left w:val="dotted" w:sz="4" w:space="0" w:color="auto"/>
              <w:bottom w:val="single" w:sz="4" w:space="0" w:color="auto"/>
              <w:right w:val="dotted" w:sz="4" w:space="0" w:color="auto"/>
            </w:tcBorders>
            <w:vAlign w:val="center"/>
          </w:tcPr>
          <w:p>
            <w:pPr>
              <w:spacing w:before="40" w:after="40"/>
              <w:ind w:right="35"/>
              <w:jc w:val="right"/>
              <w:rPr>
                <w:i/>
                <w:noProof/>
                <w:snapToGrid w:val="0"/>
                <w:sz w:val="18"/>
                <w:szCs w:val="18"/>
              </w:rPr>
            </w:pPr>
          </w:p>
        </w:tc>
        <w:tc>
          <w:tcPr>
            <w:tcW w:w="1276" w:type="dxa"/>
            <w:tcBorders>
              <w:top w:val="dotted" w:sz="4" w:space="0" w:color="auto"/>
              <w:left w:val="dotted" w:sz="4" w:space="0" w:color="auto"/>
              <w:bottom w:val="single" w:sz="4" w:space="0" w:color="auto"/>
              <w:right w:val="dotted" w:sz="4" w:space="0" w:color="auto"/>
            </w:tcBorders>
            <w:vAlign w:val="center"/>
          </w:tcPr>
          <w:p>
            <w:pPr>
              <w:spacing w:before="40" w:after="40"/>
              <w:ind w:right="35"/>
              <w:jc w:val="right"/>
              <w:rPr>
                <w:i/>
                <w:noProof/>
                <w:snapToGrid w:val="0"/>
                <w:sz w:val="18"/>
                <w:szCs w:val="18"/>
              </w:rPr>
            </w:pPr>
          </w:p>
        </w:tc>
        <w:tc>
          <w:tcPr>
            <w:tcW w:w="1065" w:type="dxa"/>
            <w:tcBorders>
              <w:top w:val="dotted" w:sz="4" w:space="0" w:color="auto"/>
              <w:left w:val="dotted" w:sz="4" w:space="0" w:color="auto"/>
              <w:bottom w:val="single" w:sz="4" w:space="0" w:color="auto"/>
              <w:right w:val="dotted" w:sz="4" w:space="0" w:color="auto"/>
            </w:tcBorders>
            <w:vAlign w:val="center"/>
          </w:tcPr>
          <w:p>
            <w:pPr>
              <w:spacing w:before="40" w:after="40"/>
              <w:ind w:right="35"/>
              <w:jc w:val="right"/>
              <w:rPr>
                <w:i/>
                <w:noProof/>
                <w:snapToGrid w:val="0"/>
                <w:sz w:val="18"/>
                <w:szCs w:val="18"/>
              </w:rPr>
            </w:pPr>
          </w:p>
        </w:tc>
        <w:tc>
          <w:tcPr>
            <w:tcW w:w="993" w:type="dxa"/>
            <w:tcBorders>
              <w:top w:val="dotted" w:sz="4" w:space="0" w:color="auto"/>
              <w:left w:val="dotted" w:sz="4" w:space="0" w:color="auto"/>
              <w:bottom w:val="single" w:sz="4" w:space="0" w:color="auto"/>
              <w:right w:val="dotted" w:sz="4" w:space="0" w:color="auto"/>
            </w:tcBorders>
            <w:vAlign w:val="center"/>
          </w:tcPr>
          <w:p>
            <w:pPr>
              <w:spacing w:before="40" w:after="40"/>
              <w:ind w:right="35"/>
              <w:jc w:val="right"/>
              <w:rPr>
                <w:i/>
                <w:noProof/>
                <w:snapToGrid w:val="0"/>
                <w:sz w:val="18"/>
                <w:szCs w:val="18"/>
              </w:rPr>
            </w:pPr>
          </w:p>
        </w:tc>
        <w:tc>
          <w:tcPr>
            <w:tcW w:w="1134" w:type="dxa"/>
            <w:tcBorders>
              <w:top w:val="dotted" w:sz="4" w:space="0" w:color="auto"/>
              <w:left w:val="dotted" w:sz="4" w:space="0" w:color="auto"/>
              <w:bottom w:val="single" w:sz="4" w:space="0" w:color="auto"/>
              <w:right w:val="dotted" w:sz="4" w:space="0" w:color="auto"/>
            </w:tcBorders>
            <w:vAlign w:val="center"/>
          </w:tcPr>
          <w:p>
            <w:pPr>
              <w:jc w:val="right"/>
              <w:rPr>
                <w:i/>
                <w:noProof/>
                <w:snapToGrid w:val="0"/>
                <w:sz w:val="18"/>
                <w:szCs w:val="18"/>
              </w:rPr>
            </w:pPr>
          </w:p>
        </w:tc>
        <w:tc>
          <w:tcPr>
            <w:tcW w:w="850" w:type="dxa"/>
            <w:tcBorders>
              <w:top w:val="dotted" w:sz="4" w:space="0" w:color="auto"/>
              <w:left w:val="dotted" w:sz="4" w:space="0" w:color="auto"/>
              <w:bottom w:val="single" w:sz="4" w:space="0" w:color="auto"/>
              <w:right w:val="dotted" w:sz="4" w:space="0" w:color="auto"/>
            </w:tcBorders>
            <w:vAlign w:val="center"/>
          </w:tcPr>
          <w:p>
            <w:pPr>
              <w:spacing w:before="40" w:after="40"/>
              <w:ind w:right="35"/>
              <w:jc w:val="right"/>
              <w:rPr>
                <w:i/>
                <w:noProof/>
                <w:snapToGrid w:val="0"/>
                <w:sz w:val="18"/>
                <w:szCs w:val="18"/>
              </w:rPr>
            </w:pPr>
          </w:p>
        </w:tc>
        <w:tc>
          <w:tcPr>
            <w:tcW w:w="1061" w:type="dxa"/>
            <w:tcBorders>
              <w:top w:val="dotted" w:sz="4" w:space="0" w:color="auto"/>
              <w:left w:val="dotted" w:sz="4" w:space="0" w:color="auto"/>
              <w:bottom w:val="single" w:sz="4" w:space="0" w:color="auto"/>
              <w:right w:val="single" w:sz="4" w:space="0" w:color="auto"/>
            </w:tcBorders>
            <w:vAlign w:val="center"/>
            <w:hideMark/>
          </w:tcPr>
          <w:p>
            <w:pPr>
              <w:spacing w:before="40" w:after="40"/>
              <w:ind w:right="35"/>
              <w:jc w:val="right"/>
              <w:rPr>
                <w:i/>
                <w:noProof/>
                <w:snapToGrid w:val="0"/>
                <w:sz w:val="18"/>
                <w:szCs w:val="18"/>
              </w:rPr>
            </w:pPr>
            <w:r>
              <w:rPr>
                <w:b/>
                <w:noProof/>
                <w:sz w:val="18"/>
              </w:rPr>
              <w:t>66 505 850</w:t>
            </w:r>
          </w:p>
        </w:tc>
      </w:tr>
    </w:tbl>
    <w:p>
      <w:pPr>
        <w:spacing w:before="360"/>
        <w:jc w:val="both"/>
        <w:rPr>
          <w:noProof/>
          <w:vanish/>
          <w:specVanish/>
        </w:rPr>
      </w:pPr>
      <w:r>
        <w:rPr>
          <w:noProof/>
        </w:rPr>
        <w:t>Il s'agit de la première proposition de décision d'intervention de 2015. Le montant total de l'aide proposée ci-dessus est conforme au plafond prévu par le règlement fixant le cadre financier pluriannuel (CFP)</w:t>
      </w:r>
      <w:r>
        <w:rPr>
          <w:rStyle w:val="FootnoteReference"/>
          <w:noProof/>
        </w:rPr>
        <w:footnoteReference w:id="9"/>
      </w:r>
      <w:r>
        <w:rPr>
          <w:noProof/>
        </w:rPr>
        <w:t>, soit 541 216 080 EUR (500 millions d'EUR aux prix de 2011). En outre, un montant de 403 879 032 EUR issu de l'allocation de 2014 n'a pas été dépensé et peut être utilisé en 2015. Étant donné que 50 millions d'EUR ont déjà été mobilisés pour le paiement éventuel d'avances et inscrits au budget 2015, conformément à l'article 4 </w:t>
      </w:r>
      <w:r>
        <w:rPr>
          <w:i/>
          <w:noProof/>
        </w:rPr>
        <w:t>bis</w:t>
      </w:r>
      <w:r>
        <w:rPr>
          <w:noProof/>
        </w:rPr>
        <w:t>, paragraphe 4, du règlement, le montant total disponible dans le cadre des interventions du FSUE en 2015 s'élève à 895 095 112 EUR.</w:t>
      </w:r>
    </w:p>
    <w:p>
      <w:pPr>
        <w:spacing w:before="360"/>
        <w:jc w:val="both"/>
        <w:rPr>
          <w:noProof/>
        </w:rPr>
      </w:pPr>
      <w:r>
        <w:rPr>
          <w:noProof/>
        </w:rPr>
        <w:t xml:space="preserve"> </w:t>
      </w:r>
    </w:p>
    <w:p>
      <w:pPr>
        <w:keepNext/>
        <w:tabs>
          <w:tab w:val="left" w:pos="850"/>
        </w:tabs>
        <w:spacing w:before="360" w:after="120"/>
        <w:ind w:left="851" w:hanging="851"/>
        <w:jc w:val="both"/>
        <w:outlineLvl w:val="0"/>
        <w:rPr>
          <w:b/>
          <w:smallCaps/>
          <w:noProof/>
        </w:rPr>
      </w:pPr>
      <w:bookmarkStart w:id="37" w:name="_Toc416354628"/>
      <w:r>
        <w:rPr>
          <w:b/>
          <w:smallCaps/>
          <w:noProof/>
        </w:rPr>
        <w:t>4.</w:t>
      </w:r>
      <w:r>
        <w:rPr>
          <w:noProof/>
        </w:rPr>
        <w:tab/>
      </w:r>
      <w:r>
        <w:rPr>
          <w:b/>
          <w:smallCaps/>
          <w:noProof/>
        </w:rPr>
        <w:t>Conclusion</w:t>
      </w:r>
      <w:bookmarkEnd w:id="37"/>
    </w:p>
    <w:p>
      <w:pPr>
        <w:spacing w:before="360"/>
        <w:jc w:val="both"/>
        <w:rPr>
          <w:noProof/>
        </w:rPr>
      </w:pPr>
      <w:r>
        <w:rPr>
          <w:noProof/>
        </w:rPr>
        <w:t>La Commission propose de faire intervenir le Fonds de solidarité de l'Union européenne pour chacun des quatre cas concernant la Roumanie, la Bulgarie et l'Italie présentés ci-dessus et de modifier le budget 2015 en renforçant l'article 13 06 01 (Fonds de solidarité de l'UE - États membres) de 66 505 850 EUR tant en crédits d'engagement qu'en crédits de paiement.</w:t>
      </w:r>
    </w:p>
    <w:p>
      <w:pPr>
        <w:spacing w:before="360"/>
        <w:jc w:val="both"/>
        <w:rPr>
          <w:noProof/>
        </w:rPr>
      </w:pPr>
      <w:r>
        <w:rPr>
          <w:noProof/>
        </w:rPr>
        <w:t>Comme le Fonds de solidarité de l'Union européenne est un instrument spécial tel que défini dans le règlement CFP, les crédits en question doivent être inscrits au budget en dehors des plafonds correspondants du CFP.</w:t>
      </w:r>
      <w:bookmarkEnd w:id="2"/>
      <w:bookmarkEnd w:id="11"/>
      <w:bookmarkEnd w:id="12"/>
    </w:p>
    <w:p>
      <w:pPr>
        <w:pStyle w:val="ManualHeading1"/>
        <w:spacing w:before="120"/>
        <w:ind w:left="851" w:hanging="851"/>
        <w:rPr>
          <w:noProof/>
        </w:rPr>
      </w:pPr>
      <w:r>
        <w:rPr>
          <w:noProof/>
        </w:rPr>
        <w:br w:type="page"/>
      </w:r>
      <w:bookmarkStart w:id="38" w:name="_Toc400011652"/>
      <w:bookmarkStart w:id="39" w:name="_Toc414446447"/>
      <w:bookmarkStart w:id="40" w:name="_Toc416354629"/>
      <w:r>
        <w:rPr>
          <w:noProof/>
        </w:rPr>
        <w:t>4.</w:t>
      </w:r>
      <w:r>
        <w:rPr>
          <w:noProof/>
        </w:rPr>
        <w:tab/>
        <w:t>Tableau récapitulatif par rubrique du CFP</w:t>
      </w:r>
      <w:bookmarkEnd w:id="3"/>
      <w:bookmarkEnd w:id="4"/>
      <w:bookmarkEnd w:id="5"/>
      <w:bookmarkEnd w:id="6"/>
      <w:bookmarkEnd w:id="7"/>
      <w:bookmarkEnd w:id="38"/>
      <w:bookmarkEnd w:id="39"/>
      <w:bookmarkEnd w:id="40"/>
    </w:p>
    <w:tbl>
      <w:tblPr>
        <w:tblW w:w="11176" w:type="dxa"/>
        <w:jc w:val="center"/>
        <w:tblLook w:val="04A0" w:firstRow="1" w:lastRow="0" w:firstColumn="1" w:lastColumn="0" w:noHBand="0" w:noVBand="1"/>
      </w:tblPr>
      <w:tblGrid>
        <w:gridCol w:w="376"/>
        <w:gridCol w:w="3042"/>
        <w:gridCol w:w="1298"/>
        <w:gridCol w:w="1417"/>
        <w:gridCol w:w="1134"/>
        <w:gridCol w:w="1134"/>
        <w:gridCol w:w="1418"/>
        <w:gridCol w:w="1357"/>
      </w:tblGrid>
      <w:tr>
        <w:trPr>
          <w:trHeight w:val="300"/>
          <w:jc w:val="center"/>
        </w:trPr>
        <w:tc>
          <w:tcPr>
            <w:tcW w:w="3418"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p>
            <w:pPr>
              <w:jc w:val="center"/>
              <w:rPr>
                <w:b/>
                <w:bCs/>
                <w:noProof/>
                <w:color w:val="000000"/>
                <w:sz w:val="16"/>
                <w:szCs w:val="16"/>
              </w:rPr>
            </w:pPr>
            <w:r>
              <w:rPr>
                <w:b/>
                <w:noProof/>
                <w:color w:val="000000"/>
                <w:sz w:val="16"/>
              </w:rPr>
              <w:t>Rubrique</w:t>
            </w:r>
          </w:p>
        </w:tc>
        <w:tc>
          <w:tcPr>
            <w:tcW w:w="2715"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6"/>
                <w:szCs w:val="16"/>
              </w:rPr>
            </w:pPr>
            <w:r>
              <w:rPr>
                <w:b/>
                <w:noProof/>
                <w:color w:val="000000"/>
                <w:sz w:val="16"/>
              </w:rPr>
              <w:t>Budget 2015</w:t>
            </w:r>
          </w:p>
        </w:tc>
        <w:tc>
          <w:tcPr>
            <w:tcW w:w="2268"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jc w:val="center"/>
              <w:rPr>
                <w:b/>
                <w:bCs/>
                <w:noProof/>
                <w:color w:val="000000"/>
                <w:sz w:val="16"/>
                <w:szCs w:val="16"/>
              </w:rPr>
            </w:pPr>
            <w:r>
              <w:rPr>
                <w:b/>
                <w:noProof/>
                <w:color w:val="000000"/>
                <w:sz w:val="16"/>
              </w:rPr>
              <w:t>Projet de budget rectificatif 4/2015</w:t>
            </w:r>
          </w:p>
        </w:tc>
        <w:tc>
          <w:tcPr>
            <w:tcW w:w="2775"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6"/>
                <w:szCs w:val="16"/>
              </w:rPr>
            </w:pPr>
            <w:r>
              <w:rPr>
                <w:b/>
                <w:noProof/>
                <w:color w:val="000000"/>
                <w:sz w:val="16"/>
              </w:rPr>
              <w:t>Budget 2015</w:t>
            </w:r>
          </w:p>
        </w:tc>
      </w:tr>
      <w:tr>
        <w:trPr>
          <w:trHeight w:val="255"/>
          <w:jc w:val="center"/>
        </w:trPr>
        <w:tc>
          <w:tcPr>
            <w:tcW w:w="3418"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6"/>
                <w:szCs w:val="16"/>
              </w:rPr>
            </w:pPr>
          </w:p>
        </w:tc>
        <w:tc>
          <w:tcPr>
            <w:tcW w:w="2715"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6"/>
                <w:szCs w:val="16"/>
              </w:rPr>
            </w:pPr>
            <w:r>
              <w:rPr>
                <w:b/>
                <w:noProof/>
                <w:color w:val="000000"/>
                <w:sz w:val="16"/>
              </w:rPr>
              <w:t>(y compris PBR 2-3/2015)</w:t>
            </w:r>
          </w:p>
        </w:tc>
        <w:tc>
          <w:tcPr>
            <w:tcW w:w="2268" w:type="dxa"/>
            <w:gridSpan w:val="2"/>
            <w:vMerge/>
            <w:tcBorders>
              <w:top w:val="single" w:sz="4" w:space="0" w:color="auto"/>
              <w:left w:val="single" w:sz="4" w:space="0" w:color="auto"/>
              <w:bottom w:val="single" w:sz="4" w:space="0" w:color="000000"/>
              <w:right w:val="single" w:sz="4" w:space="0" w:color="000000"/>
            </w:tcBorders>
            <w:vAlign w:val="center"/>
            <w:hideMark/>
          </w:tcPr>
          <w:p>
            <w:pPr>
              <w:rPr>
                <w:b/>
                <w:bCs/>
                <w:noProof/>
                <w:color w:val="000000"/>
                <w:sz w:val="16"/>
                <w:szCs w:val="16"/>
              </w:rPr>
            </w:pPr>
          </w:p>
        </w:tc>
        <w:tc>
          <w:tcPr>
            <w:tcW w:w="2775"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6"/>
                <w:szCs w:val="16"/>
              </w:rPr>
            </w:pPr>
            <w:r>
              <w:rPr>
                <w:b/>
                <w:noProof/>
                <w:color w:val="000000"/>
                <w:sz w:val="16"/>
              </w:rPr>
              <w:t>(y compris PBR 1-4/2015)</w:t>
            </w:r>
          </w:p>
        </w:tc>
      </w:tr>
      <w:tr>
        <w:trPr>
          <w:trHeight w:val="300"/>
          <w:jc w:val="center"/>
        </w:trPr>
        <w:tc>
          <w:tcPr>
            <w:tcW w:w="3418"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6"/>
                <w:szCs w:val="16"/>
              </w:rPr>
            </w:pPr>
          </w:p>
        </w:tc>
        <w:tc>
          <w:tcPr>
            <w:tcW w:w="1298" w:type="dxa"/>
            <w:tcBorders>
              <w:top w:val="nil"/>
              <w:left w:val="nil"/>
              <w:bottom w:val="nil"/>
              <w:right w:val="single" w:sz="4" w:space="0" w:color="auto"/>
            </w:tcBorders>
            <w:shd w:val="clear" w:color="000000" w:fill="D9D9D9"/>
            <w:vAlign w:val="center"/>
            <w:hideMark/>
          </w:tcPr>
          <w:p>
            <w:pPr>
              <w:jc w:val="center"/>
              <w:rPr>
                <w:b/>
                <w:bCs/>
                <w:noProof/>
                <w:color w:val="000000"/>
                <w:sz w:val="16"/>
                <w:szCs w:val="16"/>
              </w:rPr>
            </w:pPr>
            <w:r>
              <w:rPr>
                <w:b/>
                <w:noProof/>
                <w:color w:val="000000"/>
                <w:sz w:val="16"/>
              </w:rPr>
              <w:t>CE</w:t>
            </w:r>
          </w:p>
        </w:tc>
        <w:tc>
          <w:tcPr>
            <w:tcW w:w="1417"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6"/>
                <w:szCs w:val="16"/>
              </w:rPr>
            </w:pPr>
            <w:r>
              <w:rPr>
                <w:b/>
                <w:noProof/>
                <w:color w:val="000000"/>
                <w:sz w:val="16"/>
              </w:rPr>
              <w:t>CP</w:t>
            </w:r>
          </w:p>
        </w:tc>
        <w:tc>
          <w:tcPr>
            <w:tcW w:w="1134"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6"/>
                <w:szCs w:val="16"/>
              </w:rPr>
            </w:pPr>
            <w:r>
              <w:rPr>
                <w:b/>
                <w:noProof/>
                <w:color w:val="000000"/>
                <w:sz w:val="16"/>
              </w:rPr>
              <w:t>CE</w:t>
            </w:r>
          </w:p>
        </w:tc>
        <w:tc>
          <w:tcPr>
            <w:tcW w:w="1134"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6"/>
                <w:szCs w:val="16"/>
              </w:rPr>
            </w:pPr>
            <w:r>
              <w:rPr>
                <w:b/>
                <w:noProof/>
                <w:color w:val="000000"/>
                <w:sz w:val="16"/>
              </w:rPr>
              <w:t>CP</w:t>
            </w:r>
          </w:p>
        </w:tc>
        <w:tc>
          <w:tcPr>
            <w:tcW w:w="1418"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6"/>
                <w:szCs w:val="16"/>
              </w:rPr>
            </w:pPr>
            <w:r>
              <w:rPr>
                <w:b/>
                <w:noProof/>
                <w:color w:val="000000"/>
                <w:sz w:val="16"/>
              </w:rPr>
              <w:t>CE</w:t>
            </w:r>
          </w:p>
        </w:tc>
        <w:tc>
          <w:tcPr>
            <w:tcW w:w="1357"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6"/>
                <w:szCs w:val="16"/>
              </w:rPr>
            </w:pPr>
            <w:r>
              <w:rPr>
                <w:b/>
                <w:noProof/>
                <w:color w:val="000000"/>
                <w:sz w:val="16"/>
              </w:rPr>
              <w:t>CP</w:t>
            </w:r>
          </w:p>
        </w:tc>
      </w:tr>
      <w:tr>
        <w:trPr>
          <w:trHeight w:val="270"/>
          <w:jc w:val="center"/>
        </w:trPr>
        <w:tc>
          <w:tcPr>
            <w:tcW w:w="376" w:type="dxa"/>
            <w:tcBorders>
              <w:top w:val="single" w:sz="4" w:space="0" w:color="auto"/>
              <w:left w:val="single" w:sz="4" w:space="0" w:color="auto"/>
              <w:bottom w:val="dotted" w:sz="4" w:space="0" w:color="auto"/>
              <w:right w:val="nil"/>
            </w:tcBorders>
            <w:shd w:val="clear" w:color="auto" w:fill="auto"/>
            <w:vAlign w:val="center"/>
            <w:hideMark/>
          </w:tcPr>
          <w:p>
            <w:pPr>
              <w:rPr>
                <w:b/>
                <w:bCs/>
                <w:noProof/>
                <w:color w:val="000000"/>
                <w:sz w:val="16"/>
                <w:szCs w:val="16"/>
              </w:rPr>
            </w:pPr>
            <w:r>
              <w:rPr>
                <w:b/>
                <w:noProof/>
                <w:color w:val="000000"/>
                <w:sz w:val="16"/>
              </w:rPr>
              <w:t>1.</w:t>
            </w:r>
          </w:p>
        </w:tc>
        <w:tc>
          <w:tcPr>
            <w:tcW w:w="3042" w:type="dxa"/>
            <w:tcBorders>
              <w:top w:val="single" w:sz="4" w:space="0" w:color="auto"/>
              <w:left w:val="nil"/>
              <w:bottom w:val="dotted" w:sz="4" w:space="0" w:color="auto"/>
              <w:right w:val="single" w:sz="4" w:space="0" w:color="auto"/>
            </w:tcBorders>
            <w:shd w:val="clear" w:color="auto" w:fill="auto"/>
            <w:vAlign w:val="center"/>
            <w:hideMark/>
          </w:tcPr>
          <w:p>
            <w:pPr>
              <w:rPr>
                <w:b/>
                <w:bCs/>
                <w:noProof/>
                <w:color w:val="000000"/>
                <w:sz w:val="16"/>
                <w:szCs w:val="16"/>
              </w:rPr>
            </w:pPr>
            <w:r>
              <w:rPr>
                <w:b/>
                <w:noProof/>
                <w:color w:val="000000"/>
                <w:sz w:val="16"/>
              </w:rPr>
              <w:t>Croissance intelligente et inclusive</w:t>
            </w:r>
          </w:p>
        </w:tc>
        <w:tc>
          <w:tcPr>
            <w:tcW w:w="1298" w:type="dxa"/>
            <w:tcBorders>
              <w:top w:val="single" w:sz="4" w:space="0" w:color="auto"/>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77 954 679 684</w:t>
            </w:r>
          </w:p>
        </w:tc>
        <w:tc>
          <w:tcPr>
            <w:tcW w:w="141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66 922 960 910</w:t>
            </w:r>
          </w:p>
        </w:tc>
        <w:tc>
          <w:tcPr>
            <w:tcW w:w="113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w:t>
            </w:r>
          </w:p>
        </w:tc>
        <w:tc>
          <w:tcPr>
            <w:tcW w:w="141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77 954 679 684</w:t>
            </w:r>
          </w:p>
        </w:tc>
        <w:tc>
          <w:tcPr>
            <w:tcW w:w="135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66 922 960 910</w:t>
            </w:r>
          </w:p>
        </w:tc>
      </w:tr>
      <w:tr>
        <w:trPr>
          <w:trHeight w:val="270"/>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dont part relevant de l'instrument de flexibilité</w:t>
            </w:r>
          </w:p>
        </w:tc>
        <w:tc>
          <w:tcPr>
            <w:tcW w:w="129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83 285 595</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83 285 595</w:t>
            </w:r>
          </w:p>
        </w:tc>
        <w:tc>
          <w:tcPr>
            <w:tcW w:w="135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 xml:space="preserve">Plafond </w:t>
            </w:r>
          </w:p>
        </w:tc>
        <w:tc>
          <w:tcPr>
            <w:tcW w:w="129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77 986 000 000</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77 986 000 000</w:t>
            </w:r>
          </w:p>
        </w:tc>
        <w:tc>
          <w:tcPr>
            <w:tcW w:w="135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Marge</w:t>
            </w:r>
          </w:p>
        </w:tc>
        <w:tc>
          <w:tcPr>
            <w:tcW w:w="129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114 605 911</w:t>
            </w:r>
          </w:p>
        </w:tc>
        <w:tc>
          <w:tcPr>
            <w:tcW w:w="141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114 605 911</w:t>
            </w:r>
          </w:p>
        </w:tc>
        <w:tc>
          <w:tcPr>
            <w:tcW w:w="135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76" w:type="dxa"/>
            <w:tcBorders>
              <w:top w:val="nil"/>
              <w:left w:val="single" w:sz="4" w:space="0" w:color="auto"/>
              <w:bottom w:val="dotted" w:sz="4" w:space="0" w:color="auto"/>
              <w:right w:val="nil"/>
            </w:tcBorders>
            <w:shd w:val="clear" w:color="auto" w:fill="auto"/>
            <w:vAlign w:val="center"/>
            <w:hideMark/>
          </w:tcPr>
          <w:p>
            <w:pPr>
              <w:rPr>
                <w:noProof/>
                <w:color w:val="000000"/>
                <w:sz w:val="16"/>
                <w:szCs w:val="16"/>
              </w:rPr>
            </w:pPr>
            <w:r>
              <w:rPr>
                <w:noProof/>
                <w:color w:val="000000"/>
                <w:sz w:val="16"/>
              </w:rPr>
              <w:t>1a</w:t>
            </w:r>
          </w:p>
        </w:tc>
        <w:tc>
          <w:tcPr>
            <w:tcW w:w="3042" w:type="dxa"/>
            <w:tcBorders>
              <w:top w:val="nil"/>
              <w:left w:val="nil"/>
              <w:bottom w:val="dotted" w:sz="4" w:space="0" w:color="auto"/>
              <w:right w:val="single" w:sz="4" w:space="0" w:color="auto"/>
            </w:tcBorders>
            <w:shd w:val="clear" w:color="auto" w:fill="auto"/>
            <w:vAlign w:val="center"/>
            <w:hideMark/>
          </w:tcPr>
          <w:p>
            <w:pPr>
              <w:rPr>
                <w:noProof/>
                <w:color w:val="000000"/>
                <w:sz w:val="16"/>
                <w:szCs w:val="16"/>
              </w:rPr>
            </w:pPr>
            <w:r>
              <w:rPr>
                <w:noProof/>
                <w:color w:val="000000"/>
                <w:sz w:val="16"/>
              </w:rPr>
              <w:t>Compétitivité pour la croissance et l'emploi</w:t>
            </w:r>
          </w:p>
        </w:tc>
        <w:tc>
          <w:tcPr>
            <w:tcW w:w="1298"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17 551 688 425</w:t>
            </w:r>
          </w:p>
        </w:tc>
        <w:tc>
          <w:tcPr>
            <w:tcW w:w="141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15 798 230 894</w:t>
            </w:r>
          </w:p>
        </w:tc>
        <w:tc>
          <w:tcPr>
            <w:tcW w:w="1134"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c>
          <w:tcPr>
            <w:tcW w:w="1418"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17 551 688 425</w:t>
            </w:r>
          </w:p>
        </w:tc>
        <w:tc>
          <w:tcPr>
            <w:tcW w:w="135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15 798 230 894</w:t>
            </w:r>
          </w:p>
        </w:tc>
      </w:tr>
      <w:tr>
        <w:trPr>
          <w:trHeight w:val="270"/>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Plafond</w:t>
            </w:r>
          </w:p>
        </w:tc>
        <w:tc>
          <w:tcPr>
            <w:tcW w:w="129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17 666 000 000</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17 666 000 000</w:t>
            </w:r>
          </w:p>
        </w:tc>
        <w:tc>
          <w:tcPr>
            <w:tcW w:w="135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Marge</w:t>
            </w:r>
          </w:p>
        </w:tc>
        <w:tc>
          <w:tcPr>
            <w:tcW w:w="129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114 311 575</w:t>
            </w:r>
          </w:p>
        </w:tc>
        <w:tc>
          <w:tcPr>
            <w:tcW w:w="141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114 311 575</w:t>
            </w:r>
          </w:p>
        </w:tc>
        <w:tc>
          <w:tcPr>
            <w:tcW w:w="135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76" w:type="dxa"/>
            <w:tcBorders>
              <w:top w:val="nil"/>
              <w:left w:val="single" w:sz="4" w:space="0" w:color="auto"/>
              <w:bottom w:val="dotted" w:sz="4" w:space="0" w:color="auto"/>
              <w:right w:val="nil"/>
            </w:tcBorders>
            <w:shd w:val="clear" w:color="auto" w:fill="auto"/>
            <w:vAlign w:val="center"/>
            <w:hideMark/>
          </w:tcPr>
          <w:p>
            <w:pPr>
              <w:rPr>
                <w:noProof/>
                <w:color w:val="000000"/>
                <w:sz w:val="16"/>
                <w:szCs w:val="16"/>
              </w:rPr>
            </w:pPr>
            <w:r>
              <w:rPr>
                <w:noProof/>
                <w:color w:val="000000"/>
                <w:sz w:val="16"/>
              </w:rPr>
              <w:t xml:space="preserve">1b </w:t>
            </w:r>
          </w:p>
        </w:tc>
        <w:tc>
          <w:tcPr>
            <w:tcW w:w="3042" w:type="dxa"/>
            <w:tcBorders>
              <w:top w:val="nil"/>
              <w:left w:val="nil"/>
              <w:bottom w:val="dotted" w:sz="4" w:space="0" w:color="auto"/>
              <w:right w:val="single" w:sz="4" w:space="0" w:color="auto"/>
            </w:tcBorders>
            <w:shd w:val="clear" w:color="auto" w:fill="auto"/>
            <w:vAlign w:val="center"/>
            <w:hideMark/>
          </w:tcPr>
          <w:p>
            <w:pPr>
              <w:rPr>
                <w:noProof/>
                <w:color w:val="000000"/>
                <w:sz w:val="16"/>
                <w:szCs w:val="16"/>
              </w:rPr>
            </w:pPr>
            <w:r>
              <w:rPr>
                <w:noProof/>
                <w:color w:val="000000"/>
                <w:sz w:val="16"/>
              </w:rPr>
              <w:t>Cohésion économique, sociale et territoriale</w:t>
            </w:r>
          </w:p>
        </w:tc>
        <w:tc>
          <w:tcPr>
            <w:tcW w:w="1298"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60 402 991 259</w:t>
            </w:r>
          </w:p>
        </w:tc>
        <w:tc>
          <w:tcPr>
            <w:tcW w:w="141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51 124 730 016</w:t>
            </w:r>
          </w:p>
        </w:tc>
        <w:tc>
          <w:tcPr>
            <w:tcW w:w="1134"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c>
          <w:tcPr>
            <w:tcW w:w="1418"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60 402 991 259</w:t>
            </w:r>
          </w:p>
        </w:tc>
        <w:tc>
          <w:tcPr>
            <w:tcW w:w="135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51 124 730 016</w:t>
            </w:r>
          </w:p>
        </w:tc>
      </w:tr>
      <w:tr>
        <w:trPr>
          <w:trHeight w:val="270"/>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dont part relevant de l'instrument de flexibilité</w:t>
            </w:r>
          </w:p>
        </w:tc>
        <w:tc>
          <w:tcPr>
            <w:tcW w:w="129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83 285 595</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83 285 595</w:t>
            </w:r>
          </w:p>
        </w:tc>
        <w:tc>
          <w:tcPr>
            <w:tcW w:w="135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Plafond</w:t>
            </w:r>
          </w:p>
        </w:tc>
        <w:tc>
          <w:tcPr>
            <w:tcW w:w="129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60 320 000 000</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60 320 000 000</w:t>
            </w:r>
          </w:p>
        </w:tc>
        <w:tc>
          <w:tcPr>
            <w:tcW w:w="135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Marge</w:t>
            </w:r>
          </w:p>
        </w:tc>
        <w:tc>
          <w:tcPr>
            <w:tcW w:w="129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294 336</w:t>
            </w:r>
          </w:p>
        </w:tc>
        <w:tc>
          <w:tcPr>
            <w:tcW w:w="141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294 336</w:t>
            </w:r>
          </w:p>
        </w:tc>
        <w:tc>
          <w:tcPr>
            <w:tcW w:w="135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76" w:type="dxa"/>
            <w:tcBorders>
              <w:top w:val="nil"/>
              <w:left w:val="single" w:sz="4" w:space="0" w:color="auto"/>
              <w:bottom w:val="dotted" w:sz="4" w:space="0" w:color="auto"/>
              <w:right w:val="nil"/>
            </w:tcBorders>
            <w:shd w:val="clear" w:color="auto" w:fill="auto"/>
            <w:vAlign w:val="center"/>
            <w:hideMark/>
          </w:tcPr>
          <w:p>
            <w:pPr>
              <w:rPr>
                <w:b/>
                <w:bCs/>
                <w:noProof/>
                <w:color w:val="000000"/>
                <w:sz w:val="16"/>
                <w:szCs w:val="16"/>
              </w:rPr>
            </w:pPr>
            <w:r>
              <w:rPr>
                <w:b/>
                <w:noProof/>
                <w:color w:val="000000"/>
                <w:sz w:val="16"/>
              </w:rPr>
              <w:t>2.</w:t>
            </w:r>
          </w:p>
        </w:tc>
        <w:tc>
          <w:tcPr>
            <w:tcW w:w="3042" w:type="dxa"/>
            <w:tcBorders>
              <w:top w:val="nil"/>
              <w:left w:val="nil"/>
              <w:bottom w:val="dotted" w:sz="4" w:space="0" w:color="auto"/>
              <w:right w:val="single" w:sz="4" w:space="0" w:color="auto"/>
            </w:tcBorders>
            <w:shd w:val="clear" w:color="auto" w:fill="auto"/>
            <w:vAlign w:val="center"/>
            <w:hideMark/>
          </w:tcPr>
          <w:p>
            <w:pPr>
              <w:rPr>
                <w:b/>
                <w:bCs/>
                <w:noProof/>
                <w:color w:val="000000"/>
                <w:sz w:val="16"/>
                <w:szCs w:val="16"/>
              </w:rPr>
            </w:pPr>
            <w:r>
              <w:rPr>
                <w:b/>
                <w:noProof/>
                <w:color w:val="000000"/>
                <w:sz w:val="16"/>
              </w:rPr>
              <w:t>Croissance durable: ressources naturelles</w:t>
            </w:r>
          </w:p>
        </w:tc>
        <w:tc>
          <w:tcPr>
            <w:tcW w:w="129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63 901 960 185</w:t>
            </w:r>
          </w:p>
        </w:tc>
        <w:tc>
          <w:tcPr>
            <w:tcW w:w="141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55 998 594 804</w:t>
            </w:r>
          </w:p>
        </w:tc>
        <w:tc>
          <w:tcPr>
            <w:tcW w:w="113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41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63 901 960 185</w:t>
            </w:r>
          </w:p>
        </w:tc>
        <w:tc>
          <w:tcPr>
            <w:tcW w:w="135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55 998 594 804</w:t>
            </w:r>
          </w:p>
        </w:tc>
      </w:tr>
      <w:tr>
        <w:trPr>
          <w:trHeight w:val="270"/>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Plafond</w:t>
            </w:r>
          </w:p>
        </w:tc>
        <w:tc>
          <w:tcPr>
            <w:tcW w:w="129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64 692 000 000</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64 692 000 000</w:t>
            </w:r>
          </w:p>
        </w:tc>
        <w:tc>
          <w:tcPr>
            <w:tcW w:w="135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Marge</w:t>
            </w:r>
          </w:p>
        </w:tc>
        <w:tc>
          <w:tcPr>
            <w:tcW w:w="129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790 039 815</w:t>
            </w:r>
          </w:p>
        </w:tc>
        <w:tc>
          <w:tcPr>
            <w:tcW w:w="141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790 039 815</w:t>
            </w:r>
          </w:p>
        </w:tc>
        <w:tc>
          <w:tcPr>
            <w:tcW w:w="135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705"/>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6"/>
                <w:szCs w:val="16"/>
              </w:rPr>
            </w:pPr>
            <w:r>
              <w:rPr>
                <w:noProof/>
                <w:color w:val="000000"/>
                <w:sz w:val="16"/>
              </w:rPr>
              <w:t>dont: Fonds européen agricole de garantie (FEAGA) — dépenses relatives au marché et paiements directs</w:t>
            </w:r>
          </w:p>
        </w:tc>
        <w:tc>
          <w:tcPr>
            <w:tcW w:w="1298"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43 455 780 762</w:t>
            </w:r>
          </w:p>
        </w:tc>
        <w:tc>
          <w:tcPr>
            <w:tcW w:w="141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43 447 624 585</w:t>
            </w:r>
          </w:p>
        </w:tc>
        <w:tc>
          <w:tcPr>
            <w:tcW w:w="1134"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c>
          <w:tcPr>
            <w:tcW w:w="1418"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43 455 780 762</w:t>
            </w:r>
          </w:p>
        </w:tc>
        <w:tc>
          <w:tcPr>
            <w:tcW w:w="135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43 447 624 585</w:t>
            </w:r>
          </w:p>
        </w:tc>
      </w:tr>
      <w:tr>
        <w:trPr>
          <w:trHeight w:val="270"/>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Sous-plafond</w:t>
            </w:r>
          </w:p>
        </w:tc>
        <w:tc>
          <w:tcPr>
            <w:tcW w:w="129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44 313 000 000</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44 313 000 000</w:t>
            </w:r>
          </w:p>
        </w:tc>
        <w:tc>
          <w:tcPr>
            <w:tcW w:w="135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Transfert net entre le FEAGA et le Feader</w:t>
            </w:r>
          </w:p>
        </w:tc>
        <w:tc>
          <w:tcPr>
            <w:tcW w:w="129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123 215 000</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123 215 000</w:t>
            </w:r>
          </w:p>
        </w:tc>
        <w:tc>
          <w:tcPr>
            <w:tcW w:w="135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Marge</w:t>
            </w:r>
          </w:p>
        </w:tc>
        <w:tc>
          <w:tcPr>
            <w:tcW w:w="129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734 004 238</w:t>
            </w:r>
          </w:p>
        </w:tc>
        <w:tc>
          <w:tcPr>
            <w:tcW w:w="141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734 004 238</w:t>
            </w:r>
          </w:p>
        </w:tc>
        <w:tc>
          <w:tcPr>
            <w:tcW w:w="135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76" w:type="dxa"/>
            <w:tcBorders>
              <w:top w:val="nil"/>
              <w:left w:val="single" w:sz="4" w:space="0" w:color="auto"/>
              <w:bottom w:val="dotted" w:sz="4" w:space="0" w:color="auto"/>
              <w:right w:val="nil"/>
            </w:tcBorders>
            <w:shd w:val="clear" w:color="auto" w:fill="auto"/>
            <w:vAlign w:val="center"/>
            <w:hideMark/>
          </w:tcPr>
          <w:p>
            <w:pPr>
              <w:rPr>
                <w:b/>
                <w:bCs/>
                <w:noProof/>
                <w:color w:val="000000"/>
                <w:sz w:val="16"/>
                <w:szCs w:val="16"/>
              </w:rPr>
            </w:pPr>
            <w:r>
              <w:rPr>
                <w:b/>
                <w:noProof/>
                <w:color w:val="000000"/>
                <w:sz w:val="16"/>
              </w:rPr>
              <w:t>3.</w:t>
            </w:r>
          </w:p>
        </w:tc>
        <w:tc>
          <w:tcPr>
            <w:tcW w:w="3042" w:type="dxa"/>
            <w:tcBorders>
              <w:top w:val="nil"/>
              <w:left w:val="nil"/>
              <w:bottom w:val="dotted" w:sz="4" w:space="0" w:color="auto"/>
              <w:right w:val="single" w:sz="4" w:space="0" w:color="auto"/>
            </w:tcBorders>
            <w:shd w:val="clear" w:color="auto" w:fill="auto"/>
            <w:vAlign w:val="center"/>
            <w:hideMark/>
          </w:tcPr>
          <w:p>
            <w:pPr>
              <w:rPr>
                <w:b/>
                <w:bCs/>
                <w:noProof/>
                <w:color w:val="000000"/>
                <w:sz w:val="16"/>
                <w:szCs w:val="16"/>
              </w:rPr>
            </w:pPr>
            <w:r>
              <w:rPr>
                <w:b/>
                <w:noProof/>
                <w:color w:val="000000"/>
                <w:sz w:val="16"/>
              </w:rPr>
              <w:t>Sécurité et citoyenneté</w:t>
            </w:r>
          </w:p>
        </w:tc>
        <w:tc>
          <w:tcPr>
            <w:tcW w:w="129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2 357 076 847</w:t>
            </w:r>
          </w:p>
        </w:tc>
        <w:tc>
          <w:tcPr>
            <w:tcW w:w="141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1 859 513 795</w:t>
            </w:r>
          </w:p>
        </w:tc>
        <w:tc>
          <w:tcPr>
            <w:tcW w:w="113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41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2 357 076 847</w:t>
            </w:r>
          </w:p>
        </w:tc>
        <w:tc>
          <w:tcPr>
            <w:tcW w:w="135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1 859 513 795</w:t>
            </w:r>
          </w:p>
        </w:tc>
      </w:tr>
      <w:tr>
        <w:trPr>
          <w:trHeight w:val="270"/>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Plafond</w:t>
            </w:r>
          </w:p>
        </w:tc>
        <w:tc>
          <w:tcPr>
            <w:tcW w:w="129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2 456 000 000</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2 456 000 000</w:t>
            </w:r>
          </w:p>
        </w:tc>
        <w:tc>
          <w:tcPr>
            <w:tcW w:w="135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Marge</w:t>
            </w:r>
          </w:p>
        </w:tc>
        <w:tc>
          <w:tcPr>
            <w:tcW w:w="129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98 923 153</w:t>
            </w:r>
          </w:p>
        </w:tc>
        <w:tc>
          <w:tcPr>
            <w:tcW w:w="141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98 923 153</w:t>
            </w:r>
          </w:p>
        </w:tc>
        <w:tc>
          <w:tcPr>
            <w:tcW w:w="135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76" w:type="dxa"/>
            <w:tcBorders>
              <w:top w:val="nil"/>
              <w:left w:val="single" w:sz="4" w:space="0" w:color="auto"/>
              <w:bottom w:val="dotted" w:sz="4" w:space="0" w:color="auto"/>
              <w:right w:val="nil"/>
            </w:tcBorders>
            <w:shd w:val="clear" w:color="auto" w:fill="auto"/>
            <w:vAlign w:val="center"/>
            <w:hideMark/>
          </w:tcPr>
          <w:p>
            <w:pPr>
              <w:rPr>
                <w:b/>
                <w:bCs/>
                <w:noProof/>
                <w:color w:val="000000"/>
                <w:sz w:val="16"/>
                <w:szCs w:val="16"/>
              </w:rPr>
            </w:pPr>
            <w:r>
              <w:rPr>
                <w:b/>
                <w:noProof/>
                <w:color w:val="000000"/>
                <w:sz w:val="16"/>
              </w:rPr>
              <w:t>4.</w:t>
            </w:r>
          </w:p>
        </w:tc>
        <w:tc>
          <w:tcPr>
            <w:tcW w:w="3042" w:type="dxa"/>
            <w:tcBorders>
              <w:top w:val="nil"/>
              <w:left w:val="nil"/>
              <w:bottom w:val="dotted" w:sz="4" w:space="0" w:color="auto"/>
              <w:right w:val="single" w:sz="4" w:space="0" w:color="auto"/>
            </w:tcBorders>
            <w:shd w:val="clear" w:color="auto" w:fill="auto"/>
            <w:vAlign w:val="center"/>
            <w:hideMark/>
          </w:tcPr>
          <w:p>
            <w:pPr>
              <w:rPr>
                <w:b/>
                <w:bCs/>
                <w:noProof/>
                <w:color w:val="000000"/>
                <w:sz w:val="16"/>
                <w:szCs w:val="16"/>
              </w:rPr>
            </w:pPr>
            <w:r>
              <w:rPr>
                <w:b/>
                <w:noProof/>
                <w:color w:val="000000"/>
                <w:sz w:val="16"/>
              </w:rPr>
              <w:t>L'Europe dans le monde</w:t>
            </w:r>
          </w:p>
        </w:tc>
        <w:tc>
          <w:tcPr>
            <w:tcW w:w="129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8 410 899 029</w:t>
            </w:r>
          </w:p>
        </w:tc>
        <w:tc>
          <w:tcPr>
            <w:tcW w:w="141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7 422 489 907</w:t>
            </w:r>
          </w:p>
        </w:tc>
        <w:tc>
          <w:tcPr>
            <w:tcW w:w="113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41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8 410 899 029</w:t>
            </w:r>
          </w:p>
        </w:tc>
        <w:tc>
          <w:tcPr>
            <w:tcW w:w="135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7 422 489 907</w:t>
            </w:r>
          </w:p>
        </w:tc>
      </w:tr>
      <w:tr>
        <w:trPr>
          <w:trHeight w:val="270"/>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Plafond</w:t>
            </w:r>
          </w:p>
        </w:tc>
        <w:tc>
          <w:tcPr>
            <w:tcW w:w="1298"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8 749 000 000</w:t>
            </w:r>
          </w:p>
        </w:tc>
        <w:tc>
          <w:tcPr>
            <w:tcW w:w="141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c>
          <w:tcPr>
            <w:tcW w:w="1418"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8 749 000 000</w:t>
            </w:r>
          </w:p>
        </w:tc>
        <w:tc>
          <w:tcPr>
            <w:tcW w:w="135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r>
      <w:tr>
        <w:trPr>
          <w:trHeight w:val="270"/>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Marge</w:t>
            </w:r>
          </w:p>
        </w:tc>
        <w:tc>
          <w:tcPr>
            <w:tcW w:w="129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338 100 971</w:t>
            </w:r>
          </w:p>
        </w:tc>
        <w:tc>
          <w:tcPr>
            <w:tcW w:w="141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338 100 971</w:t>
            </w:r>
          </w:p>
        </w:tc>
        <w:tc>
          <w:tcPr>
            <w:tcW w:w="135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76" w:type="dxa"/>
            <w:tcBorders>
              <w:top w:val="nil"/>
              <w:left w:val="single" w:sz="4" w:space="0" w:color="auto"/>
              <w:bottom w:val="dotted" w:sz="4" w:space="0" w:color="auto"/>
              <w:right w:val="nil"/>
            </w:tcBorders>
            <w:shd w:val="clear" w:color="auto" w:fill="auto"/>
            <w:vAlign w:val="center"/>
            <w:hideMark/>
          </w:tcPr>
          <w:p>
            <w:pPr>
              <w:rPr>
                <w:b/>
                <w:bCs/>
                <w:noProof/>
                <w:color w:val="000000"/>
                <w:sz w:val="16"/>
                <w:szCs w:val="16"/>
              </w:rPr>
            </w:pPr>
            <w:r>
              <w:rPr>
                <w:b/>
                <w:noProof/>
                <w:color w:val="000000"/>
                <w:sz w:val="16"/>
              </w:rPr>
              <w:t>5.</w:t>
            </w:r>
          </w:p>
        </w:tc>
        <w:tc>
          <w:tcPr>
            <w:tcW w:w="3042" w:type="dxa"/>
            <w:tcBorders>
              <w:top w:val="nil"/>
              <w:left w:val="nil"/>
              <w:bottom w:val="dotted" w:sz="4" w:space="0" w:color="auto"/>
              <w:right w:val="single" w:sz="4" w:space="0" w:color="auto"/>
            </w:tcBorders>
            <w:shd w:val="clear" w:color="auto" w:fill="auto"/>
            <w:vAlign w:val="center"/>
            <w:hideMark/>
          </w:tcPr>
          <w:p>
            <w:pPr>
              <w:rPr>
                <w:b/>
                <w:bCs/>
                <w:noProof/>
                <w:color w:val="000000"/>
                <w:sz w:val="16"/>
                <w:szCs w:val="16"/>
              </w:rPr>
            </w:pPr>
            <w:r>
              <w:rPr>
                <w:b/>
                <w:noProof/>
                <w:color w:val="000000"/>
                <w:sz w:val="16"/>
              </w:rPr>
              <w:t>Administration</w:t>
            </w:r>
          </w:p>
        </w:tc>
        <w:tc>
          <w:tcPr>
            <w:tcW w:w="129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8 660 469 063</w:t>
            </w:r>
          </w:p>
        </w:tc>
        <w:tc>
          <w:tcPr>
            <w:tcW w:w="141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8 658 756 179</w:t>
            </w:r>
          </w:p>
        </w:tc>
        <w:tc>
          <w:tcPr>
            <w:tcW w:w="113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41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8 660 469 063</w:t>
            </w:r>
          </w:p>
        </w:tc>
        <w:tc>
          <w:tcPr>
            <w:tcW w:w="135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8 658 756 179</w:t>
            </w:r>
          </w:p>
        </w:tc>
      </w:tr>
      <w:tr>
        <w:trPr>
          <w:trHeight w:val="270"/>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Plafond</w:t>
            </w:r>
          </w:p>
        </w:tc>
        <w:tc>
          <w:tcPr>
            <w:tcW w:w="129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9 076 000 000</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9 076 000 000</w:t>
            </w:r>
          </w:p>
        </w:tc>
        <w:tc>
          <w:tcPr>
            <w:tcW w:w="135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Marge</w:t>
            </w:r>
          </w:p>
        </w:tc>
        <w:tc>
          <w:tcPr>
            <w:tcW w:w="129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415 530 937</w:t>
            </w:r>
          </w:p>
        </w:tc>
        <w:tc>
          <w:tcPr>
            <w:tcW w:w="141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415 530 937</w:t>
            </w:r>
          </w:p>
        </w:tc>
        <w:tc>
          <w:tcPr>
            <w:tcW w:w="135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525"/>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6"/>
                <w:szCs w:val="16"/>
              </w:rPr>
            </w:pPr>
            <w:r>
              <w:rPr>
                <w:noProof/>
                <w:color w:val="000000"/>
                <w:sz w:val="16"/>
              </w:rPr>
              <w:t>dont: dépenses administratives des institutions</w:t>
            </w:r>
          </w:p>
        </w:tc>
        <w:tc>
          <w:tcPr>
            <w:tcW w:w="1298"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6 941 188 663</w:t>
            </w:r>
          </w:p>
        </w:tc>
        <w:tc>
          <w:tcPr>
            <w:tcW w:w="141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6 939 475 779</w:t>
            </w:r>
          </w:p>
        </w:tc>
        <w:tc>
          <w:tcPr>
            <w:tcW w:w="1134"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c>
          <w:tcPr>
            <w:tcW w:w="1418"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6 941 188 663</w:t>
            </w:r>
          </w:p>
        </w:tc>
        <w:tc>
          <w:tcPr>
            <w:tcW w:w="135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6 939 475 779</w:t>
            </w:r>
          </w:p>
        </w:tc>
      </w:tr>
      <w:tr>
        <w:trPr>
          <w:trHeight w:val="270"/>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Sous-plafond</w:t>
            </w:r>
          </w:p>
        </w:tc>
        <w:tc>
          <w:tcPr>
            <w:tcW w:w="129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7 056 000 000</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7 056 000 000</w:t>
            </w:r>
          </w:p>
        </w:tc>
        <w:tc>
          <w:tcPr>
            <w:tcW w:w="135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Marge</w:t>
            </w:r>
          </w:p>
        </w:tc>
        <w:tc>
          <w:tcPr>
            <w:tcW w:w="129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114 811 337</w:t>
            </w:r>
          </w:p>
        </w:tc>
        <w:tc>
          <w:tcPr>
            <w:tcW w:w="141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114 811 337</w:t>
            </w:r>
          </w:p>
        </w:tc>
        <w:tc>
          <w:tcPr>
            <w:tcW w:w="135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76" w:type="dxa"/>
            <w:tcBorders>
              <w:top w:val="nil"/>
              <w:left w:val="single" w:sz="4" w:space="0" w:color="auto"/>
              <w:bottom w:val="dotted" w:sz="4" w:space="0" w:color="auto"/>
              <w:right w:val="nil"/>
            </w:tcBorders>
            <w:shd w:val="clear" w:color="auto" w:fill="auto"/>
            <w:vAlign w:val="center"/>
            <w:hideMark/>
          </w:tcPr>
          <w:p>
            <w:pPr>
              <w:rPr>
                <w:b/>
                <w:bCs/>
                <w:noProof/>
                <w:color w:val="000000"/>
                <w:sz w:val="16"/>
                <w:szCs w:val="16"/>
              </w:rPr>
            </w:pPr>
            <w:r>
              <w:rPr>
                <w:b/>
                <w:noProof/>
                <w:color w:val="000000"/>
                <w:sz w:val="16"/>
              </w:rPr>
              <w:t>6.</w:t>
            </w:r>
          </w:p>
        </w:tc>
        <w:tc>
          <w:tcPr>
            <w:tcW w:w="3042" w:type="dxa"/>
            <w:tcBorders>
              <w:top w:val="nil"/>
              <w:left w:val="nil"/>
              <w:bottom w:val="dotted" w:sz="4" w:space="0" w:color="auto"/>
              <w:right w:val="single" w:sz="4" w:space="0" w:color="auto"/>
            </w:tcBorders>
            <w:shd w:val="clear" w:color="auto" w:fill="auto"/>
            <w:vAlign w:val="center"/>
            <w:hideMark/>
          </w:tcPr>
          <w:p>
            <w:pPr>
              <w:rPr>
                <w:b/>
                <w:bCs/>
                <w:noProof/>
                <w:color w:val="000000"/>
                <w:sz w:val="16"/>
                <w:szCs w:val="16"/>
              </w:rPr>
            </w:pPr>
            <w:r>
              <w:rPr>
                <w:b/>
                <w:noProof/>
                <w:color w:val="000000"/>
                <w:sz w:val="16"/>
              </w:rPr>
              <w:t>Compensations</w:t>
            </w:r>
          </w:p>
        </w:tc>
        <w:tc>
          <w:tcPr>
            <w:tcW w:w="129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w:t>
            </w:r>
          </w:p>
        </w:tc>
        <w:tc>
          <w:tcPr>
            <w:tcW w:w="141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w:t>
            </w:r>
          </w:p>
        </w:tc>
        <w:tc>
          <w:tcPr>
            <w:tcW w:w="113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41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w:t>
            </w:r>
          </w:p>
        </w:tc>
        <w:tc>
          <w:tcPr>
            <w:tcW w:w="135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w:t>
            </w:r>
          </w:p>
        </w:tc>
      </w:tr>
      <w:tr>
        <w:trPr>
          <w:trHeight w:val="270"/>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Plafond</w:t>
            </w:r>
          </w:p>
        </w:tc>
        <w:tc>
          <w:tcPr>
            <w:tcW w:w="129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5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418" w:type="dxa"/>
            <w:gridSpan w:val="2"/>
            <w:tcBorders>
              <w:top w:val="dotted" w:sz="4" w:space="0" w:color="auto"/>
              <w:left w:val="single" w:sz="4" w:space="0" w:color="auto"/>
              <w:bottom w:val="single"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Marge</w:t>
            </w:r>
          </w:p>
        </w:tc>
        <w:tc>
          <w:tcPr>
            <w:tcW w:w="129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w:t>
            </w:r>
          </w:p>
        </w:tc>
        <w:tc>
          <w:tcPr>
            <w:tcW w:w="141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w:t>
            </w:r>
          </w:p>
        </w:tc>
        <w:tc>
          <w:tcPr>
            <w:tcW w:w="135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418"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jc w:val="right"/>
              <w:rPr>
                <w:b/>
                <w:bCs/>
                <w:noProof/>
                <w:color w:val="000000"/>
                <w:sz w:val="16"/>
                <w:szCs w:val="16"/>
              </w:rPr>
            </w:pPr>
            <w:r>
              <w:rPr>
                <w:b/>
                <w:noProof/>
                <w:color w:val="000000"/>
                <w:sz w:val="16"/>
              </w:rPr>
              <w:t>Total</w:t>
            </w:r>
          </w:p>
        </w:tc>
        <w:tc>
          <w:tcPr>
            <w:tcW w:w="1298" w:type="dxa"/>
            <w:tcBorders>
              <w:top w:val="nil"/>
              <w:left w:val="nil"/>
              <w:bottom w:val="dotted"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161 285 084 808</w:t>
            </w:r>
          </w:p>
        </w:tc>
        <w:tc>
          <w:tcPr>
            <w:tcW w:w="1417" w:type="dxa"/>
            <w:tcBorders>
              <w:top w:val="nil"/>
              <w:left w:val="nil"/>
              <w:bottom w:val="dotted"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140 862 315 595</w:t>
            </w:r>
          </w:p>
        </w:tc>
        <w:tc>
          <w:tcPr>
            <w:tcW w:w="1134" w:type="dxa"/>
            <w:tcBorders>
              <w:top w:val="nil"/>
              <w:left w:val="nil"/>
              <w:bottom w:val="dotted"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 xml:space="preserve">   </w:t>
            </w:r>
          </w:p>
        </w:tc>
        <w:tc>
          <w:tcPr>
            <w:tcW w:w="1134" w:type="dxa"/>
            <w:tcBorders>
              <w:top w:val="nil"/>
              <w:left w:val="nil"/>
              <w:bottom w:val="dotted"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 xml:space="preserve">   </w:t>
            </w:r>
          </w:p>
        </w:tc>
        <w:tc>
          <w:tcPr>
            <w:tcW w:w="1418" w:type="dxa"/>
            <w:tcBorders>
              <w:top w:val="nil"/>
              <w:left w:val="nil"/>
              <w:bottom w:val="dotted"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161 285 084 808</w:t>
            </w:r>
          </w:p>
        </w:tc>
        <w:tc>
          <w:tcPr>
            <w:tcW w:w="1357" w:type="dxa"/>
            <w:tcBorders>
              <w:top w:val="nil"/>
              <w:left w:val="nil"/>
              <w:bottom w:val="dotted"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140 862 315 595</w:t>
            </w:r>
          </w:p>
        </w:tc>
      </w:tr>
      <w:tr>
        <w:trPr>
          <w:trHeight w:val="270"/>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6"/>
                <w:szCs w:val="16"/>
              </w:rPr>
            </w:pPr>
            <w:r>
              <w:rPr>
                <w:b/>
                <w:i/>
                <w:noProof/>
                <w:color w:val="000000"/>
                <w:sz w:val="16"/>
              </w:rPr>
              <w:t>dont part relevant de l'instrument de flexibilité</w:t>
            </w:r>
          </w:p>
        </w:tc>
        <w:tc>
          <w:tcPr>
            <w:tcW w:w="129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xml:space="preserve"> 83 285 595</w:t>
            </w:r>
          </w:p>
        </w:tc>
        <w:tc>
          <w:tcPr>
            <w:tcW w:w="1417"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xml:space="preserve"> 11 315 595</w:t>
            </w:r>
          </w:p>
        </w:tc>
        <w:tc>
          <w:tcPr>
            <w:tcW w:w="113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113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141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xml:space="preserve"> 83 285 595</w:t>
            </w:r>
          </w:p>
        </w:tc>
        <w:tc>
          <w:tcPr>
            <w:tcW w:w="1357"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xml:space="preserve"> 11 315 595</w:t>
            </w:r>
          </w:p>
        </w:tc>
      </w:tr>
      <w:tr>
        <w:trPr>
          <w:trHeight w:val="270"/>
          <w:jc w:val="center"/>
        </w:trPr>
        <w:tc>
          <w:tcPr>
            <w:tcW w:w="3418"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6"/>
                <w:szCs w:val="16"/>
              </w:rPr>
            </w:pPr>
            <w:r>
              <w:rPr>
                <w:b/>
                <w:i/>
                <w:noProof/>
                <w:color w:val="000000"/>
                <w:sz w:val="16"/>
              </w:rPr>
              <w:t>Plafond</w:t>
            </w:r>
          </w:p>
        </w:tc>
        <w:tc>
          <w:tcPr>
            <w:tcW w:w="129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162 959 000 000</w:t>
            </w:r>
          </w:p>
        </w:tc>
        <w:tc>
          <w:tcPr>
            <w:tcW w:w="1417"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141 901 000 000</w:t>
            </w:r>
          </w:p>
        </w:tc>
        <w:tc>
          <w:tcPr>
            <w:tcW w:w="113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113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141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162 959 000 000</w:t>
            </w:r>
          </w:p>
        </w:tc>
        <w:tc>
          <w:tcPr>
            <w:tcW w:w="1357"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141 901 000 000</w:t>
            </w:r>
          </w:p>
        </w:tc>
      </w:tr>
      <w:tr>
        <w:trPr>
          <w:trHeight w:val="270"/>
          <w:jc w:val="center"/>
        </w:trPr>
        <w:tc>
          <w:tcPr>
            <w:tcW w:w="3418" w:type="dxa"/>
            <w:gridSpan w:val="2"/>
            <w:tcBorders>
              <w:top w:val="dotted" w:sz="4" w:space="0" w:color="auto"/>
              <w:left w:val="single" w:sz="4" w:space="0" w:color="auto"/>
              <w:bottom w:val="nil"/>
              <w:right w:val="single" w:sz="4" w:space="0" w:color="000000"/>
            </w:tcBorders>
            <w:shd w:val="clear" w:color="000000" w:fill="D9D9D9"/>
            <w:vAlign w:val="center"/>
            <w:hideMark/>
          </w:tcPr>
          <w:p>
            <w:pPr>
              <w:jc w:val="right"/>
              <w:rPr>
                <w:b/>
                <w:bCs/>
                <w:i/>
                <w:iCs/>
                <w:noProof/>
                <w:color w:val="000000"/>
                <w:sz w:val="16"/>
                <w:szCs w:val="16"/>
              </w:rPr>
            </w:pPr>
            <w:r>
              <w:rPr>
                <w:b/>
                <w:i/>
                <w:noProof/>
                <w:color w:val="000000"/>
                <w:sz w:val="16"/>
              </w:rPr>
              <w:t>Marge</w:t>
            </w:r>
          </w:p>
        </w:tc>
        <w:tc>
          <w:tcPr>
            <w:tcW w:w="1298"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1 757 200 787</w:t>
            </w:r>
          </w:p>
        </w:tc>
        <w:tc>
          <w:tcPr>
            <w:tcW w:w="1417"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1 050 000 000</w:t>
            </w:r>
          </w:p>
        </w:tc>
        <w:tc>
          <w:tcPr>
            <w:tcW w:w="1134"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1134"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1418"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1 757 200 787</w:t>
            </w:r>
          </w:p>
        </w:tc>
        <w:tc>
          <w:tcPr>
            <w:tcW w:w="1357"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1 050 000 000</w:t>
            </w:r>
          </w:p>
        </w:tc>
      </w:tr>
      <w:tr>
        <w:trPr>
          <w:trHeight w:val="270"/>
          <w:jc w:val="center"/>
        </w:trPr>
        <w:tc>
          <w:tcPr>
            <w:tcW w:w="376" w:type="dxa"/>
            <w:tcBorders>
              <w:top w:val="single" w:sz="4" w:space="0" w:color="auto"/>
              <w:left w:val="single" w:sz="4" w:space="0" w:color="auto"/>
              <w:bottom w:val="single" w:sz="4" w:space="0" w:color="auto"/>
              <w:right w:val="nil"/>
            </w:tcBorders>
            <w:shd w:val="clear" w:color="auto" w:fill="auto"/>
            <w:vAlign w:val="center"/>
            <w:hideMark/>
          </w:tcPr>
          <w:p>
            <w:pPr>
              <w:rPr>
                <w:noProof/>
                <w:color w:val="000000"/>
                <w:sz w:val="16"/>
                <w:szCs w:val="16"/>
              </w:rPr>
            </w:pPr>
            <w:r>
              <w:rPr>
                <w:noProof/>
                <w:color w:val="000000"/>
                <w:sz w:val="16"/>
              </w:rPr>
              <w:t> </w:t>
            </w:r>
          </w:p>
        </w:tc>
        <w:tc>
          <w:tcPr>
            <w:tcW w:w="3042" w:type="dxa"/>
            <w:tcBorders>
              <w:top w:val="single" w:sz="4" w:space="0" w:color="auto"/>
              <w:left w:val="nil"/>
              <w:bottom w:val="single" w:sz="4" w:space="0" w:color="auto"/>
              <w:right w:val="single" w:sz="4" w:space="0" w:color="auto"/>
            </w:tcBorders>
            <w:shd w:val="clear" w:color="auto" w:fill="auto"/>
            <w:vAlign w:val="center"/>
            <w:hideMark/>
          </w:tcPr>
          <w:p>
            <w:pPr>
              <w:rPr>
                <w:b/>
                <w:bCs/>
                <w:noProof/>
                <w:color w:val="000000"/>
                <w:sz w:val="16"/>
                <w:szCs w:val="16"/>
              </w:rPr>
            </w:pPr>
            <w:r>
              <w:rPr>
                <w:b/>
                <w:noProof/>
                <w:color w:val="000000"/>
                <w:sz w:val="16"/>
              </w:rPr>
              <w:t>Autres instruments spéciaux</w:t>
            </w:r>
          </w:p>
        </w:tc>
        <w:tc>
          <w:tcPr>
            <w:tcW w:w="1298"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515 365 000</w:t>
            </w:r>
          </w:p>
        </w:tc>
        <w:tc>
          <w:tcPr>
            <w:tcW w:w="1417"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351 724 968</w:t>
            </w:r>
          </w:p>
        </w:tc>
        <w:tc>
          <w:tcPr>
            <w:tcW w:w="1134"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66 505 850</w:t>
            </w:r>
          </w:p>
        </w:tc>
        <w:tc>
          <w:tcPr>
            <w:tcW w:w="1134"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66 505 850</w:t>
            </w:r>
          </w:p>
        </w:tc>
        <w:tc>
          <w:tcPr>
            <w:tcW w:w="1418"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581 870 850</w:t>
            </w:r>
          </w:p>
        </w:tc>
        <w:tc>
          <w:tcPr>
            <w:tcW w:w="1357"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418 230 818</w:t>
            </w:r>
          </w:p>
        </w:tc>
      </w:tr>
      <w:tr>
        <w:trPr>
          <w:trHeight w:val="270"/>
          <w:jc w:val="center"/>
        </w:trPr>
        <w:tc>
          <w:tcPr>
            <w:tcW w:w="3418" w:type="dxa"/>
            <w:gridSpan w:val="2"/>
            <w:tcBorders>
              <w:top w:val="nil"/>
              <w:left w:val="single" w:sz="4" w:space="0" w:color="auto"/>
              <w:bottom w:val="single" w:sz="4" w:space="0" w:color="auto"/>
              <w:right w:val="single" w:sz="4" w:space="0" w:color="000000"/>
            </w:tcBorders>
            <w:shd w:val="clear" w:color="000000" w:fill="D9D9D9"/>
            <w:vAlign w:val="center"/>
            <w:hideMark/>
          </w:tcPr>
          <w:p>
            <w:pPr>
              <w:jc w:val="right"/>
              <w:rPr>
                <w:b/>
                <w:bCs/>
                <w:noProof/>
                <w:color w:val="000000"/>
                <w:sz w:val="16"/>
                <w:szCs w:val="16"/>
              </w:rPr>
            </w:pPr>
            <w:r>
              <w:rPr>
                <w:b/>
                <w:noProof/>
                <w:color w:val="000000"/>
                <w:sz w:val="16"/>
              </w:rPr>
              <w:t>Total général</w:t>
            </w:r>
          </w:p>
        </w:tc>
        <w:tc>
          <w:tcPr>
            <w:tcW w:w="1298"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161 800 449 808</w:t>
            </w:r>
          </w:p>
        </w:tc>
        <w:tc>
          <w:tcPr>
            <w:tcW w:w="1417"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141 214 040 563</w:t>
            </w:r>
          </w:p>
        </w:tc>
        <w:tc>
          <w:tcPr>
            <w:tcW w:w="1134"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 xml:space="preserve"> 66 505 850</w:t>
            </w:r>
          </w:p>
        </w:tc>
        <w:tc>
          <w:tcPr>
            <w:tcW w:w="1134"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 xml:space="preserve"> 66 505 850</w:t>
            </w:r>
          </w:p>
        </w:tc>
        <w:tc>
          <w:tcPr>
            <w:tcW w:w="1418"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161 866 955 658</w:t>
            </w:r>
          </w:p>
        </w:tc>
        <w:tc>
          <w:tcPr>
            <w:tcW w:w="1357"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141 280 546 413</w:t>
            </w:r>
          </w:p>
        </w:tc>
      </w:tr>
    </w:tbl>
    <w:p>
      <w:pPr>
        <w:spacing w:before="120" w:after="120"/>
        <w:jc w:val="both"/>
        <w:rPr>
          <w:noProof/>
        </w:rPr>
      </w:pPr>
    </w:p>
    <w:sectPr>
      <w:headerReference w:type="even" r:id="rId35"/>
      <w:headerReference w:type="default" r:id="rId36"/>
      <w:footerReference w:type="even" r:id="rId37"/>
      <w:footerReference w:type="default" r:id="rId38"/>
      <w:headerReference w:type="first" r:id="rId39"/>
      <w:footerReference w:type="first" r:id="rId40"/>
      <w:pgSz w:w="11907" w:h="1683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10</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nb-NO"/>
        </w:rPr>
      </w:pPr>
      <w:r>
        <w:rPr>
          <w:rStyle w:val="FootnoteReference"/>
        </w:rPr>
        <w:footnoteRef/>
      </w:r>
      <w:r>
        <w:rPr>
          <w:lang w:val="nb-NO"/>
        </w:rPr>
        <w:tab/>
      </w:r>
      <w:r>
        <w:rPr>
          <w:sz w:val="18"/>
          <w:lang w:val="nb-NO"/>
        </w:rPr>
        <w:t>JO L 298 du 26.10.2012, p. 1.</w:t>
      </w:r>
    </w:p>
  </w:footnote>
  <w:footnote w:id="3">
    <w:p>
      <w:pPr>
        <w:pStyle w:val="FootnoteText"/>
        <w:rPr>
          <w:lang w:val="nb-NO"/>
        </w:rPr>
      </w:pPr>
      <w:r>
        <w:rPr>
          <w:rStyle w:val="FootnoteReference"/>
        </w:rPr>
        <w:footnoteRef/>
      </w:r>
      <w:r>
        <w:rPr>
          <w:lang w:val="nb-NO"/>
        </w:rPr>
        <w:t xml:space="preserve"> </w:t>
      </w:r>
      <w:r>
        <w:rPr>
          <w:lang w:val="nb-NO"/>
        </w:rPr>
        <w:tab/>
      </w:r>
      <w:r>
        <w:rPr>
          <w:rFonts w:ascii="TimesNewRoman" w:hAnsi="TimesNewRoman"/>
          <w:sz w:val="18"/>
          <w:lang w:val="nb-NO"/>
        </w:rPr>
        <w:t>JO L 347 du 20.12.2013, p. 884.</w:t>
      </w:r>
    </w:p>
  </w:footnote>
  <w:footnote w:id="4">
    <w:p>
      <w:pPr>
        <w:pStyle w:val="FootnoteText"/>
        <w:rPr>
          <w:lang w:val="nb-NO"/>
        </w:rPr>
      </w:pPr>
      <w:r>
        <w:rPr>
          <w:rStyle w:val="FootnoteReference"/>
        </w:rPr>
        <w:footnoteRef/>
      </w:r>
      <w:r>
        <w:rPr>
          <w:lang w:val="nb-NO"/>
        </w:rPr>
        <w:tab/>
      </w:r>
      <w:r>
        <w:rPr>
          <w:sz w:val="18"/>
          <w:lang w:val="nb-NO"/>
        </w:rPr>
        <w:t>JO L 69 du 13.3.2015, p. 1.</w:t>
      </w:r>
    </w:p>
  </w:footnote>
  <w:footnote w:id="5">
    <w:p>
      <w:pPr>
        <w:pStyle w:val="FootnoteText"/>
        <w:rPr>
          <w:lang w:val="nb-NO"/>
        </w:rPr>
      </w:pPr>
      <w:r>
        <w:rPr>
          <w:rStyle w:val="FootnoteReference"/>
        </w:rPr>
        <w:footnoteRef/>
      </w:r>
      <w:r>
        <w:rPr>
          <w:lang w:val="nb-NO"/>
        </w:rPr>
        <w:t xml:space="preserve"> </w:t>
      </w:r>
      <w:r>
        <w:rPr>
          <w:lang w:val="nb-NO"/>
        </w:rPr>
        <w:tab/>
        <w:t>COM(2015) 11 final du 13.1.2015.</w:t>
      </w:r>
    </w:p>
  </w:footnote>
  <w:footnote w:id="6">
    <w:p>
      <w:pPr>
        <w:pStyle w:val="FootnoteText"/>
        <w:rPr>
          <w:lang w:val="pt-PT"/>
        </w:rPr>
      </w:pPr>
      <w:r>
        <w:rPr>
          <w:rStyle w:val="FootnoteReference"/>
        </w:rPr>
        <w:footnoteRef/>
      </w:r>
      <w:r>
        <w:rPr>
          <w:lang w:val="pt-PT"/>
        </w:rPr>
        <w:t xml:space="preserve"> </w:t>
      </w:r>
      <w:r>
        <w:rPr>
          <w:lang w:val="pt-PT"/>
        </w:rPr>
        <w:tab/>
        <w:t>COM(2015) 16 final du 20.1.2015.</w:t>
      </w:r>
    </w:p>
  </w:footnote>
  <w:footnote w:id="7">
    <w:p>
      <w:pPr>
        <w:pStyle w:val="FootnoteText"/>
        <w:rPr>
          <w:lang w:val="pt-PT"/>
        </w:rPr>
      </w:pPr>
      <w:r>
        <w:rPr>
          <w:rStyle w:val="FootnoteReference"/>
        </w:rPr>
        <w:footnoteRef/>
      </w:r>
      <w:r>
        <w:rPr>
          <w:lang w:val="pt-PT"/>
        </w:rPr>
        <w:t xml:space="preserve"> </w:t>
      </w:r>
      <w:r>
        <w:rPr>
          <w:lang w:val="pt-PT"/>
        </w:rPr>
        <w:tab/>
        <w:t>COM(2015) [</w:t>
      </w:r>
      <w:r>
        <w:rPr>
          <w:highlight w:val="yellow"/>
          <w:lang w:val="pt-PT"/>
        </w:rPr>
        <w:t>XXX final du 15.4.2015</w:t>
      </w:r>
      <w:r>
        <w:rPr>
          <w:lang w:val="pt-PT"/>
        </w:rPr>
        <w:t>].</w:t>
      </w:r>
    </w:p>
  </w:footnote>
  <w:footnote w:id="8">
    <w:p>
      <w:pPr>
        <w:ind w:left="709" w:hanging="709"/>
        <w:rPr>
          <w:sz w:val="20"/>
          <w:szCs w:val="20"/>
        </w:rPr>
      </w:pPr>
      <w:r>
        <w:rPr>
          <w:rStyle w:val="FootnoteReference"/>
        </w:rPr>
        <w:footnoteRef/>
      </w:r>
      <w:r>
        <w:t xml:space="preserve"> </w:t>
      </w:r>
      <w:r>
        <w:tab/>
      </w:r>
      <w:r>
        <w:rPr>
          <w:sz w:val="20"/>
        </w:rPr>
        <w:t>Règlement (CE) n° 2012/2002 du Conseil du 11 novembre 2002 instituant le Fonds de solidarité de l'Union européenne (JO L 311 du 14.11.2002, p. 3), tel que modifié par le règlement (UE) n° 661/2014 du Parlement européen et du Conseil du 15 mai 2014 (JO L 189 du 27.6.2014, p. 143).</w:t>
      </w:r>
    </w:p>
    <w:p>
      <w:pPr>
        <w:pStyle w:val="FootnoteText"/>
      </w:pPr>
    </w:p>
  </w:footnote>
  <w:footnote w:id="9">
    <w:p>
      <w:pPr>
        <w:pStyle w:val="FootnoteText"/>
      </w:pPr>
      <w:r>
        <w:rPr>
          <w:rStyle w:val="FootnoteReference"/>
        </w:rPr>
        <w:footnoteRef/>
      </w:r>
      <w:r>
        <w:t xml:space="preserve"> </w:t>
      </w:r>
      <w:r>
        <w:tab/>
        <w:t>JO L 347 du 20.12.2013, p. 884.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4448C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9ED833C0"/>
    <w:lvl w:ilvl="0">
      <w:start w:val="1"/>
      <w:numFmt w:val="decimal"/>
      <w:lvlText w:val="%1."/>
      <w:lvlJc w:val="left"/>
      <w:pPr>
        <w:tabs>
          <w:tab w:val="num" w:pos="360"/>
        </w:tabs>
        <w:ind w:left="360" w:hanging="360"/>
      </w:pPr>
    </w:lvl>
  </w:abstractNum>
  <w:abstractNum w:abstractNumId="2">
    <w:nsid w:val="00A856D4"/>
    <w:multiLevelType w:val="hybridMultilevel"/>
    <w:tmpl w:val="B07CF3C4"/>
    <w:lvl w:ilvl="0" w:tplc="3D900F3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54526B"/>
    <w:multiLevelType w:val="hybridMultilevel"/>
    <w:tmpl w:val="18D88870"/>
    <w:lvl w:ilvl="0" w:tplc="8A36BA8C">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401886"/>
    <w:multiLevelType w:val="hybridMultilevel"/>
    <w:tmpl w:val="FBA0B950"/>
    <w:lvl w:ilvl="0" w:tplc="D1CAE414">
      <w:numFmt w:val="bullet"/>
      <w:lvlText w:val="-"/>
      <w:lvlJc w:val="left"/>
      <w:pPr>
        <w:tabs>
          <w:tab w:val="num" w:pos="810"/>
        </w:tabs>
        <w:ind w:left="810" w:hanging="45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F20AC0"/>
    <w:multiLevelType w:val="hybridMultilevel"/>
    <w:tmpl w:val="32B0E5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7936C33"/>
    <w:multiLevelType w:val="hybridMultilevel"/>
    <w:tmpl w:val="4036C0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8795CFC"/>
    <w:multiLevelType w:val="hybridMultilevel"/>
    <w:tmpl w:val="D988CAFC"/>
    <w:lvl w:ilvl="0" w:tplc="040C000F">
      <w:start w:val="1"/>
      <w:numFmt w:val="decimal"/>
      <w:lvlText w:val="%1."/>
      <w:lvlJc w:val="left"/>
      <w:pPr>
        <w:tabs>
          <w:tab w:val="num" w:pos="720"/>
        </w:tabs>
        <w:ind w:left="720" w:hanging="360"/>
      </w:pPr>
    </w:lvl>
    <w:lvl w:ilvl="1" w:tplc="94027E84">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nsid w:val="2F78565E"/>
    <w:multiLevelType w:val="hybridMultilevel"/>
    <w:tmpl w:val="3F76E56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nsid w:val="31246D7F"/>
    <w:multiLevelType w:val="hybridMultilevel"/>
    <w:tmpl w:val="E1EA8208"/>
    <w:lvl w:ilvl="0" w:tplc="94027E84">
      <w:start w:val="1"/>
      <w:numFmt w:val="bullet"/>
      <w:lvlText w:val=""/>
      <w:lvlJc w:val="left"/>
      <w:pPr>
        <w:tabs>
          <w:tab w:val="num" w:pos="1437"/>
        </w:tabs>
        <w:ind w:left="1437"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3">
    <w:nsid w:val="33BE45BD"/>
    <w:multiLevelType w:val="hybridMultilevel"/>
    <w:tmpl w:val="6D2219A0"/>
    <w:lvl w:ilvl="0" w:tplc="08090001">
      <w:start w:val="1"/>
      <w:numFmt w:val="bullet"/>
      <w:lvlText w:val=""/>
      <w:lvlJc w:val="left"/>
      <w:pPr>
        <w:tabs>
          <w:tab w:val="num" w:pos="720"/>
        </w:tabs>
        <w:ind w:left="720" w:hanging="360"/>
      </w:pPr>
      <w:rPr>
        <w:rFonts w:ascii="Symbol" w:hAnsi="Symbol" w:hint="default"/>
      </w:rPr>
    </w:lvl>
    <w:lvl w:ilvl="1" w:tplc="94027E84">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34EA3932"/>
    <w:multiLevelType w:val="hybridMultilevel"/>
    <w:tmpl w:val="FA52BE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7">
    <w:nsid w:val="438628B4"/>
    <w:multiLevelType w:val="hybridMultilevel"/>
    <w:tmpl w:val="7706A2BE"/>
    <w:lvl w:ilvl="0" w:tplc="3D900F36">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nsid w:val="539E2343"/>
    <w:multiLevelType w:val="hybridMultilevel"/>
    <w:tmpl w:val="D89C5EF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nsid w:val="58D36DEC"/>
    <w:multiLevelType w:val="hybridMultilevel"/>
    <w:tmpl w:val="79644CE6"/>
    <w:lvl w:ilvl="0" w:tplc="8A36BA8C">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3">
    <w:nsid w:val="6D38527D"/>
    <w:multiLevelType w:val="hybridMultilevel"/>
    <w:tmpl w:val="C0B8F2B8"/>
    <w:lvl w:ilvl="0" w:tplc="EB1C0EE4">
      <w:start w:val="4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123216D"/>
    <w:multiLevelType w:val="hybridMultilevel"/>
    <w:tmpl w:val="F648ECEA"/>
    <w:lvl w:ilvl="0" w:tplc="5810F3C8">
      <w:start w:val="1"/>
      <w:numFmt w:val="bullet"/>
      <w:lvlText w:val=""/>
      <w:lvlJc w:val="left"/>
      <w:pPr>
        <w:tabs>
          <w:tab w:val="num" w:pos="720"/>
        </w:tabs>
        <w:ind w:left="720" w:hanging="360"/>
      </w:pPr>
      <w:rPr>
        <w:rFonts w:ascii="Symbol" w:hAnsi="Symbol" w:hint="default"/>
      </w:rPr>
    </w:lvl>
    <w:lvl w:ilvl="1" w:tplc="E45E7B3C" w:tentative="1">
      <w:start w:val="1"/>
      <w:numFmt w:val="bullet"/>
      <w:lvlText w:val="o"/>
      <w:lvlJc w:val="left"/>
      <w:pPr>
        <w:tabs>
          <w:tab w:val="num" w:pos="1440"/>
        </w:tabs>
        <w:ind w:left="1440" w:hanging="360"/>
      </w:pPr>
      <w:rPr>
        <w:rFonts w:ascii="Courier New" w:hAnsi="Courier New" w:cs="Courier New" w:hint="default"/>
      </w:rPr>
    </w:lvl>
    <w:lvl w:ilvl="2" w:tplc="46941928" w:tentative="1">
      <w:start w:val="1"/>
      <w:numFmt w:val="bullet"/>
      <w:lvlText w:val=""/>
      <w:lvlJc w:val="left"/>
      <w:pPr>
        <w:tabs>
          <w:tab w:val="num" w:pos="2160"/>
        </w:tabs>
        <w:ind w:left="2160" w:hanging="360"/>
      </w:pPr>
      <w:rPr>
        <w:rFonts w:ascii="Wingdings" w:hAnsi="Wingdings" w:hint="default"/>
      </w:rPr>
    </w:lvl>
    <w:lvl w:ilvl="3" w:tplc="9906EA66" w:tentative="1">
      <w:start w:val="1"/>
      <w:numFmt w:val="bullet"/>
      <w:lvlText w:val=""/>
      <w:lvlJc w:val="left"/>
      <w:pPr>
        <w:tabs>
          <w:tab w:val="num" w:pos="2880"/>
        </w:tabs>
        <w:ind w:left="2880" w:hanging="360"/>
      </w:pPr>
      <w:rPr>
        <w:rFonts w:ascii="Symbol" w:hAnsi="Symbol" w:hint="default"/>
      </w:rPr>
    </w:lvl>
    <w:lvl w:ilvl="4" w:tplc="F54297AE" w:tentative="1">
      <w:start w:val="1"/>
      <w:numFmt w:val="bullet"/>
      <w:lvlText w:val="o"/>
      <w:lvlJc w:val="left"/>
      <w:pPr>
        <w:tabs>
          <w:tab w:val="num" w:pos="3600"/>
        </w:tabs>
        <w:ind w:left="3600" w:hanging="360"/>
      </w:pPr>
      <w:rPr>
        <w:rFonts w:ascii="Courier New" w:hAnsi="Courier New" w:cs="Courier New" w:hint="default"/>
      </w:rPr>
    </w:lvl>
    <w:lvl w:ilvl="5" w:tplc="878EFA52" w:tentative="1">
      <w:start w:val="1"/>
      <w:numFmt w:val="bullet"/>
      <w:lvlText w:val=""/>
      <w:lvlJc w:val="left"/>
      <w:pPr>
        <w:tabs>
          <w:tab w:val="num" w:pos="4320"/>
        </w:tabs>
        <w:ind w:left="4320" w:hanging="360"/>
      </w:pPr>
      <w:rPr>
        <w:rFonts w:ascii="Wingdings" w:hAnsi="Wingdings" w:hint="default"/>
      </w:rPr>
    </w:lvl>
    <w:lvl w:ilvl="6" w:tplc="B0DEB76A" w:tentative="1">
      <w:start w:val="1"/>
      <w:numFmt w:val="bullet"/>
      <w:lvlText w:val=""/>
      <w:lvlJc w:val="left"/>
      <w:pPr>
        <w:tabs>
          <w:tab w:val="num" w:pos="5040"/>
        </w:tabs>
        <w:ind w:left="5040" w:hanging="360"/>
      </w:pPr>
      <w:rPr>
        <w:rFonts w:ascii="Symbol" w:hAnsi="Symbol" w:hint="default"/>
      </w:rPr>
    </w:lvl>
    <w:lvl w:ilvl="7" w:tplc="F0B2655E" w:tentative="1">
      <w:start w:val="1"/>
      <w:numFmt w:val="bullet"/>
      <w:lvlText w:val="o"/>
      <w:lvlJc w:val="left"/>
      <w:pPr>
        <w:tabs>
          <w:tab w:val="num" w:pos="5760"/>
        </w:tabs>
        <w:ind w:left="5760" w:hanging="360"/>
      </w:pPr>
      <w:rPr>
        <w:rFonts w:ascii="Courier New" w:hAnsi="Courier New" w:cs="Courier New" w:hint="default"/>
      </w:rPr>
    </w:lvl>
    <w:lvl w:ilvl="8" w:tplc="41F24686"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2"/>
  </w:num>
  <w:num w:numId="4">
    <w:abstractNumId w:val="16"/>
  </w:num>
  <w:num w:numId="5">
    <w:abstractNumId w:val="24"/>
  </w:num>
  <w:num w:numId="6">
    <w:abstractNumId w:val="16"/>
  </w:num>
  <w:num w:numId="7">
    <w:abstractNumId w:val="22"/>
  </w:num>
  <w:num w:numId="8">
    <w:abstractNumId w:val="15"/>
  </w:num>
  <w:num w:numId="9">
    <w:abstractNumId w:val="8"/>
  </w:num>
  <w:num w:numId="10">
    <w:abstractNumId w:val="13"/>
  </w:num>
  <w:num w:numId="11">
    <w:abstractNumId w:val="14"/>
  </w:num>
  <w:num w:numId="12">
    <w:abstractNumId w:val="5"/>
  </w:num>
  <w:num w:numId="13">
    <w:abstractNumId w:val="7"/>
  </w:num>
  <w:num w:numId="14">
    <w:abstractNumId w:val="9"/>
  </w:num>
  <w:num w:numId="15">
    <w:abstractNumId w:val="11"/>
  </w:num>
  <w:num w:numId="16">
    <w:abstractNumId w:val="17"/>
  </w:num>
  <w:num w:numId="17">
    <w:abstractNumId w:val="16"/>
  </w:num>
  <w:num w:numId="18">
    <w:abstractNumId w:val="20"/>
  </w:num>
  <w:num w:numId="19">
    <w:abstractNumId w:val="4"/>
  </w:num>
  <w:num w:numId="20">
    <w:abstractNumId w:val="10"/>
  </w:num>
  <w:num w:numId="21">
    <w:abstractNumId w:val="16"/>
  </w:num>
  <w:num w:numId="22">
    <w:abstractNumId w:val="16"/>
  </w:num>
  <w:num w:numId="23">
    <w:abstractNumId w:val="3"/>
  </w:num>
  <w:num w:numId="24">
    <w:abstractNumId w:val="23"/>
  </w:num>
  <w:num w:numId="25">
    <w:abstractNumId w:val="19"/>
  </w:num>
  <w:num w:numId="26">
    <w:abstractNumId w:val="0"/>
  </w:num>
  <w:num w:numId="27">
    <w:abstractNumId w:val="18"/>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6"/>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1"/>
  </w:num>
  <w:num w:numId="39">
    <w:abstractNumId w:val="2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0CA89233D9874165A34E364AC1DFCD39"/>
    <w:docVar w:name="LW_CROSSREFERENCE" w:val="&lt;UNUSED&gt;"/>
    <w:docVar w:name="LW_DocType" w:val="NORMAL"/>
    <w:docVar w:name="LW_EMISSION" w:val="15.4.2015"/>
    <w:docVar w:name="LW_EMISSION_ISODATE" w:val="2015-04-15"/>
    <w:docVar w:name="LW_EMISSION_LOCATION" w:val="BRX"/>
    <w:docVar w:name="LW_EMISSION_PREFIX" w:val="Bruxelles, le "/>
    <w:docVar w:name="LW_EMISSION_SUFFIX" w:val=" "/>
    <w:docVar w:name="LW_ID_DOCTYPE_NONLW" w:val="CP-035"/>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161"/>
    <w:docVar w:name="LW_REF.INTERNE" w:val="&lt;UNUSED&gt;"/>
    <w:docVar w:name="LW_SOUS.TITRE.OBJ.CP" w:val="&lt;UNUSED&gt;"/>
    <w:docVar w:name="LW_SUPERTITRE" w:val="&lt;UNUSED&gt;"/>
    <w:docVar w:name="LW_TITRE.OBJ.CP" w:val="ACCOMPAGNANT LA PROPOSITION D'INTERVENTION DU FONDS DE SOLIDARITÉ DE L'UNION EUROPÉENNE EN FAVEUR DE LA ROUMANIE, LA BULGARIE ET L'ITALIE"/>
    <w:docVar w:name="LW_TITRE.OBJ.CP_PREVIOUS" w:val="&lt;UNUSED&gt;"/>
    <w:docVar w:name="LW_TYPE.DOC.CP" w:val="PROJET DE BUDGET RECTIFICATIF Nº 4_x000b_AU BUDGET GÉNÉRAL 2015"/>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5"/>
        <w:tab w:val="right" w:pos="9071"/>
        <w:tab w:val="right" w:pos="9921"/>
      </w:tabs>
      <w:spacing w:before="360"/>
      <w:ind w:left="-850" w:right="-850"/>
    </w:pPr>
  </w:style>
  <w:style w:type="paragraph" w:styleId="FootnoteText">
    <w:name w:val="footnote text"/>
    <w:basedOn w:val="Normal"/>
    <w:link w:val="FootnoteTextChar"/>
    <w:pPr>
      <w:ind w:left="720" w:hanging="720"/>
      <w:jc w:val="both"/>
    </w:pPr>
    <w:rPr>
      <w:sz w:val="20"/>
      <w:szCs w:val="20"/>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semiHidden/>
    <w:rPr>
      <w:vertAlign w:val="superscript"/>
    </w:rPr>
  </w:style>
  <w:style w:type="paragraph" w:customStyle="1" w:styleId="Text1">
    <w:name w:val="Text 1"/>
    <w:basedOn w:val="Normal"/>
    <w:pPr>
      <w:spacing w:before="120" w:after="120"/>
      <w:ind w:left="850"/>
      <w:jc w:val="both"/>
    </w:p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rPr>
  </w:style>
  <w:style w:type="paragraph" w:customStyle="1" w:styleId="ListDash">
    <w:name w:val="List Dash"/>
    <w:basedOn w:val="Normal"/>
    <w:link w:val="ListDashChar"/>
    <w:pPr>
      <w:numPr>
        <w:numId w:val="2"/>
      </w:numPr>
      <w:spacing w:before="120" w:after="120"/>
      <w:jc w:val="both"/>
    </w:pPr>
  </w:style>
  <w:style w:type="paragraph" w:styleId="TOCHeading">
    <w:name w:val="TOC Heading"/>
    <w:basedOn w:val="Normal"/>
    <w:next w:val="Normal"/>
    <w:uiPriority w:val="39"/>
    <w:qFormat/>
    <w:pPr>
      <w:spacing w:before="120" w:after="240"/>
      <w:jc w:val="center"/>
    </w:pPr>
    <w:rPr>
      <w:b/>
      <w:sz w:val="28"/>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jc w:val="center"/>
    </w:pPr>
    <w:rPr>
      <w:b/>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pPr>
      <w:tabs>
        <w:tab w:val="center" w:pos="4536"/>
        <w:tab w:val="right" w:pos="9072"/>
      </w:tabs>
    </w:p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pPr>
      <w:ind w:left="240"/>
    </w:pPr>
    <w:rPr>
      <w:smallCaps/>
      <w:sz w:val="20"/>
      <w:szCs w:val="20"/>
    </w:rPr>
  </w:style>
  <w:style w:type="paragraph" w:styleId="TOC3">
    <w:name w:val="toc 3"/>
    <w:basedOn w:val="Normal"/>
    <w:next w:val="Normal"/>
    <w:autoRedefine/>
    <w:semiHidden/>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7"/>
      </w:numPr>
      <w:spacing w:before="120" w:after="120"/>
      <w:jc w:val="both"/>
    </w:pPr>
  </w:style>
  <w:style w:type="paragraph" w:customStyle="1" w:styleId="ListDash2">
    <w:name w:val="List Dash 2"/>
    <w:basedOn w:val="Normal"/>
    <w:pPr>
      <w:tabs>
        <w:tab w:val="num" w:pos="1134"/>
      </w:tabs>
      <w:spacing w:before="120" w:after="120"/>
      <w:ind w:left="1134" w:hanging="283"/>
      <w:jc w:val="both"/>
    </w:pPr>
  </w:style>
  <w:style w:type="paragraph" w:customStyle="1" w:styleId="ListBullet1">
    <w:name w:val="List Bullet 1"/>
    <w:basedOn w:val="Text1"/>
    <w:pPr>
      <w:numPr>
        <w:numId w:val="8"/>
      </w:numPr>
      <w:spacing w:before="0" w:after="240"/>
    </w:pPr>
    <w:rPr>
      <w:szCs w:val="20"/>
    </w:rPr>
  </w:style>
  <w:style w:type="paragraph" w:styleId="ListBullet2">
    <w:name w:val="List Bullet 2"/>
    <w:basedOn w:val="Normal"/>
    <w:pPr>
      <w:numPr>
        <w:numId w:val="14"/>
      </w:numPr>
      <w:spacing w:after="240"/>
      <w:jc w:val="both"/>
    </w:pPr>
    <w:rPr>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rPr>
  </w:style>
  <w:style w:type="paragraph" w:customStyle="1" w:styleId="Titreobjet">
    <w:name w:val="Titre objet"/>
    <w:basedOn w:val="Normal"/>
    <w:next w:val="Normal"/>
    <w:pPr>
      <w:spacing w:before="360" w:after="360"/>
      <w:jc w:val="center"/>
    </w:pPr>
    <w:rPr>
      <w:b/>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18"/>
      </w:numPr>
      <w:spacing w:before="120" w:after="120"/>
      <w:jc w:val="both"/>
    </w:pPr>
  </w:style>
  <w:style w:type="paragraph" w:customStyle="1" w:styleId="ListNumberLevel2">
    <w:name w:val="List Number (Level 2)"/>
    <w:basedOn w:val="Normal"/>
    <w:pPr>
      <w:numPr>
        <w:ilvl w:val="1"/>
        <w:numId w:val="18"/>
      </w:numPr>
      <w:spacing w:before="120" w:after="120"/>
      <w:jc w:val="both"/>
    </w:pPr>
  </w:style>
  <w:style w:type="paragraph" w:customStyle="1" w:styleId="ListNumberLevel3">
    <w:name w:val="List Number (Level 3)"/>
    <w:basedOn w:val="Normal"/>
    <w:pPr>
      <w:numPr>
        <w:ilvl w:val="2"/>
        <w:numId w:val="18"/>
      </w:numPr>
      <w:spacing w:before="120" w:after="120"/>
      <w:jc w:val="both"/>
    </w:pPr>
  </w:style>
  <w:style w:type="paragraph" w:customStyle="1" w:styleId="ListNumberLevel4">
    <w:name w:val="List Number (Level 4)"/>
    <w:basedOn w:val="Normal"/>
    <w:pPr>
      <w:numPr>
        <w:ilvl w:val="3"/>
        <w:numId w:val="18"/>
      </w:numPr>
      <w:spacing w:before="120" w:after="120"/>
      <w:jc w:val="both"/>
    </w:pPr>
  </w:style>
  <w:style w:type="character" w:customStyle="1" w:styleId="ListDashChar">
    <w:name w:val="List Dash Char"/>
    <w:link w:val="ListDash"/>
    <w:rPr>
      <w:sz w:val="24"/>
      <w:szCs w:val="24"/>
      <w:lang w:eastAsia="fr-FR"/>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fr-FR"/>
    </w:rPr>
  </w:style>
  <w:style w:type="paragraph" w:customStyle="1" w:styleId="NormalCentered">
    <w:name w:val="Normal Centered"/>
    <w:basedOn w:val="Normal"/>
    <w:uiPriority w:val="99"/>
    <w:pPr>
      <w:spacing w:before="120" w:after="120"/>
      <w:jc w:val="center"/>
    </w:pPr>
  </w:style>
  <w:style w:type="paragraph" w:customStyle="1" w:styleId="NormalRight">
    <w:name w:val="Normal Right"/>
    <w:basedOn w:val="Normal"/>
    <w:uiPriority w:val="99"/>
    <w:pPr>
      <w:spacing w:before="120" w:after="120"/>
      <w:jc w:val="right"/>
    </w:p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rPr>
  </w:style>
  <w:style w:type="paragraph" w:customStyle="1" w:styleId="Footnoter">
    <w:name w:val="Footnote r"/>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pPr>
      <w:numPr>
        <w:numId w:val="35"/>
      </w:numPr>
      <w:spacing w:before="120" w:after="120"/>
      <w:jc w:val="both"/>
    </w:pPr>
    <w:rPr>
      <w:szCs w:val="22"/>
    </w:rPr>
  </w:style>
  <w:style w:type="paragraph" w:customStyle="1" w:styleId="Point1number">
    <w:name w:val="Point 1 (number)"/>
    <w:basedOn w:val="Normal"/>
    <w:pPr>
      <w:numPr>
        <w:ilvl w:val="2"/>
        <w:numId w:val="35"/>
      </w:numPr>
      <w:spacing w:before="120" w:after="120"/>
      <w:jc w:val="both"/>
    </w:pPr>
    <w:rPr>
      <w:szCs w:val="22"/>
    </w:rPr>
  </w:style>
  <w:style w:type="paragraph" w:customStyle="1" w:styleId="Point2number">
    <w:name w:val="Point 2 (number)"/>
    <w:basedOn w:val="Normal"/>
    <w:pPr>
      <w:numPr>
        <w:ilvl w:val="4"/>
        <w:numId w:val="35"/>
      </w:numPr>
      <w:spacing w:before="120" w:after="120"/>
      <w:jc w:val="both"/>
    </w:pPr>
    <w:rPr>
      <w:szCs w:val="22"/>
    </w:rPr>
  </w:style>
  <w:style w:type="paragraph" w:customStyle="1" w:styleId="Point3number">
    <w:name w:val="Point 3 (number)"/>
    <w:basedOn w:val="Normal"/>
    <w:pPr>
      <w:numPr>
        <w:ilvl w:val="6"/>
        <w:numId w:val="35"/>
      </w:numPr>
      <w:spacing w:before="120" w:after="120"/>
      <w:jc w:val="both"/>
    </w:pPr>
    <w:rPr>
      <w:szCs w:val="22"/>
    </w:rPr>
  </w:style>
  <w:style w:type="paragraph" w:customStyle="1" w:styleId="Point0letter">
    <w:name w:val="Point 0 (letter)"/>
    <w:basedOn w:val="Normal"/>
    <w:pPr>
      <w:numPr>
        <w:ilvl w:val="1"/>
        <w:numId w:val="35"/>
      </w:numPr>
      <w:spacing w:before="120" w:after="120"/>
      <w:jc w:val="both"/>
    </w:pPr>
    <w:rPr>
      <w:szCs w:val="22"/>
    </w:rPr>
  </w:style>
  <w:style w:type="paragraph" w:customStyle="1" w:styleId="Point1letter">
    <w:name w:val="Point 1 (letter)"/>
    <w:basedOn w:val="Normal"/>
    <w:pPr>
      <w:numPr>
        <w:ilvl w:val="3"/>
        <w:numId w:val="35"/>
      </w:numPr>
      <w:spacing w:before="120" w:after="120"/>
      <w:jc w:val="both"/>
    </w:pPr>
    <w:rPr>
      <w:szCs w:val="22"/>
    </w:rPr>
  </w:style>
  <w:style w:type="paragraph" w:customStyle="1" w:styleId="Point2letter">
    <w:name w:val="Point 2 (letter)"/>
    <w:basedOn w:val="Normal"/>
    <w:pPr>
      <w:numPr>
        <w:ilvl w:val="5"/>
        <w:numId w:val="35"/>
      </w:numPr>
      <w:spacing w:before="120" w:after="120"/>
      <w:jc w:val="both"/>
    </w:pPr>
    <w:rPr>
      <w:szCs w:val="22"/>
    </w:rPr>
  </w:style>
  <w:style w:type="paragraph" w:customStyle="1" w:styleId="Point3letter">
    <w:name w:val="Point 3 (letter)"/>
    <w:basedOn w:val="Normal"/>
    <w:pPr>
      <w:numPr>
        <w:ilvl w:val="7"/>
        <w:numId w:val="35"/>
      </w:numPr>
      <w:spacing w:before="120" w:after="120"/>
      <w:jc w:val="both"/>
    </w:pPr>
    <w:rPr>
      <w:szCs w:val="22"/>
    </w:rPr>
  </w:style>
  <w:style w:type="paragraph" w:customStyle="1" w:styleId="Point4letter">
    <w:name w:val="Point 4 (letter)"/>
    <w:basedOn w:val="Normal"/>
    <w:pPr>
      <w:numPr>
        <w:ilvl w:val="8"/>
        <w:numId w:val="35"/>
      </w:numPr>
      <w:spacing w:before="120" w:after="120"/>
      <w:jc w:val="both"/>
    </w:pPr>
    <w:rPr>
      <w:szCs w:val="22"/>
    </w:rPr>
  </w:style>
  <w:style w:type="paragraph" w:customStyle="1" w:styleId="Tiret2">
    <w:name w:val="Tiret 2"/>
    <w:basedOn w:val="Normal"/>
    <w:pPr>
      <w:numPr>
        <w:numId w:val="38"/>
      </w:numPr>
      <w:spacing w:before="120" w:after="120"/>
      <w:jc w:val="both"/>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6090">
      <w:bodyDiv w:val="1"/>
      <w:marLeft w:val="0"/>
      <w:marRight w:val="0"/>
      <w:marTop w:val="0"/>
      <w:marBottom w:val="0"/>
      <w:divBdr>
        <w:top w:val="none" w:sz="0" w:space="0" w:color="auto"/>
        <w:left w:val="none" w:sz="0" w:space="0" w:color="auto"/>
        <w:bottom w:val="none" w:sz="0" w:space="0" w:color="auto"/>
        <w:right w:val="none" w:sz="0" w:space="0" w:color="auto"/>
      </w:divBdr>
      <w:divsChild>
        <w:div w:id="1952855758">
          <w:marLeft w:val="0"/>
          <w:marRight w:val="0"/>
          <w:marTop w:val="0"/>
          <w:marBottom w:val="0"/>
          <w:divBdr>
            <w:top w:val="none" w:sz="0" w:space="0" w:color="auto"/>
            <w:left w:val="none" w:sz="0" w:space="0" w:color="auto"/>
            <w:bottom w:val="none" w:sz="0" w:space="0" w:color="auto"/>
            <w:right w:val="none" w:sz="0" w:space="0" w:color="auto"/>
          </w:divBdr>
          <w:divsChild>
            <w:div w:id="1936203364">
              <w:marLeft w:val="0"/>
              <w:marRight w:val="0"/>
              <w:marTop w:val="0"/>
              <w:marBottom w:val="0"/>
              <w:divBdr>
                <w:top w:val="none" w:sz="0" w:space="0" w:color="auto"/>
                <w:left w:val="none" w:sz="0" w:space="0" w:color="auto"/>
                <w:bottom w:val="none" w:sz="0" w:space="0" w:color="auto"/>
                <w:right w:val="none" w:sz="0" w:space="0" w:color="auto"/>
              </w:divBdr>
              <w:divsChild>
                <w:div w:id="1099984863">
                  <w:marLeft w:val="0"/>
                  <w:marRight w:val="0"/>
                  <w:marTop w:val="0"/>
                  <w:marBottom w:val="0"/>
                  <w:divBdr>
                    <w:top w:val="none" w:sz="0" w:space="0" w:color="auto"/>
                    <w:left w:val="none" w:sz="0" w:space="0" w:color="auto"/>
                    <w:bottom w:val="none" w:sz="0" w:space="0" w:color="auto"/>
                    <w:right w:val="none" w:sz="0" w:space="0" w:color="auto"/>
                  </w:divBdr>
                  <w:divsChild>
                    <w:div w:id="1203328141">
                      <w:marLeft w:val="1"/>
                      <w:marRight w:val="1"/>
                      <w:marTop w:val="0"/>
                      <w:marBottom w:val="0"/>
                      <w:divBdr>
                        <w:top w:val="none" w:sz="0" w:space="0" w:color="auto"/>
                        <w:left w:val="none" w:sz="0" w:space="0" w:color="auto"/>
                        <w:bottom w:val="none" w:sz="0" w:space="0" w:color="auto"/>
                        <w:right w:val="none" w:sz="0" w:space="0" w:color="auto"/>
                      </w:divBdr>
                      <w:divsChild>
                        <w:div w:id="1936546657">
                          <w:marLeft w:val="0"/>
                          <w:marRight w:val="0"/>
                          <w:marTop w:val="0"/>
                          <w:marBottom w:val="0"/>
                          <w:divBdr>
                            <w:top w:val="none" w:sz="0" w:space="0" w:color="auto"/>
                            <w:left w:val="none" w:sz="0" w:space="0" w:color="auto"/>
                            <w:bottom w:val="none" w:sz="0" w:space="0" w:color="auto"/>
                            <w:right w:val="none" w:sz="0" w:space="0" w:color="auto"/>
                          </w:divBdr>
                          <w:divsChild>
                            <w:div w:id="1022240160">
                              <w:marLeft w:val="0"/>
                              <w:marRight w:val="0"/>
                              <w:marTop w:val="0"/>
                              <w:marBottom w:val="360"/>
                              <w:divBdr>
                                <w:top w:val="none" w:sz="0" w:space="0" w:color="auto"/>
                                <w:left w:val="none" w:sz="0" w:space="0" w:color="auto"/>
                                <w:bottom w:val="none" w:sz="0" w:space="0" w:color="auto"/>
                                <w:right w:val="none" w:sz="0" w:space="0" w:color="auto"/>
                              </w:divBdr>
                              <w:divsChild>
                                <w:div w:id="1375350455">
                                  <w:marLeft w:val="0"/>
                                  <w:marRight w:val="0"/>
                                  <w:marTop w:val="0"/>
                                  <w:marBottom w:val="0"/>
                                  <w:divBdr>
                                    <w:top w:val="none" w:sz="0" w:space="0" w:color="auto"/>
                                    <w:left w:val="none" w:sz="0" w:space="0" w:color="auto"/>
                                    <w:bottom w:val="none" w:sz="0" w:space="0" w:color="auto"/>
                                    <w:right w:val="none" w:sz="0" w:space="0" w:color="auto"/>
                                  </w:divBdr>
                                  <w:divsChild>
                                    <w:div w:id="15473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612037">
      <w:bodyDiv w:val="1"/>
      <w:marLeft w:val="0"/>
      <w:marRight w:val="0"/>
      <w:marTop w:val="0"/>
      <w:marBottom w:val="0"/>
      <w:divBdr>
        <w:top w:val="none" w:sz="0" w:space="0" w:color="auto"/>
        <w:left w:val="none" w:sz="0" w:space="0" w:color="auto"/>
        <w:bottom w:val="none" w:sz="0" w:space="0" w:color="auto"/>
        <w:right w:val="none" w:sz="0" w:space="0" w:color="auto"/>
      </w:divBdr>
    </w:div>
    <w:div w:id="390540002">
      <w:bodyDiv w:val="1"/>
      <w:marLeft w:val="0"/>
      <w:marRight w:val="0"/>
      <w:marTop w:val="0"/>
      <w:marBottom w:val="0"/>
      <w:divBdr>
        <w:top w:val="none" w:sz="0" w:space="0" w:color="auto"/>
        <w:left w:val="none" w:sz="0" w:space="0" w:color="auto"/>
        <w:bottom w:val="none" w:sz="0" w:space="0" w:color="auto"/>
        <w:right w:val="none" w:sz="0" w:space="0" w:color="auto"/>
      </w:divBdr>
    </w:div>
    <w:div w:id="631600828">
      <w:bodyDiv w:val="1"/>
      <w:marLeft w:val="0"/>
      <w:marRight w:val="0"/>
      <w:marTop w:val="0"/>
      <w:marBottom w:val="0"/>
      <w:divBdr>
        <w:top w:val="none" w:sz="0" w:space="0" w:color="auto"/>
        <w:left w:val="none" w:sz="0" w:space="0" w:color="auto"/>
        <w:bottom w:val="none" w:sz="0" w:space="0" w:color="auto"/>
        <w:right w:val="none" w:sz="0" w:space="0" w:color="auto"/>
      </w:divBdr>
    </w:div>
    <w:div w:id="693187629">
      <w:bodyDiv w:val="1"/>
      <w:marLeft w:val="0"/>
      <w:marRight w:val="0"/>
      <w:marTop w:val="0"/>
      <w:marBottom w:val="0"/>
      <w:divBdr>
        <w:top w:val="none" w:sz="0" w:space="0" w:color="auto"/>
        <w:left w:val="none" w:sz="0" w:space="0" w:color="auto"/>
        <w:bottom w:val="none" w:sz="0" w:space="0" w:color="auto"/>
        <w:right w:val="none" w:sz="0" w:space="0" w:color="auto"/>
      </w:divBdr>
    </w:div>
    <w:div w:id="898131723">
      <w:bodyDiv w:val="1"/>
      <w:marLeft w:val="0"/>
      <w:marRight w:val="0"/>
      <w:marTop w:val="0"/>
      <w:marBottom w:val="0"/>
      <w:divBdr>
        <w:top w:val="none" w:sz="0" w:space="0" w:color="auto"/>
        <w:left w:val="none" w:sz="0" w:space="0" w:color="auto"/>
        <w:bottom w:val="none" w:sz="0" w:space="0" w:color="auto"/>
        <w:right w:val="none" w:sz="0" w:space="0" w:color="auto"/>
      </w:divBdr>
    </w:div>
    <w:div w:id="1237476849">
      <w:bodyDiv w:val="1"/>
      <w:marLeft w:val="0"/>
      <w:marRight w:val="0"/>
      <w:marTop w:val="0"/>
      <w:marBottom w:val="0"/>
      <w:divBdr>
        <w:top w:val="none" w:sz="0" w:space="0" w:color="auto"/>
        <w:left w:val="none" w:sz="0" w:space="0" w:color="auto"/>
        <w:bottom w:val="none" w:sz="0" w:space="0" w:color="auto"/>
        <w:right w:val="none" w:sz="0" w:space="0" w:color="auto"/>
      </w:divBdr>
    </w:div>
    <w:div w:id="1288586908">
      <w:bodyDiv w:val="1"/>
      <w:marLeft w:val="0"/>
      <w:marRight w:val="0"/>
      <w:marTop w:val="0"/>
      <w:marBottom w:val="0"/>
      <w:divBdr>
        <w:top w:val="none" w:sz="0" w:space="0" w:color="auto"/>
        <w:left w:val="none" w:sz="0" w:space="0" w:color="auto"/>
        <w:bottom w:val="none" w:sz="0" w:space="0" w:color="auto"/>
        <w:right w:val="none" w:sz="0" w:space="0" w:color="auto"/>
      </w:divBdr>
    </w:div>
    <w:div w:id="1331906149">
      <w:bodyDiv w:val="1"/>
      <w:marLeft w:val="0"/>
      <w:marRight w:val="0"/>
      <w:marTop w:val="0"/>
      <w:marBottom w:val="0"/>
      <w:divBdr>
        <w:top w:val="none" w:sz="0" w:space="0" w:color="auto"/>
        <w:left w:val="none" w:sz="0" w:space="0" w:color="auto"/>
        <w:bottom w:val="none" w:sz="0" w:space="0" w:color="auto"/>
        <w:right w:val="none" w:sz="0" w:space="0" w:color="auto"/>
      </w:divBdr>
    </w:div>
    <w:div w:id="1536893397">
      <w:bodyDiv w:val="1"/>
      <w:marLeft w:val="0"/>
      <w:marRight w:val="0"/>
      <w:marTop w:val="0"/>
      <w:marBottom w:val="0"/>
      <w:divBdr>
        <w:top w:val="none" w:sz="0" w:space="0" w:color="auto"/>
        <w:left w:val="none" w:sz="0" w:space="0" w:color="auto"/>
        <w:bottom w:val="none" w:sz="0" w:space="0" w:color="auto"/>
        <w:right w:val="none" w:sz="0" w:space="0" w:color="auto"/>
      </w:divBdr>
    </w:div>
    <w:div w:id="1725518721">
      <w:bodyDiv w:val="1"/>
      <w:marLeft w:val="0"/>
      <w:marRight w:val="0"/>
      <w:marTop w:val="0"/>
      <w:marBottom w:val="0"/>
      <w:divBdr>
        <w:top w:val="none" w:sz="0" w:space="0" w:color="auto"/>
        <w:left w:val="none" w:sz="0" w:space="0" w:color="auto"/>
        <w:bottom w:val="none" w:sz="0" w:space="0" w:color="auto"/>
        <w:right w:val="none" w:sz="0" w:space="0" w:color="auto"/>
      </w:divBdr>
    </w:div>
    <w:div w:id="1777287212">
      <w:bodyDiv w:val="1"/>
      <w:marLeft w:val="0"/>
      <w:marRight w:val="0"/>
      <w:marTop w:val="0"/>
      <w:marBottom w:val="0"/>
      <w:divBdr>
        <w:top w:val="none" w:sz="0" w:space="0" w:color="auto"/>
        <w:left w:val="none" w:sz="0" w:space="0" w:color="auto"/>
        <w:bottom w:val="none" w:sz="0" w:space="0" w:color="auto"/>
        <w:right w:val="none" w:sz="0" w:space="0" w:color="auto"/>
      </w:divBdr>
    </w:div>
    <w:div w:id="1906259906">
      <w:bodyDiv w:val="1"/>
      <w:marLeft w:val="0"/>
      <w:marRight w:val="0"/>
      <w:marTop w:val="0"/>
      <w:marBottom w:val="0"/>
      <w:divBdr>
        <w:top w:val="none" w:sz="0" w:space="0" w:color="auto"/>
        <w:left w:val="none" w:sz="0" w:space="0" w:color="auto"/>
        <w:bottom w:val="none" w:sz="0" w:space="0" w:color="auto"/>
        <w:right w:val="none" w:sz="0" w:space="0" w:color="auto"/>
      </w:divBdr>
    </w:div>
    <w:div w:id="2134711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eur-lex.europa.eu/budget/www/index-fr.htm" TargetMode="Externa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084E3-9B06-4439-B4F9-55E887BB5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4931</Words>
  <Characters>24902</Characters>
  <Application>Microsoft Office Word</Application>
  <DocSecurity>0</DocSecurity>
  <Lines>778</Lines>
  <Paragraphs>363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29470</CharactersWithSpaces>
  <SharedDoc>false</SharedDoc>
  <HLinks>
    <vt:vector size="54" baseType="variant">
      <vt:variant>
        <vt:i4>1048624</vt:i4>
      </vt:variant>
      <vt:variant>
        <vt:i4>47</vt:i4>
      </vt:variant>
      <vt:variant>
        <vt:i4>0</vt:i4>
      </vt:variant>
      <vt:variant>
        <vt:i4>5</vt:i4>
      </vt:variant>
      <vt:variant>
        <vt:lpwstr/>
      </vt:variant>
      <vt:variant>
        <vt:lpwstr>_Toc414446447</vt:lpwstr>
      </vt:variant>
      <vt:variant>
        <vt:i4>1048624</vt:i4>
      </vt:variant>
      <vt:variant>
        <vt:i4>41</vt:i4>
      </vt:variant>
      <vt:variant>
        <vt:i4>0</vt:i4>
      </vt:variant>
      <vt:variant>
        <vt:i4>5</vt:i4>
      </vt:variant>
      <vt:variant>
        <vt:lpwstr/>
      </vt:variant>
      <vt:variant>
        <vt:lpwstr>_Toc414446446</vt:lpwstr>
      </vt:variant>
      <vt:variant>
        <vt:i4>1048624</vt:i4>
      </vt:variant>
      <vt:variant>
        <vt:i4>35</vt:i4>
      </vt:variant>
      <vt:variant>
        <vt:i4>0</vt:i4>
      </vt:variant>
      <vt:variant>
        <vt:i4>5</vt:i4>
      </vt:variant>
      <vt:variant>
        <vt:lpwstr/>
      </vt:variant>
      <vt:variant>
        <vt:lpwstr>_Toc414446445</vt:lpwstr>
      </vt:variant>
      <vt:variant>
        <vt:i4>1048624</vt:i4>
      </vt:variant>
      <vt:variant>
        <vt:i4>29</vt:i4>
      </vt:variant>
      <vt:variant>
        <vt:i4>0</vt:i4>
      </vt:variant>
      <vt:variant>
        <vt:i4>5</vt:i4>
      </vt:variant>
      <vt:variant>
        <vt:lpwstr/>
      </vt:variant>
      <vt:variant>
        <vt:lpwstr>_Toc414446444</vt:lpwstr>
      </vt:variant>
      <vt:variant>
        <vt:i4>1048624</vt:i4>
      </vt:variant>
      <vt:variant>
        <vt:i4>23</vt:i4>
      </vt:variant>
      <vt:variant>
        <vt:i4>0</vt:i4>
      </vt:variant>
      <vt:variant>
        <vt:i4>5</vt:i4>
      </vt:variant>
      <vt:variant>
        <vt:lpwstr/>
      </vt:variant>
      <vt:variant>
        <vt:lpwstr>_Toc414446443</vt:lpwstr>
      </vt:variant>
      <vt:variant>
        <vt:i4>1048624</vt:i4>
      </vt:variant>
      <vt:variant>
        <vt:i4>17</vt:i4>
      </vt:variant>
      <vt:variant>
        <vt:i4>0</vt:i4>
      </vt:variant>
      <vt:variant>
        <vt:i4>5</vt:i4>
      </vt:variant>
      <vt:variant>
        <vt:lpwstr/>
      </vt:variant>
      <vt:variant>
        <vt:lpwstr>_Toc414446442</vt:lpwstr>
      </vt:variant>
      <vt:variant>
        <vt:i4>1048624</vt:i4>
      </vt:variant>
      <vt:variant>
        <vt:i4>11</vt:i4>
      </vt:variant>
      <vt:variant>
        <vt:i4>0</vt:i4>
      </vt:variant>
      <vt:variant>
        <vt:i4>5</vt:i4>
      </vt:variant>
      <vt:variant>
        <vt:lpwstr/>
      </vt:variant>
      <vt:variant>
        <vt:lpwstr>_Toc414446441</vt:lpwstr>
      </vt:variant>
      <vt:variant>
        <vt:i4>1048624</vt:i4>
      </vt:variant>
      <vt:variant>
        <vt:i4>5</vt:i4>
      </vt:variant>
      <vt:variant>
        <vt:i4>0</vt:i4>
      </vt:variant>
      <vt:variant>
        <vt:i4>5</vt:i4>
      </vt:variant>
      <vt:variant>
        <vt:lpwstr/>
      </vt:variant>
      <vt:variant>
        <vt:lpwstr>_Toc414446440</vt:lpwstr>
      </vt:variant>
      <vt:variant>
        <vt:i4>5046279</vt:i4>
      </vt:variant>
      <vt:variant>
        <vt:i4>0</vt:i4>
      </vt:variant>
      <vt:variant>
        <vt:i4>0</vt:i4>
      </vt:variant>
      <vt:variant>
        <vt:i4>5</vt:i4>
      </vt:variant>
      <vt:variant>
        <vt:lpwstr>http://eur-lex.europa.eu/budget/www/index-en.htm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2015-03-24T09:19:00Z</cp:lastPrinted>
  <dcterms:created xsi:type="dcterms:W3CDTF">2015-04-01T10:17:00Z</dcterms:created>
  <dcterms:modified xsi:type="dcterms:W3CDTF">2015-04-16T08:01:00Z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_NewReviewCycle">
    <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