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2" type="#_x0000_t75" alt="A20D66CA436744B5A86BDCF047E0C6F7" style="width:451.5pt;height:338.25pt">
            <v:imagedata r:id="rId9" o:title=""/>
          </v:shape>
        </w:pict>
      </w:r>
    </w:p>
    <w:bookmarkEnd w:id="0"/>
    <w:p>
      <w:pPr>
        <w:rPr>
          <w:noProof/>
        </w:rPr>
        <w:sectPr>
          <w:footerReference w:type="default" r:id="rId10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>
      <w:pPr>
        <w:pStyle w:val="Exposdesmotifstitre"/>
        <w:spacing w:before="240" w:after="240"/>
        <w:rPr>
          <w:noProof/>
        </w:rPr>
      </w:pPr>
      <w:bookmarkStart w:id="1" w:name="_GoBack"/>
      <w:bookmarkEnd w:id="1"/>
      <w:r>
        <w:rPr>
          <w:noProof/>
        </w:rPr>
        <w:lastRenderedPageBreak/>
        <w:t>ОБЯСНИТЕЛЕН МЕМОРАНДУМ</w:t>
      </w:r>
    </w:p>
    <w:p>
      <w:pPr>
        <w:rPr>
          <w:noProof/>
        </w:rPr>
      </w:pPr>
      <w:r>
        <w:rPr>
          <w:noProof/>
        </w:rPr>
        <w:t>В Регламент (ЕС, ЕВРАТОМ) № 1311/2013 на Съвета от 2 декември 2013 г. за определяне на многогодишната финансова рамка за годините 2014—2020</w:t>
      </w:r>
      <w:r>
        <w:rPr>
          <w:rStyle w:val="FootnoteReference"/>
          <w:noProof/>
        </w:rPr>
        <w:footnoteReference w:id="2"/>
      </w:r>
      <w:r>
        <w:rPr>
          <w:noProof/>
        </w:rPr>
        <w:t xml:space="preserve">, и по-специално в член 10 от него, се предвижда възможност за мобилизиране на средства от фонд „Солидарност“ на Европейския съюз в рамките на годишен таван от 500 млн. EUR (по цени от 2011 г.) над съответните функции от финансовата рамка. Условията за финансиране от фонда са представени в Регламент (ЕО) № 2012/2002 на Съвета, изменен с Регламент (ЕС) № 661/2014 на Европейския парламент и на Съвета от 15 май 2014 г., за създаване на фонд „Солидарност“ на Европейския съюз. Въз основа на заявленията, подадени от Румъния, България и Италия, изчислението на помощта от фонда, което се основава на приблизителна оценка на общите причинени щети, е, както следва: </w:t>
      </w:r>
    </w:p>
    <w:tbl>
      <w:tblPr>
        <w:tblW w:w="9209" w:type="dxa"/>
        <w:jc w:val="center"/>
        <w:tblInd w:w="226" w:type="dxa"/>
        <w:tblLayout w:type="fixed"/>
        <w:tblLook w:val="0000" w:firstRow="0" w:lastRow="0" w:firstColumn="0" w:lastColumn="0" w:noHBand="0" w:noVBand="0"/>
      </w:tblPr>
      <w:tblGrid>
        <w:gridCol w:w="1769"/>
        <w:gridCol w:w="1061"/>
        <w:gridCol w:w="1276"/>
        <w:gridCol w:w="1065"/>
        <w:gridCol w:w="993"/>
        <w:gridCol w:w="1134"/>
        <w:gridCol w:w="850"/>
        <w:gridCol w:w="1061"/>
      </w:tblGrid>
      <w:tr>
        <w:trPr>
          <w:trHeight w:val="788"/>
          <w:jc w:val="center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/>
          </w:tcPr>
          <w:p>
            <w:pPr>
              <w:rPr>
                <w:b/>
                <w:noProof/>
                <w:snapToGrid w:val="0"/>
                <w:sz w:val="18"/>
                <w:szCs w:val="18"/>
              </w:rPr>
            </w:pPr>
            <w:r>
              <w:rPr>
                <w:b/>
                <w:noProof/>
                <w:snapToGrid w:val="0"/>
                <w:sz w:val="18"/>
              </w:rPr>
              <w:t>Бедствие</w:t>
            </w:r>
          </w:p>
        </w:tc>
        <w:tc>
          <w:tcPr>
            <w:tcW w:w="106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/>
          </w:tcPr>
          <w:p>
            <w:pPr>
              <w:ind w:right="59"/>
              <w:jc w:val="center"/>
              <w:rPr>
                <w:i/>
                <w:noProof/>
                <w:snapToGrid w:val="0"/>
                <w:sz w:val="18"/>
                <w:szCs w:val="18"/>
              </w:rPr>
            </w:pPr>
            <w:r>
              <w:rPr>
                <w:i/>
                <w:noProof/>
                <w:snapToGrid w:val="0"/>
                <w:sz w:val="18"/>
              </w:rPr>
              <w:t>Преки щети</w:t>
            </w:r>
            <w:r>
              <w:rPr>
                <w:noProof/>
              </w:rPr>
              <w:br/>
            </w:r>
            <w:r>
              <w:rPr>
                <w:i/>
                <w:noProof/>
                <w:snapToGrid w:val="0"/>
                <w:sz w:val="18"/>
              </w:rPr>
              <w:t>(млн. EUR)</w:t>
            </w: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/>
          </w:tcPr>
          <w:p>
            <w:pPr>
              <w:jc w:val="center"/>
              <w:rPr>
                <w:i/>
                <w:noProof/>
                <w:snapToGrid w:val="0"/>
                <w:sz w:val="18"/>
                <w:szCs w:val="18"/>
              </w:rPr>
            </w:pPr>
            <w:r>
              <w:rPr>
                <w:i/>
                <w:noProof/>
                <w:snapToGrid w:val="0"/>
                <w:sz w:val="18"/>
              </w:rPr>
              <w:t>Приложен праг за регионални бедствия (млн. EUR)</w:t>
            </w:r>
          </w:p>
        </w:tc>
        <w:tc>
          <w:tcPr>
            <w:tcW w:w="106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/>
          </w:tcPr>
          <w:p>
            <w:pPr>
              <w:jc w:val="center"/>
              <w:rPr>
                <w:i/>
                <w:noProof/>
                <w:snapToGrid w:val="0"/>
                <w:sz w:val="18"/>
                <w:szCs w:val="18"/>
              </w:rPr>
            </w:pPr>
            <w:r>
              <w:rPr>
                <w:i/>
                <w:noProof/>
                <w:snapToGrid w:val="0"/>
                <w:sz w:val="18"/>
              </w:rPr>
              <w:t>Праг за големи бедствия</w:t>
            </w:r>
            <w:r>
              <w:rPr>
                <w:noProof/>
              </w:rPr>
              <w:br/>
            </w:r>
            <w:r>
              <w:rPr>
                <w:i/>
                <w:noProof/>
                <w:snapToGrid w:val="0"/>
                <w:sz w:val="18"/>
              </w:rPr>
              <w:t>(млн. EUR)</w:t>
            </w:r>
          </w:p>
        </w:tc>
        <w:tc>
          <w:tcPr>
            <w:tcW w:w="99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/>
          </w:tcPr>
          <w:p>
            <w:pPr>
              <w:jc w:val="center"/>
              <w:rPr>
                <w:i/>
                <w:noProof/>
                <w:snapToGrid w:val="0"/>
                <w:sz w:val="18"/>
                <w:szCs w:val="18"/>
              </w:rPr>
            </w:pPr>
            <w:r>
              <w:rPr>
                <w:i/>
                <w:noProof/>
                <w:snapToGrid w:val="0"/>
                <w:sz w:val="18"/>
              </w:rPr>
              <w:t>Общи разходи за допустимите действия</w:t>
            </w:r>
            <w:r>
              <w:rPr>
                <w:noProof/>
              </w:rPr>
              <w:br/>
            </w:r>
            <w:r>
              <w:rPr>
                <w:i/>
                <w:noProof/>
                <w:snapToGrid w:val="0"/>
                <w:sz w:val="18"/>
              </w:rPr>
              <w:t>(млн. EUR)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/>
          </w:tcPr>
          <w:p>
            <w:pPr>
              <w:jc w:val="center"/>
              <w:rPr>
                <w:i/>
                <w:noProof/>
                <w:snapToGrid w:val="0"/>
                <w:sz w:val="18"/>
                <w:szCs w:val="18"/>
              </w:rPr>
            </w:pPr>
            <w:r>
              <w:rPr>
                <w:i/>
                <w:noProof/>
                <w:snapToGrid w:val="0"/>
                <w:sz w:val="18"/>
              </w:rPr>
              <w:t>2,5 % от преките щети до прага (EUR)</w:t>
            </w: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/>
          </w:tcPr>
          <w:p>
            <w:pPr>
              <w:jc w:val="center"/>
              <w:rPr>
                <w:i/>
                <w:noProof/>
                <w:snapToGrid w:val="0"/>
                <w:sz w:val="18"/>
                <w:szCs w:val="18"/>
              </w:rPr>
            </w:pPr>
            <w:r>
              <w:rPr>
                <w:i/>
                <w:noProof/>
                <w:snapToGrid w:val="0"/>
                <w:sz w:val="18"/>
              </w:rPr>
              <w:t>Приложен таван</w:t>
            </w:r>
          </w:p>
        </w:tc>
        <w:tc>
          <w:tcPr>
            <w:tcW w:w="106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EEECE1"/>
          </w:tcPr>
          <w:p>
            <w:pPr>
              <w:jc w:val="center"/>
              <w:rPr>
                <w:noProof/>
                <w:snapToGrid w:val="0"/>
                <w:sz w:val="18"/>
                <w:szCs w:val="18"/>
              </w:rPr>
            </w:pPr>
            <w:r>
              <w:rPr>
                <w:b/>
                <w:noProof/>
                <w:snapToGrid w:val="0"/>
                <w:sz w:val="18"/>
              </w:rPr>
              <w:t>Общ размер на предложената помощ (EUR)</w:t>
            </w:r>
          </w:p>
        </w:tc>
      </w:tr>
      <w:tr>
        <w:trPr>
          <w:jc w:val="center"/>
        </w:trPr>
        <w:tc>
          <w:tcPr>
            <w:tcW w:w="17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/>
            <w:vAlign w:val="center"/>
          </w:tcPr>
          <w:p>
            <w:pPr>
              <w:spacing w:before="40" w:after="40"/>
              <w:rPr>
                <w:noProof/>
                <w:snapToGrid w:val="0"/>
                <w:sz w:val="18"/>
                <w:szCs w:val="18"/>
              </w:rPr>
            </w:pPr>
            <w:r>
              <w:rPr>
                <w:noProof/>
                <w:snapToGrid w:val="0"/>
                <w:sz w:val="18"/>
              </w:rPr>
              <w:t>РУМЪНИЯ — Наводнения през пролетта</w:t>
            </w:r>
          </w:p>
        </w:tc>
        <w:tc>
          <w:tcPr>
            <w:tcW w:w="10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spacing w:before="40" w:after="40"/>
              <w:ind w:right="35"/>
              <w:jc w:val="right"/>
              <w:rPr>
                <w:i/>
                <w:noProof/>
                <w:snapToGrid w:val="0"/>
                <w:sz w:val="18"/>
                <w:szCs w:val="18"/>
              </w:rPr>
            </w:pPr>
            <w:r>
              <w:rPr>
                <w:i/>
                <w:noProof/>
                <w:snapToGrid w:val="0"/>
                <w:sz w:val="18"/>
              </w:rPr>
              <w:t>167,927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spacing w:before="40" w:after="40"/>
              <w:ind w:right="35"/>
              <w:jc w:val="right"/>
              <w:rPr>
                <w:i/>
                <w:noProof/>
                <w:snapToGrid w:val="0"/>
                <w:sz w:val="18"/>
                <w:szCs w:val="18"/>
              </w:rPr>
            </w:pPr>
            <w:r>
              <w:rPr>
                <w:i/>
                <w:noProof/>
                <w:snapToGrid w:val="0"/>
                <w:sz w:val="18"/>
              </w:rPr>
              <w:t>~</w:t>
            </w:r>
          </w:p>
        </w:tc>
        <w:tc>
          <w:tcPr>
            <w:tcW w:w="10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spacing w:before="40" w:after="40"/>
              <w:ind w:right="35"/>
              <w:jc w:val="right"/>
              <w:rPr>
                <w:i/>
                <w:noProof/>
                <w:snapToGrid w:val="0"/>
                <w:sz w:val="18"/>
                <w:szCs w:val="18"/>
              </w:rPr>
            </w:pPr>
            <w:r>
              <w:rPr>
                <w:i/>
                <w:noProof/>
                <w:snapToGrid w:val="0"/>
                <w:sz w:val="18"/>
              </w:rPr>
              <w:t>783,738</w:t>
            </w: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spacing w:before="40" w:after="40"/>
              <w:ind w:right="35"/>
              <w:jc w:val="right"/>
              <w:rPr>
                <w:i/>
                <w:noProof/>
                <w:snapToGrid w:val="0"/>
                <w:sz w:val="18"/>
                <w:szCs w:val="18"/>
              </w:rPr>
            </w:pPr>
            <w:r>
              <w:rPr>
                <w:i/>
                <w:noProof/>
                <w:snapToGrid w:val="0"/>
                <w:sz w:val="18"/>
              </w:rPr>
              <w:t>145,527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right"/>
              <w:rPr>
                <w:i/>
                <w:noProof/>
                <w:snapToGrid w:val="0"/>
                <w:sz w:val="18"/>
                <w:szCs w:val="18"/>
              </w:rPr>
            </w:pPr>
            <w:r>
              <w:rPr>
                <w:i/>
                <w:noProof/>
                <w:snapToGrid w:val="0"/>
                <w:sz w:val="18"/>
              </w:rPr>
              <w:t>4 198 175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spacing w:before="40" w:after="40"/>
              <w:ind w:right="35"/>
              <w:jc w:val="right"/>
              <w:rPr>
                <w:i/>
                <w:noProof/>
                <w:snapToGrid w:val="0"/>
                <w:sz w:val="18"/>
                <w:szCs w:val="18"/>
              </w:rPr>
            </w:pPr>
            <w:r>
              <w:rPr>
                <w:i/>
                <w:noProof/>
                <w:snapToGrid w:val="0"/>
                <w:sz w:val="18"/>
              </w:rPr>
              <w:t>Не</w:t>
            </w:r>
          </w:p>
        </w:tc>
        <w:tc>
          <w:tcPr>
            <w:tcW w:w="10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>
            <w:pPr>
              <w:spacing w:before="40" w:after="40"/>
              <w:ind w:right="35"/>
              <w:jc w:val="right"/>
              <w:rPr>
                <w:b/>
                <w:i/>
                <w:noProof/>
                <w:snapToGrid w:val="0"/>
                <w:sz w:val="18"/>
                <w:szCs w:val="18"/>
              </w:rPr>
            </w:pPr>
            <w:r>
              <w:rPr>
                <w:i/>
                <w:noProof/>
                <w:snapToGrid w:val="0"/>
                <w:sz w:val="18"/>
              </w:rPr>
              <w:t>4 198 175</w:t>
            </w:r>
          </w:p>
        </w:tc>
      </w:tr>
      <w:tr>
        <w:trPr>
          <w:jc w:val="center"/>
        </w:trPr>
        <w:tc>
          <w:tcPr>
            <w:tcW w:w="17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/>
            <w:vAlign w:val="center"/>
          </w:tcPr>
          <w:p>
            <w:pPr>
              <w:spacing w:before="40" w:after="40"/>
              <w:rPr>
                <w:noProof/>
                <w:snapToGrid w:val="0"/>
                <w:sz w:val="18"/>
                <w:szCs w:val="18"/>
              </w:rPr>
            </w:pPr>
            <w:r>
              <w:rPr>
                <w:noProof/>
                <w:snapToGrid w:val="0"/>
                <w:sz w:val="18"/>
              </w:rPr>
              <w:t>РУМЪНИЯ — Наводнения през лятото</w:t>
            </w:r>
          </w:p>
        </w:tc>
        <w:tc>
          <w:tcPr>
            <w:tcW w:w="10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spacing w:before="40" w:after="40"/>
              <w:ind w:right="35"/>
              <w:jc w:val="right"/>
              <w:rPr>
                <w:i/>
                <w:noProof/>
                <w:snapToGrid w:val="0"/>
                <w:sz w:val="18"/>
                <w:szCs w:val="18"/>
              </w:rPr>
            </w:pPr>
            <w:r>
              <w:rPr>
                <w:i/>
                <w:noProof/>
                <w:snapToGrid w:val="0"/>
                <w:sz w:val="18"/>
              </w:rPr>
              <w:t>171,911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spacing w:before="40" w:after="40"/>
              <w:ind w:right="35"/>
              <w:jc w:val="right"/>
              <w:rPr>
                <w:i/>
                <w:noProof/>
                <w:snapToGrid w:val="0"/>
                <w:sz w:val="18"/>
                <w:szCs w:val="18"/>
              </w:rPr>
            </w:pPr>
            <w:r>
              <w:rPr>
                <w:i/>
                <w:noProof/>
                <w:snapToGrid w:val="0"/>
                <w:sz w:val="18"/>
              </w:rPr>
              <w:t>157,200</w:t>
            </w:r>
          </w:p>
        </w:tc>
        <w:tc>
          <w:tcPr>
            <w:tcW w:w="10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spacing w:before="40" w:after="40"/>
              <w:ind w:right="35"/>
              <w:jc w:val="right"/>
              <w:rPr>
                <w:i/>
                <w:noProof/>
                <w:snapToGrid w:val="0"/>
                <w:sz w:val="18"/>
                <w:szCs w:val="18"/>
              </w:rPr>
            </w:pPr>
            <w:r>
              <w:rPr>
                <w:i/>
                <w:noProof/>
                <w:snapToGrid w:val="0"/>
                <w:sz w:val="18"/>
              </w:rPr>
              <w:t>783,738</w:t>
            </w: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spacing w:before="40" w:after="40"/>
              <w:ind w:right="35"/>
              <w:jc w:val="right"/>
              <w:rPr>
                <w:i/>
                <w:noProof/>
                <w:snapToGrid w:val="0"/>
                <w:sz w:val="18"/>
                <w:szCs w:val="18"/>
              </w:rPr>
            </w:pPr>
            <w:r>
              <w:rPr>
                <w:i/>
                <w:noProof/>
                <w:snapToGrid w:val="0"/>
                <w:sz w:val="18"/>
              </w:rPr>
              <w:t>93,955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right"/>
              <w:rPr>
                <w:i/>
                <w:noProof/>
                <w:snapToGrid w:val="0"/>
                <w:sz w:val="18"/>
                <w:szCs w:val="18"/>
              </w:rPr>
            </w:pPr>
            <w:r>
              <w:rPr>
                <w:i/>
                <w:noProof/>
                <w:snapToGrid w:val="0"/>
                <w:sz w:val="18"/>
              </w:rPr>
              <w:t>4 297 775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spacing w:before="40" w:after="40"/>
              <w:ind w:right="35"/>
              <w:jc w:val="right"/>
              <w:rPr>
                <w:i/>
                <w:noProof/>
                <w:snapToGrid w:val="0"/>
                <w:sz w:val="18"/>
                <w:szCs w:val="18"/>
              </w:rPr>
            </w:pPr>
            <w:r>
              <w:rPr>
                <w:i/>
                <w:noProof/>
                <w:snapToGrid w:val="0"/>
                <w:sz w:val="18"/>
              </w:rPr>
              <w:t>Не</w:t>
            </w:r>
          </w:p>
        </w:tc>
        <w:tc>
          <w:tcPr>
            <w:tcW w:w="10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>
            <w:pPr>
              <w:spacing w:before="40" w:after="40"/>
              <w:ind w:right="35"/>
              <w:jc w:val="right"/>
              <w:rPr>
                <w:b/>
                <w:i/>
                <w:noProof/>
                <w:snapToGrid w:val="0"/>
                <w:sz w:val="18"/>
                <w:szCs w:val="18"/>
              </w:rPr>
            </w:pPr>
            <w:r>
              <w:rPr>
                <w:i/>
                <w:noProof/>
                <w:snapToGrid w:val="0"/>
                <w:sz w:val="18"/>
              </w:rPr>
              <w:t>4 297 775</w:t>
            </w:r>
          </w:p>
        </w:tc>
      </w:tr>
      <w:tr>
        <w:trPr>
          <w:jc w:val="center"/>
        </w:trPr>
        <w:tc>
          <w:tcPr>
            <w:tcW w:w="17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/>
            <w:vAlign w:val="center"/>
          </w:tcPr>
          <w:p>
            <w:pPr>
              <w:spacing w:before="40" w:after="40"/>
              <w:rPr>
                <w:noProof/>
                <w:snapToGrid w:val="0"/>
                <w:sz w:val="18"/>
                <w:szCs w:val="18"/>
              </w:rPr>
            </w:pPr>
            <w:r>
              <w:rPr>
                <w:noProof/>
                <w:snapToGrid w:val="0"/>
                <w:sz w:val="18"/>
              </w:rPr>
              <w:t>БЪЛГАРИЯ</w:t>
            </w:r>
          </w:p>
        </w:tc>
        <w:tc>
          <w:tcPr>
            <w:tcW w:w="10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spacing w:before="40" w:after="40"/>
              <w:ind w:right="35"/>
              <w:jc w:val="right"/>
              <w:rPr>
                <w:i/>
                <w:noProof/>
                <w:snapToGrid w:val="0"/>
                <w:sz w:val="18"/>
                <w:szCs w:val="18"/>
              </w:rPr>
            </w:pPr>
            <w:r>
              <w:rPr>
                <w:i/>
                <w:noProof/>
                <w:snapToGrid w:val="0"/>
                <w:sz w:val="18"/>
              </w:rPr>
              <w:t>79,344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spacing w:before="40" w:after="40"/>
              <w:ind w:right="35"/>
              <w:jc w:val="right"/>
              <w:rPr>
                <w:i/>
                <w:noProof/>
                <w:snapToGrid w:val="0"/>
                <w:sz w:val="18"/>
                <w:szCs w:val="18"/>
              </w:rPr>
            </w:pPr>
            <w:r>
              <w:rPr>
                <w:i/>
                <w:noProof/>
                <w:snapToGrid w:val="0"/>
                <w:sz w:val="18"/>
              </w:rPr>
              <w:t>40,980</w:t>
            </w:r>
          </w:p>
        </w:tc>
        <w:tc>
          <w:tcPr>
            <w:tcW w:w="10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spacing w:before="40" w:after="40"/>
              <w:ind w:right="35"/>
              <w:jc w:val="right"/>
              <w:rPr>
                <w:i/>
                <w:noProof/>
                <w:snapToGrid w:val="0"/>
                <w:sz w:val="18"/>
                <w:szCs w:val="18"/>
              </w:rPr>
            </w:pPr>
            <w:r>
              <w:rPr>
                <w:i/>
                <w:noProof/>
                <w:snapToGrid w:val="0"/>
                <w:sz w:val="18"/>
              </w:rPr>
              <w:t>232,502</w:t>
            </w: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spacing w:before="40" w:after="40"/>
              <w:ind w:right="35"/>
              <w:jc w:val="right"/>
              <w:rPr>
                <w:i/>
                <w:noProof/>
                <w:snapToGrid w:val="0"/>
                <w:sz w:val="18"/>
                <w:szCs w:val="18"/>
              </w:rPr>
            </w:pPr>
            <w:r>
              <w:rPr>
                <w:i/>
                <w:noProof/>
                <w:snapToGrid w:val="0"/>
                <w:sz w:val="18"/>
              </w:rPr>
              <w:t>69,108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right"/>
              <w:rPr>
                <w:i/>
                <w:noProof/>
                <w:snapToGrid w:val="0"/>
                <w:sz w:val="18"/>
                <w:szCs w:val="18"/>
              </w:rPr>
            </w:pPr>
            <w:r>
              <w:rPr>
                <w:i/>
                <w:noProof/>
                <w:snapToGrid w:val="0"/>
                <w:sz w:val="18"/>
              </w:rPr>
              <w:t>1 983 600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spacing w:before="40" w:after="40"/>
              <w:ind w:right="35"/>
              <w:jc w:val="right"/>
              <w:rPr>
                <w:i/>
                <w:noProof/>
                <w:snapToGrid w:val="0"/>
                <w:sz w:val="18"/>
                <w:szCs w:val="18"/>
              </w:rPr>
            </w:pPr>
            <w:r>
              <w:rPr>
                <w:i/>
                <w:noProof/>
                <w:snapToGrid w:val="0"/>
                <w:sz w:val="18"/>
              </w:rPr>
              <w:t>Не</w:t>
            </w:r>
          </w:p>
        </w:tc>
        <w:tc>
          <w:tcPr>
            <w:tcW w:w="10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>
            <w:pPr>
              <w:spacing w:before="40" w:after="40"/>
              <w:ind w:right="35"/>
              <w:jc w:val="right"/>
              <w:rPr>
                <w:b/>
                <w:i/>
                <w:noProof/>
                <w:snapToGrid w:val="0"/>
                <w:sz w:val="18"/>
                <w:szCs w:val="18"/>
              </w:rPr>
            </w:pPr>
            <w:r>
              <w:rPr>
                <w:i/>
                <w:noProof/>
                <w:snapToGrid w:val="0"/>
                <w:sz w:val="18"/>
              </w:rPr>
              <w:t>1 983 600</w:t>
            </w:r>
          </w:p>
        </w:tc>
      </w:tr>
      <w:tr>
        <w:trPr>
          <w:jc w:val="center"/>
        </w:trPr>
        <w:tc>
          <w:tcPr>
            <w:tcW w:w="17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/>
            <w:vAlign w:val="center"/>
          </w:tcPr>
          <w:p>
            <w:pPr>
              <w:spacing w:before="40" w:after="40"/>
              <w:rPr>
                <w:noProof/>
                <w:snapToGrid w:val="0"/>
                <w:sz w:val="18"/>
                <w:szCs w:val="18"/>
              </w:rPr>
            </w:pPr>
            <w:r>
              <w:rPr>
                <w:noProof/>
                <w:snapToGrid w:val="0"/>
                <w:sz w:val="18"/>
              </w:rPr>
              <w:t>ИТАЛИЯ</w:t>
            </w:r>
          </w:p>
        </w:tc>
        <w:tc>
          <w:tcPr>
            <w:tcW w:w="10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spacing w:before="40" w:after="40"/>
              <w:ind w:right="35"/>
              <w:jc w:val="right"/>
              <w:rPr>
                <w:i/>
                <w:noProof/>
                <w:snapToGrid w:val="0"/>
                <w:sz w:val="18"/>
                <w:szCs w:val="18"/>
              </w:rPr>
            </w:pPr>
            <w:r>
              <w:rPr>
                <w:i/>
                <w:noProof/>
                <w:snapToGrid w:val="0"/>
                <w:sz w:val="18"/>
              </w:rPr>
              <w:t>2 241,052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spacing w:before="40" w:after="40"/>
              <w:ind w:right="35"/>
              <w:jc w:val="right"/>
              <w:rPr>
                <w:i/>
                <w:noProof/>
                <w:snapToGrid w:val="0"/>
                <w:sz w:val="18"/>
                <w:szCs w:val="18"/>
              </w:rPr>
            </w:pPr>
            <w:r>
              <w:rPr>
                <w:i/>
                <w:noProof/>
                <w:snapToGrid w:val="0"/>
                <w:sz w:val="18"/>
              </w:rPr>
              <w:t>1 832,944</w:t>
            </w:r>
          </w:p>
        </w:tc>
        <w:tc>
          <w:tcPr>
            <w:tcW w:w="10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spacing w:before="40" w:after="40"/>
              <w:ind w:right="35"/>
              <w:jc w:val="right"/>
              <w:rPr>
                <w:i/>
                <w:noProof/>
                <w:snapToGrid w:val="0"/>
                <w:sz w:val="18"/>
                <w:szCs w:val="18"/>
              </w:rPr>
            </w:pPr>
            <w:r>
              <w:rPr>
                <w:i/>
                <w:noProof/>
                <w:snapToGrid w:val="0"/>
                <w:sz w:val="18"/>
              </w:rPr>
              <w:t>3 183,624</w:t>
            </w: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spacing w:before="40" w:after="40"/>
              <w:ind w:right="35"/>
              <w:jc w:val="right"/>
              <w:rPr>
                <w:i/>
                <w:noProof/>
                <w:snapToGrid w:val="0"/>
                <w:sz w:val="18"/>
                <w:szCs w:val="18"/>
              </w:rPr>
            </w:pPr>
            <w:r>
              <w:rPr>
                <w:i/>
                <w:noProof/>
                <w:snapToGrid w:val="0"/>
                <w:sz w:val="18"/>
              </w:rPr>
              <w:t>434,314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right"/>
              <w:rPr>
                <w:i/>
                <w:noProof/>
                <w:snapToGrid w:val="0"/>
                <w:sz w:val="18"/>
                <w:szCs w:val="18"/>
              </w:rPr>
            </w:pPr>
            <w:r>
              <w:rPr>
                <w:i/>
                <w:noProof/>
                <w:snapToGrid w:val="0"/>
                <w:sz w:val="18"/>
              </w:rPr>
              <w:t>56 026 300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spacing w:before="40" w:after="40"/>
              <w:ind w:right="35"/>
              <w:jc w:val="right"/>
              <w:rPr>
                <w:i/>
                <w:noProof/>
                <w:snapToGrid w:val="0"/>
                <w:sz w:val="18"/>
                <w:szCs w:val="18"/>
              </w:rPr>
            </w:pPr>
            <w:r>
              <w:rPr>
                <w:i/>
                <w:noProof/>
                <w:snapToGrid w:val="0"/>
                <w:sz w:val="18"/>
              </w:rPr>
              <w:t>Не</w:t>
            </w:r>
          </w:p>
        </w:tc>
        <w:tc>
          <w:tcPr>
            <w:tcW w:w="10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>
            <w:pPr>
              <w:spacing w:before="40" w:after="40"/>
              <w:ind w:right="35"/>
              <w:jc w:val="right"/>
              <w:rPr>
                <w:b/>
                <w:i/>
                <w:noProof/>
                <w:snapToGrid w:val="0"/>
                <w:sz w:val="18"/>
                <w:szCs w:val="18"/>
              </w:rPr>
            </w:pPr>
            <w:r>
              <w:rPr>
                <w:i/>
                <w:noProof/>
                <w:snapToGrid w:val="0"/>
                <w:sz w:val="18"/>
              </w:rPr>
              <w:t xml:space="preserve">56 026 300 </w:t>
            </w:r>
          </w:p>
        </w:tc>
      </w:tr>
      <w:tr>
        <w:trPr>
          <w:jc w:val="center"/>
        </w:trPr>
        <w:tc>
          <w:tcPr>
            <w:tcW w:w="176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EEECE1"/>
            <w:vAlign w:val="center"/>
          </w:tcPr>
          <w:p>
            <w:pPr>
              <w:spacing w:before="40" w:after="40"/>
              <w:rPr>
                <w:noProof/>
                <w:snapToGrid w:val="0"/>
                <w:sz w:val="18"/>
                <w:szCs w:val="18"/>
              </w:rPr>
            </w:pPr>
            <w:r>
              <w:rPr>
                <w:b/>
                <w:noProof/>
                <w:snapToGrid w:val="0"/>
                <w:sz w:val="20"/>
              </w:rPr>
              <w:t>ОБЩО</w:t>
            </w:r>
          </w:p>
        </w:tc>
        <w:tc>
          <w:tcPr>
            <w:tcW w:w="106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>
            <w:pPr>
              <w:spacing w:before="40" w:after="40"/>
              <w:ind w:right="35"/>
              <w:jc w:val="right"/>
              <w:rPr>
                <w:i/>
                <w:noProof/>
                <w:snapToGrid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>
            <w:pPr>
              <w:spacing w:before="40" w:after="40"/>
              <w:ind w:right="35"/>
              <w:jc w:val="right"/>
              <w:rPr>
                <w:i/>
                <w:noProof/>
                <w:snapToGrid w:val="0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>
            <w:pPr>
              <w:spacing w:before="40" w:after="40"/>
              <w:ind w:right="35"/>
              <w:jc w:val="right"/>
              <w:rPr>
                <w:i/>
                <w:noProof/>
                <w:snapToGrid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>
            <w:pPr>
              <w:spacing w:before="40" w:after="40"/>
              <w:ind w:right="35"/>
              <w:jc w:val="right"/>
              <w:rPr>
                <w:i/>
                <w:noProof/>
                <w:snapToGrid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>
            <w:pPr>
              <w:jc w:val="right"/>
              <w:rPr>
                <w:i/>
                <w:noProof/>
                <w:snapToGrid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>
            <w:pPr>
              <w:spacing w:before="40" w:after="40"/>
              <w:ind w:right="35"/>
              <w:jc w:val="right"/>
              <w:rPr>
                <w:i/>
                <w:noProof/>
                <w:snapToGrid w:val="0"/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40" w:after="40"/>
              <w:ind w:right="35"/>
              <w:jc w:val="right"/>
              <w:rPr>
                <w:i/>
                <w:noProof/>
                <w:snapToGrid w:val="0"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66 505 850</w:t>
            </w:r>
          </w:p>
        </w:tc>
      </w:tr>
    </w:tbl>
    <w:p>
      <w:pPr>
        <w:rPr>
          <w:noProof/>
        </w:rPr>
      </w:pPr>
      <w:r>
        <w:rPr>
          <w:noProof/>
        </w:rPr>
        <w:t>Като взе под внимание констатираното при прегледа на заявленията</w:t>
      </w:r>
      <w:r>
        <w:rPr>
          <w:rStyle w:val="FootnoteReference"/>
          <w:noProof/>
        </w:rPr>
        <w:footnoteReference w:id="3"/>
      </w:r>
      <w:r>
        <w:rPr>
          <w:noProof/>
        </w:rPr>
        <w:t>, максималния възможен размер на средствата от фонда и възможностите за преразпределяне на бюджетни кредити, Комисията предлага да се мобилизират средства от фонд „Солидарност“ на Европейския съюз в размер на общо 66 505 850 EUR.</w:t>
      </w:r>
    </w:p>
    <w:p>
      <w:pPr>
        <w:rPr>
          <w:noProof/>
        </w:rPr>
      </w:pPr>
      <w:r>
        <w:rPr>
          <w:noProof/>
        </w:rPr>
        <w:t>Комисията ще представи проект на коригиращ бюджет (ПКБ), за да бъдат включени в бюджета за 2015 г. специфичните бюджетни кредити за поети задължения и за плащания. Ако не бъде постигнато съгласие, ще бъде започната тристранна процедура в съответствие с точка 11 от Междуинституционалното споразумение от 2 декември 2013 г. между Европейския парламент, Съвета и Комисията относно бюджетната дисциплина, сътрудничеството по бюджетни въпроси и доброто финансово управление</w:t>
      </w:r>
      <w:r>
        <w:rPr>
          <w:rStyle w:val="FootnoteReference"/>
          <w:noProof/>
        </w:rPr>
        <w:footnoteReference w:id="4"/>
      </w:r>
      <w:r>
        <w:rPr>
          <w:noProof/>
        </w:rPr>
        <w:t>.</w:t>
      </w:r>
    </w:p>
    <w:p>
      <w:pPr>
        <w:rPr>
          <w:noProof/>
        </w:rPr>
        <w:sectPr>
          <w:footerReference w:type="default" r:id="rId11"/>
          <w:footerReference w:type="first" r:id="rId12"/>
          <w:pgSz w:w="11906" w:h="16838" w:code="9"/>
          <w:pgMar w:top="1134" w:right="1418" w:bottom="1134" w:left="1418" w:header="709" w:footer="709" w:gutter="0"/>
          <w:cols w:space="720"/>
          <w:docGrid w:linePitch="326"/>
        </w:sectPr>
      </w:pPr>
    </w:p>
    <w:p>
      <w:pPr>
        <w:pStyle w:val="Statut"/>
        <w:rPr>
          <w:noProof/>
        </w:rPr>
      </w:pPr>
      <w:r>
        <w:rPr>
          <w:noProof/>
        </w:rPr>
        <w:lastRenderedPageBreak/>
        <w:t>Предложение за</w:t>
      </w:r>
    </w:p>
    <w:p>
      <w:pPr>
        <w:pStyle w:val="Typedudocument"/>
        <w:rPr>
          <w:noProof/>
        </w:rPr>
      </w:pPr>
      <w:r>
        <w:rPr>
          <w:noProof/>
        </w:rPr>
        <w:t>РЕШЕНИЕ НА ЕВРОПЕЙСКИЯ ПАРЛАМЕНТ И НА СЪВЕТА</w:t>
      </w:r>
    </w:p>
    <w:p>
      <w:pPr>
        <w:pStyle w:val="Titreobjet"/>
        <w:rPr>
          <w:noProof/>
        </w:rPr>
      </w:pPr>
      <w:r>
        <w:rPr>
          <w:noProof/>
        </w:rPr>
        <w:t>относно мобилизирането на средства от фонд „Солидарност“ на ЕС (за наводнения в Румъния, България и Италия)</w:t>
      </w:r>
    </w:p>
    <w:p>
      <w:pPr>
        <w:pStyle w:val="Institutionquiagit"/>
        <w:spacing w:before="480" w:after="360"/>
        <w:rPr>
          <w:noProof/>
        </w:rPr>
      </w:pPr>
      <w:r>
        <w:rPr>
          <w:noProof/>
        </w:rPr>
        <w:t>ЕВРОПЕЙСКИЯТ ПАРЛАМЕНТ И СЪВЕТЪТ НА ЕВРОПЕЙСКИЯ СЪЮЗ,</w:t>
      </w:r>
    </w:p>
    <w:p>
      <w:pPr>
        <w:rPr>
          <w:noProof/>
        </w:rPr>
      </w:pPr>
      <w:r>
        <w:rPr>
          <w:noProof/>
        </w:rPr>
        <w:t>като взеха предвид Договора за функционирането на Европейския съюз,</w:t>
      </w:r>
    </w:p>
    <w:p>
      <w:pPr>
        <w:rPr>
          <w:noProof/>
        </w:rPr>
      </w:pPr>
      <w:r>
        <w:rPr>
          <w:noProof/>
        </w:rPr>
        <w:t>като взеха предвид Регламент (ЕО) № 2012/2002 на Съвета от 11 ноември 2002 г. за създаване на фонд „Солидарност“ на Европейския съюз</w:t>
      </w:r>
      <w:r>
        <w:rPr>
          <w:rStyle w:val="FootnoteReference"/>
          <w:noProof/>
        </w:rPr>
        <w:footnoteReference w:id="5"/>
      </w:r>
      <w:r>
        <w:rPr>
          <w:noProof/>
        </w:rPr>
        <w:t>, и по-специално член 4, параграф 3 от него,</w:t>
      </w:r>
    </w:p>
    <w:p>
      <w:pPr>
        <w:rPr>
          <w:noProof/>
        </w:rPr>
      </w:pPr>
      <w:r>
        <w:rPr>
          <w:noProof/>
        </w:rPr>
        <w:t>като взеха предвид Междуинституционалното споразумение от 2 декември 2013 г. между Европейския парламент, Съвета и Комисията относно бюджетната дисциплина, сътрудничеството по бюджетни въпроси и доброто финансово управление</w:t>
      </w:r>
      <w:r>
        <w:rPr>
          <w:rStyle w:val="FootnoteReference"/>
          <w:noProof/>
        </w:rPr>
        <w:footnoteReference w:id="6"/>
      </w:r>
      <w:r>
        <w:rPr>
          <w:noProof/>
        </w:rPr>
        <w:t>, и по-специално точка 11 от него,</w:t>
      </w:r>
    </w:p>
    <w:p>
      <w:pPr>
        <w:rPr>
          <w:noProof/>
        </w:rPr>
      </w:pPr>
      <w:r>
        <w:rPr>
          <w:noProof/>
        </w:rPr>
        <w:t>като взеха предвид предложението на Комисията</w:t>
      </w:r>
      <w:r>
        <w:rPr>
          <w:rStyle w:val="FootnoteReference"/>
          <w:noProof/>
        </w:rPr>
        <w:footnoteReference w:id="7"/>
      </w:r>
      <w:r>
        <w:rPr>
          <w:noProof/>
        </w:rPr>
        <w:t>,</w:t>
      </w:r>
    </w:p>
    <w:p>
      <w:pPr>
        <w:spacing w:after="360"/>
        <w:rPr>
          <w:noProof/>
        </w:rPr>
      </w:pPr>
      <w:r>
        <w:rPr>
          <w:noProof/>
        </w:rPr>
        <w:t>като имат предвид, че:</w:t>
      </w:r>
    </w:p>
    <w:p>
      <w:pPr>
        <w:pStyle w:val="Point0number"/>
        <w:numPr>
          <w:ilvl w:val="0"/>
          <w:numId w:val="9"/>
        </w:numPr>
        <w:rPr>
          <w:noProof/>
        </w:rPr>
      </w:pPr>
      <w:r>
        <w:rPr>
          <w:noProof/>
        </w:rPr>
        <w:t>Фонд „Солидарност“ на Европейския съюз („фондът“) има за цел да се осигури възможност на Съюза да реагира по бърз, ефективен и гъвкав начин на извънредни ситуации и да покаже солидарност с населението на регионите, засегнати от бедствия.</w:t>
      </w:r>
    </w:p>
    <w:p>
      <w:pPr>
        <w:pStyle w:val="Point0number"/>
        <w:numPr>
          <w:ilvl w:val="0"/>
          <w:numId w:val="10"/>
        </w:numPr>
        <w:rPr>
          <w:noProof/>
          <w:szCs w:val="24"/>
        </w:rPr>
      </w:pPr>
      <w:r>
        <w:rPr>
          <w:noProof/>
        </w:rPr>
        <w:t>Съгласно член 10 от Регламент (ЕС, Евратом) № 1311/2013 на Съвета</w:t>
      </w:r>
      <w:r>
        <w:rPr>
          <w:rStyle w:val="FootnoteReference"/>
          <w:noProof/>
        </w:rPr>
        <w:footnoteReference w:id="8"/>
      </w:r>
      <w:r>
        <w:rPr>
          <w:noProof/>
        </w:rPr>
        <w:t xml:space="preserve"> максималната годишна сума, която фондът не може да надхвърля, е 500 млн. EUR (по цени от 2011 г.).</w:t>
      </w:r>
    </w:p>
    <w:p>
      <w:pPr>
        <w:pStyle w:val="Point0number"/>
        <w:numPr>
          <w:ilvl w:val="0"/>
          <w:numId w:val="10"/>
        </w:numPr>
        <w:rPr>
          <w:noProof/>
          <w:sz w:val="22"/>
        </w:rPr>
      </w:pPr>
      <w:r>
        <w:rPr>
          <w:noProof/>
        </w:rPr>
        <w:t>Румъния подаде две заявления за мобилизиране на средства от фонда във връзка с наводнения.</w:t>
      </w:r>
    </w:p>
    <w:p>
      <w:pPr>
        <w:pStyle w:val="Point0number"/>
        <w:numPr>
          <w:ilvl w:val="0"/>
          <w:numId w:val="10"/>
        </w:numPr>
        <w:rPr>
          <w:noProof/>
          <w:sz w:val="22"/>
        </w:rPr>
      </w:pPr>
      <w:r>
        <w:rPr>
          <w:noProof/>
        </w:rPr>
        <w:t>България подаде заявление за мобилизиране на средства от фонда във връзка с наводнения.</w:t>
      </w:r>
    </w:p>
    <w:p>
      <w:pPr>
        <w:pStyle w:val="Point0number"/>
        <w:numPr>
          <w:ilvl w:val="0"/>
          <w:numId w:val="10"/>
        </w:numPr>
        <w:rPr>
          <w:noProof/>
          <w:sz w:val="22"/>
        </w:rPr>
      </w:pPr>
      <w:r>
        <w:rPr>
          <w:noProof/>
        </w:rPr>
        <w:lastRenderedPageBreak/>
        <w:t>Италия подаде заявление за мобилизиране на средства от фонда във връзка с наводнения.</w:t>
      </w:r>
    </w:p>
    <w:p>
      <w:pPr>
        <w:pStyle w:val="Point0number"/>
        <w:numPr>
          <w:ilvl w:val="0"/>
          <w:numId w:val="10"/>
        </w:numPr>
        <w:rPr>
          <w:noProof/>
          <w:sz w:val="22"/>
        </w:rPr>
      </w:pPr>
      <w:r>
        <w:rPr>
          <w:noProof/>
        </w:rPr>
        <w:t>Поради това фондът следва да бъде мобилизиран, за да се осигурят чрез него 66 505 850 EUR във връзка със заявленията, подадени от Румъния, България и Италия.</w:t>
      </w:r>
    </w:p>
    <w:p>
      <w:pPr>
        <w:pStyle w:val="Point0number"/>
        <w:numPr>
          <w:ilvl w:val="0"/>
          <w:numId w:val="10"/>
        </w:numPr>
        <w:rPr>
          <w:noProof/>
          <w:sz w:val="22"/>
        </w:rPr>
      </w:pPr>
      <w:r>
        <w:rPr>
          <w:noProof/>
        </w:rPr>
        <w:t>За да се сведе до минимум времето за мобилизиране на средства от фонда, настоящото решение следва да се прилага от датата на приемането му,</w:t>
      </w:r>
    </w:p>
    <w:p>
      <w:pPr>
        <w:pStyle w:val="Formuledadoption"/>
        <w:rPr>
          <w:noProof/>
        </w:rPr>
      </w:pPr>
      <w:r>
        <w:rPr>
          <w:noProof/>
        </w:rPr>
        <w:t>ПРИЕХА НАСТОЯЩОТО РЕШЕНИЕ:</w:t>
      </w:r>
    </w:p>
    <w:p>
      <w:pPr>
        <w:pStyle w:val="Titrearticle"/>
        <w:spacing w:before="240"/>
        <w:rPr>
          <w:noProof/>
        </w:rPr>
      </w:pPr>
      <w:r>
        <w:rPr>
          <w:noProof/>
        </w:rPr>
        <w:t>Член 1</w:t>
      </w:r>
    </w:p>
    <w:p>
      <w:pPr>
        <w:rPr>
          <w:noProof/>
        </w:rPr>
      </w:pPr>
      <w:r>
        <w:rPr>
          <w:noProof/>
        </w:rPr>
        <w:t>За общия бюджет на Европейския съюз за 2015 финансова година фонд „Солидарност“ на Европейския съюз се мобилизира за осигуряване на сумата от 66 505 850 EUR бюджетни кредити за поети задължения и за плащания.</w:t>
      </w:r>
    </w:p>
    <w:p>
      <w:pPr>
        <w:pStyle w:val="Titrearticle"/>
        <w:rPr>
          <w:noProof/>
        </w:rPr>
      </w:pPr>
      <w:r>
        <w:rPr>
          <w:noProof/>
        </w:rPr>
        <w:t>Член 2</w:t>
      </w:r>
    </w:p>
    <w:p>
      <w:pPr>
        <w:rPr>
          <w:i/>
          <w:noProof/>
        </w:rPr>
      </w:pPr>
      <w:r>
        <w:rPr>
          <w:noProof/>
        </w:rPr>
        <w:t xml:space="preserve">Настоящото решение влиза в сила в деня на публикуването му в </w:t>
      </w:r>
      <w:r>
        <w:rPr>
          <w:i/>
          <w:noProof/>
        </w:rPr>
        <w:t>Официален вестник на Европейския съюз</w:t>
      </w:r>
      <w:r>
        <w:rPr>
          <w:noProof/>
        </w:rPr>
        <w:t>. То се прилага от [</w:t>
      </w:r>
      <w:r>
        <w:rPr>
          <w:i/>
          <w:noProof/>
        </w:rPr>
        <w:t>датата на приемането му се въвежда от Парламента преди публикуването в ОВ</w:t>
      </w:r>
      <w:r>
        <w:rPr>
          <w:noProof/>
        </w:rPr>
        <w:t>].</w:t>
      </w:r>
    </w:p>
    <w:p>
      <w:pPr>
        <w:pStyle w:val="Fait"/>
        <w:rPr>
          <w:noProof/>
        </w:rPr>
      </w:pPr>
      <w:r>
        <w:rPr>
          <w:noProof/>
        </w:rPr>
        <w:t>Съставено в Брюксел на  година.</w:t>
      </w:r>
    </w:p>
    <w:p>
      <w:pPr>
        <w:pStyle w:val="Institutionquisigne"/>
        <w:rPr>
          <w:noProof/>
        </w:rPr>
      </w:pPr>
      <w:r>
        <w:rPr>
          <w:noProof/>
        </w:rPr>
        <w:t>За Европейския парламент</w:t>
      </w:r>
      <w:r>
        <w:rPr>
          <w:noProof/>
        </w:rPr>
        <w:tab/>
        <w:t>За Съвета</w:t>
      </w:r>
    </w:p>
    <w:p>
      <w:pPr>
        <w:pStyle w:val="Personnequisigne"/>
        <w:rPr>
          <w:noProof/>
        </w:rPr>
      </w:pPr>
      <w:r>
        <w:rPr>
          <w:noProof/>
        </w:rPr>
        <w:t>Председател</w:t>
      </w:r>
      <w:r>
        <w:rPr>
          <w:noProof/>
        </w:rPr>
        <w:tab/>
        <w:t>Председател</w:t>
      </w:r>
    </w:p>
    <w:sectPr>
      <w:footnotePr>
        <w:numRestart w:val="eachSect"/>
      </w:footnotePr>
      <w:pgSz w:w="11906" w:h="16838" w:code="9"/>
      <w:pgMar w:top="1134" w:right="1418" w:bottom="1134" w:left="1418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  <w:endnote w:type="continuationNotice" w:id="1">
    <w:p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5</w:t>
    </w:r>
    <w:r>
      <w:fldChar w:fldCharType="end"/>
    </w:r>
    <w: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  <w:footnote w:type="continuationNotice" w:id="1">
    <w:p>
      <w:pPr>
        <w:spacing w:before="0" w:after="0"/>
      </w:pPr>
    </w:p>
  </w:footnote>
  <w:footnote w:id="2">
    <w:p>
      <w:pPr>
        <w:pStyle w:val="FootnoteText"/>
      </w:pPr>
      <w:r>
        <w:rPr>
          <w:rStyle w:val="FootnoteReference"/>
        </w:rPr>
        <w:footnoteRef/>
      </w:r>
      <w:r>
        <w:tab/>
        <w:t>ОВ L 347, 20.12.2013 г., стр. 884.</w:t>
      </w:r>
    </w:p>
  </w:footnote>
  <w:footnote w:id="3">
    <w:p>
      <w:pPr>
        <w:pStyle w:val="FootnoteText"/>
      </w:pPr>
      <w:r>
        <w:rPr>
          <w:rStyle w:val="FootnoteReference"/>
        </w:rPr>
        <w:footnoteRef/>
      </w:r>
      <w:r>
        <w:tab/>
        <w:t>Съобщение до Комисията C(2015) 2285 от 9.4.2015 г.</w:t>
      </w:r>
    </w:p>
  </w:footnote>
  <w:footnote w:id="4">
    <w:p>
      <w:pPr>
        <w:pStyle w:val="FootnoteText"/>
      </w:pPr>
      <w:r>
        <w:rPr>
          <w:rStyle w:val="FootnoteReference"/>
        </w:rPr>
        <w:footnoteRef/>
      </w:r>
      <w:r>
        <w:tab/>
        <w:t>ОВ С 373, 20.12.2013 г., стр. 1.</w:t>
      </w:r>
    </w:p>
  </w:footnote>
  <w:footnote w:id="5">
    <w:p>
      <w:pPr>
        <w:pStyle w:val="FootnoteText"/>
      </w:pPr>
      <w:r>
        <w:rPr>
          <w:rStyle w:val="FootnoteReference"/>
        </w:rPr>
        <w:footnoteRef/>
      </w:r>
      <w:r>
        <w:tab/>
        <w:t>Регламент (ЕО) № 2012/2002 на Съвета от 11 ноември 2002 г. за създаване на фонд „Солидарност“ на Европейския съюз (ОВ L 311, 14.11.2002 г., стр. 3).</w:t>
      </w:r>
    </w:p>
  </w:footnote>
  <w:footnote w:id="6">
    <w:p>
      <w:pPr>
        <w:pStyle w:val="FootnoteText"/>
        <w:rPr>
          <w:lang w:val="pt-PT"/>
        </w:rPr>
      </w:pPr>
      <w:r>
        <w:rPr>
          <w:rStyle w:val="FootnoteReference"/>
        </w:rPr>
        <w:footnoteRef/>
      </w:r>
      <w:r>
        <w:rPr>
          <w:lang w:val="pt-PT"/>
        </w:rPr>
        <w:tab/>
      </w:r>
      <w:r>
        <w:t>ОВ</w:t>
      </w:r>
      <w:r>
        <w:rPr>
          <w:lang w:val="pt-PT"/>
        </w:rPr>
        <w:t xml:space="preserve"> </w:t>
      </w:r>
      <w:r>
        <w:t>С</w:t>
      </w:r>
      <w:r>
        <w:rPr>
          <w:lang w:val="pt-PT"/>
        </w:rPr>
        <w:t xml:space="preserve"> 373, 20.12.2013 </w:t>
      </w:r>
      <w:r>
        <w:t>г</w:t>
      </w:r>
      <w:r>
        <w:rPr>
          <w:lang w:val="pt-PT"/>
        </w:rPr>
        <w:t xml:space="preserve">., </w:t>
      </w:r>
      <w:r>
        <w:t>стр</w:t>
      </w:r>
      <w:r>
        <w:rPr>
          <w:lang w:val="pt-PT"/>
        </w:rPr>
        <w:t>. 1.</w:t>
      </w:r>
    </w:p>
  </w:footnote>
  <w:footnote w:id="7">
    <w:p>
      <w:pPr>
        <w:pStyle w:val="FootnoteText"/>
        <w:rPr>
          <w:lang w:val="pt-PT"/>
        </w:rPr>
      </w:pPr>
      <w:r>
        <w:rPr>
          <w:rStyle w:val="FootnoteReference"/>
        </w:rPr>
        <w:footnoteRef/>
      </w:r>
      <w:r>
        <w:rPr>
          <w:lang w:val="pt-PT"/>
        </w:rPr>
        <w:tab/>
        <w:t xml:space="preserve">COM(2015) 160 final </w:t>
      </w:r>
      <w:r>
        <w:t>от</w:t>
      </w:r>
      <w:r>
        <w:rPr>
          <w:lang w:val="pt-PT"/>
        </w:rPr>
        <w:t xml:space="preserve"> 15.4.2015 </w:t>
      </w:r>
      <w:r>
        <w:t>г</w:t>
      </w:r>
      <w:r>
        <w:rPr>
          <w:lang w:val="pt-PT"/>
        </w:rPr>
        <w:t>.</w:t>
      </w:r>
    </w:p>
  </w:footnote>
  <w:footnote w:id="8">
    <w:p>
      <w:pPr>
        <w:pStyle w:val="FootnoteText"/>
        <w:rPr>
          <w:lang w:val="pt-PT"/>
        </w:rPr>
      </w:pPr>
      <w:r>
        <w:rPr>
          <w:rStyle w:val="FootnoteReference"/>
        </w:rPr>
        <w:footnoteRef/>
      </w:r>
      <w:r>
        <w:rPr>
          <w:lang w:val="pt-PT"/>
        </w:rPr>
        <w:tab/>
      </w:r>
      <w:r>
        <w:t>Регламент</w:t>
      </w:r>
      <w:r>
        <w:rPr>
          <w:lang w:val="pt-PT"/>
        </w:rPr>
        <w:t xml:space="preserve"> (</w:t>
      </w:r>
      <w:r>
        <w:t>ЕС</w:t>
      </w:r>
      <w:r>
        <w:rPr>
          <w:lang w:val="pt-PT"/>
        </w:rPr>
        <w:t xml:space="preserve">, </w:t>
      </w:r>
      <w:r>
        <w:t>Евратом</w:t>
      </w:r>
      <w:r>
        <w:rPr>
          <w:lang w:val="pt-PT"/>
        </w:rPr>
        <w:t xml:space="preserve">) № 1311/2013 </w:t>
      </w:r>
      <w:r>
        <w:t>на</w:t>
      </w:r>
      <w:r>
        <w:rPr>
          <w:lang w:val="pt-PT"/>
        </w:rPr>
        <w:t xml:space="preserve"> </w:t>
      </w:r>
      <w:r>
        <w:t>Съвета</w:t>
      </w:r>
      <w:r>
        <w:rPr>
          <w:lang w:val="pt-PT"/>
        </w:rPr>
        <w:t xml:space="preserve"> </w:t>
      </w:r>
      <w:r>
        <w:t>за</w:t>
      </w:r>
      <w:r>
        <w:rPr>
          <w:lang w:val="pt-PT"/>
        </w:rPr>
        <w:t xml:space="preserve"> </w:t>
      </w:r>
      <w:r>
        <w:t>определяне</w:t>
      </w:r>
      <w:r>
        <w:rPr>
          <w:lang w:val="pt-PT"/>
        </w:rPr>
        <w:t xml:space="preserve"> </w:t>
      </w:r>
      <w:r>
        <w:t>на</w:t>
      </w:r>
      <w:r>
        <w:rPr>
          <w:lang w:val="pt-PT"/>
        </w:rPr>
        <w:t xml:space="preserve"> </w:t>
      </w:r>
      <w:r>
        <w:t>многогодишната</w:t>
      </w:r>
      <w:r>
        <w:rPr>
          <w:lang w:val="pt-PT"/>
        </w:rPr>
        <w:t xml:space="preserve"> </w:t>
      </w:r>
      <w:r>
        <w:t>финансова</w:t>
      </w:r>
      <w:r>
        <w:rPr>
          <w:lang w:val="pt-PT"/>
        </w:rPr>
        <w:t xml:space="preserve"> </w:t>
      </w:r>
      <w:r>
        <w:t>рамка</w:t>
      </w:r>
      <w:r>
        <w:rPr>
          <w:lang w:val="pt-PT"/>
        </w:rPr>
        <w:t xml:space="preserve"> </w:t>
      </w:r>
      <w:r>
        <w:t>за</w:t>
      </w:r>
      <w:r>
        <w:rPr>
          <w:lang w:val="pt-PT"/>
        </w:rPr>
        <w:t xml:space="preserve"> </w:t>
      </w:r>
      <w:r>
        <w:t>годините</w:t>
      </w:r>
      <w:r>
        <w:rPr>
          <w:lang w:val="pt-PT"/>
        </w:rPr>
        <w:t xml:space="preserve"> 2014—2020 (</w:t>
      </w:r>
      <w:r>
        <w:t>ОВ</w:t>
      </w:r>
      <w:r>
        <w:rPr>
          <w:lang w:val="pt-PT"/>
        </w:rPr>
        <w:t xml:space="preserve"> L 347, 20.12.2013 </w:t>
      </w:r>
      <w:r>
        <w:t>г</w:t>
      </w:r>
      <w:r>
        <w:rPr>
          <w:lang w:val="pt-PT"/>
        </w:rPr>
        <w:t xml:space="preserve">., </w:t>
      </w:r>
      <w:r>
        <w:t>стр</w:t>
      </w:r>
      <w:r>
        <w:rPr>
          <w:lang w:val="pt-PT"/>
        </w:rPr>
        <w:t>. 884).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7E20FB7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1">
    <w:nsid w:val="FFFFFF7E"/>
    <w:multiLevelType w:val="singleLevel"/>
    <w:tmpl w:val="400A105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2">
    <w:nsid w:val="FFFFFF7F"/>
    <w:multiLevelType w:val="singleLevel"/>
    <w:tmpl w:val="45F40C6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3">
    <w:nsid w:val="FFFFFF81"/>
    <w:multiLevelType w:val="singleLevel"/>
    <w:tmpl w:val="C1989CB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9182BA2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4536BE3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57745A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>
    <w:nsid w:val="FFFFFF89"/>
    <w:multiLevelType w:val="singleLevel"/>
    <w:tmpl w:val="96EC41B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8"/>
  </w:num>
  <w:num w:numId="12">
    <w:abstractNumId w:val="12"/>
  </w:num>
  <w:num w:numId="13">
    <w:abstractNumId w:val="20"/>
  </w:num>
  <w:num w:numId="14">
    <w:abstractNumId w:val="11"/>
  </w:num>
  <w:num w:numId="15">
    <w:abstractNumId w:val="13"/>
  </w:num>
  <w:num w:numId="16">
    <w:abstractNumId w:val="9"/>
  </w:num>
  <w:num w:numId="17">
    <w:abstractNumId w:val="19"/>
  </w:num>
  <w:num w:numId="18">
    <w:abstractNumId w:val="8"/>
  </w:num>
  <w:num w:numId="19">
    <w:abstractNumId w:val="14"/>
  </w:num>
  <w:num w:numId="20">
    <w:abstractNumId w:val="16"/>
  </w:num>
  <w:num w:numId="21">
    <w:abstractNumId w:val="17"/>
  </w:num>
  <w:num w:numId="22">
    <w:abstractNumId w:val="10"/>
  </w:num>
  <w:num w:numId="23">
    <w:abstractNumId w:val="15"/>
  </w:num>
  <w:num w:numId="24">
    <w:abstractNumId w:val="21"/>
  </w:num>
  <w:num w:numId="25">
    <w:abstractNumId w:val="18"/>
  </w:num>
  <w:num w:numId="26">
    <w:abstractNumId w:val="12"/>
  </w:num>
  <w:num w:numId="27">
    <w:abstractNumId w:val="20"/>
  </w:num>
  <w:num w:numId="28">
    <w:abstractNumId w:val="11"/>
  </w:num>
  <w:num w:numId="29">
    <w:abstractNumId w:val="13"/>
  </w:num>
  <w:num w:numId="30">
    <w:abstractNumId w:val="9"/>
  </w:num>
  <w:num w:numId="31">
    <w:abstractNumId w:val="19"/>
  </w:num>
  <w:num w:numId="32">
    <w:abstractNumId w:val="8"/>
  </w:num>
  <w:num w:numId="33">
    <w:abstractNumId w:val="14"/>
  </w:num>
  <w:num w:numId="34">
    <w:abstractNumId w:val="16"/>
  </w:num>
  <w:num w:numId="35">
    <w:abstractNumId w:val="17"/>
  </w:num>
  <w:num w:numId="36">
    <w:abstractNumId w:val="10"/>
  </w:num>
  <w:num w:numId="37">
    <w:abstractNumId w:val="15"/>
  </w:num>
  <w:num w:numId="38">
    <w:abstractNumId w:val="2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1505"/>
  </w:hdrShapeDefaults>
  <w:footnotePr>
    <w:footnote w:id="-1"/>
    <w:footnote w:id="0"/>
    <w:footnote w:id="1"/>
  </w:footnotePr>
  <w:endnotePr>
    <w:endnote w:id="-1"/>
    <w:endnote w:id="0"/>
    <w:endnote w:id="1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</w:compat>
  <w:docVars>
    <w:docVar w:name="COVERPAGE_EXISTS" w:val="True"/>
    <w:docVar w:name="DQCDateTime" w:val="2015-04-16 10:07:49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0"/>
    <w:docVar w:name="DQCResult_UnknownFonts" w:val="0;0"/>
    <w:docVar w:name="DQCResult_UnknownStyles" w:val="0;0"/>
    <w:docVar w:name="DQCStatus" w:val="Green"/>
    <w:docVar w:name="DQCVersion" w:val="2"/>
    <w:docVar w:name="DQCWithWarnings" w:val="0"/>
    <w:docVar w:name="LW_CONFIDENCE" w:val=" "/>
    <w:docVar w:name="LW_CONST_RESTREINT_UE" w:val="RESTREINT UE"/>
    <w:docVar w:name="LW_CORRIGENDUM" w:val="&lt;UNUSED&gt;"/>
    <w:docVar w:name="LW_COVERPAGE_GUID" w:val="A20D66CA436744B5A86BDCF047E0C6F7"/>
    <w:docVar w:name="LW_CROSSREFERENCE" w:val="&lt;UNUSED&gt;"/>
    <w:docVar w:name="LW_DocType" w:val="COM"/>
    <w:docVar w:name="LW_EMISSION" w:val="15.4.2015"/>
    <w:docVar w:name="LW_EMISSION_ISODATE" w:val="2015-04-15"/>
    <w:docVar w:name="LW_EMISSION_LOCATION" w:val="BRX"/>
    <w:docVar w:name="LW_EMISSION_PREFIX" w:val="Брюксел, "/>
    <w:docVar w:name="LW_EMISSION_SUFFIX" w:val=" \u1075?."/>
    <w:docVar w:name="LW_ID_DOCMODEL" w:val="SJ-026"/>
    <w:docVar w:name="LW_ID_DOCSIGNATURE" w:val="SJ-026"/>
    <w:docVar w:name="LW_ID_DOCSTRUCTURE" w:val="COM/PL/ORG"/>
    <w:docVar w:name="LW_ID_DOCTYPE" w:val="SJ-026"/>
    <w:docVar w:name="LW_ID_STATUT" w:val="SJ-026"/>
    <w:docVar w:name="LW_INTERETEEE.CP" w:val="&lt;UNUSED&gt;"/>
    <w:docVar w:name="LW_LANGUE" w:val="BG"/>
    <w:docVar w:name="LW_MARKING" w:val="&lt;UNUSED&gt;"/>
    <w:docVar w:name="LW_NOM.INST" w:val="\u1045?\u1042?\u1056?\u1054?\u1055?\u1045?\u1049?\u1057?\u1050?\u1040? \u1050?\u1054?\u1052?\u1048?\u1057?\u1048?\u1071?"/>
    <w:docVar w:name="LW_NOM.INST_JOINTDOC" w:val="&lt;EMPTY&gt;"/>
    <w:docVar w:name="LW_PART_NBR" w:val="1"/>
    <w:docVar w:name="LW_PART_NBR_TOTAL" w:val="1"/>
    <w:docVar w:name="LW_REF.II.NEW.CP" w:val="&lt;UNUSED&gt;"/>
    <w:docVar w:name="LW_REF.II.NEW.CP_NUMBER" w:val="&lt;UNUSED&gt;"/>
    <w:docVar w:name="LW_REF.II.NEW.CP_YEAR" w:val="2015"/>
    <w:docVar w:name="LW_REF.INST.NEW" w:val="COM"/>
    <w:docVar w:name="LW_REF.INST.NEW_ADOPTED" w:val="final"/>
    <w:docVar w:name="LW_REF.INST.NEW_TEXT" w:val="(2015) 162"/>
    <w:docVar w:name="LW_REF.INTERNE" w:val="&lt;UNUSED&gt;"/>
    <w:docVar w:name="LW_SOUS.TITRE.OBJ.CP" w:val="&lt;UNUSED&gt;"/>
    <w:docVar w:name="LW_STATUT.CP" w:val="\u1055?\u1088?\u1077?\u1076?\u1083?\u1086?\u1078?\u1077?\u1085?\u1080?\u1077? \u1079?\u1072?"/>
    <w:docVar w:name="LW_SUPERTITRE" w:val="&lt;UNUSED&gt;"/>
    <w:docVar w:name="LW_TITRE.OBJ.CP" w:val="\u1086?\u1090?\u1085?\u1086?\u1089?\u1085?\u1086? \u1084?\u1086?\u1073?\u1080?\u1083?\u1080?\u1079?\u1080?\u1088?\u1072?\u1085?\u1077?\u1090?\u1086? \u1085?\u1072? \u1089?\u1088?\u1077?\u1076?\u1089?\u1090?\u1074?\u1072? \u1086?\u1090? \u1092?\u1086?\u1085?\u1076? \u8222?\u1057?\u1086?\u1083?\u1080?\u1076?\u1072?\u1088?\u1085?\u1086?\u1089?\u1090?\u8220? \u1085?\u1072? \u1045?\u1057? (\u1079?\u1072? \u1085?\u1072?\u1074?\u1086?\u1076?\u1085?\u1077?\u1085?\u1080?\u1103? \u1074? \u1056?\u1091?\u1084?\u1098?\u1085?\u1080?\u1103?, \u1041?\u1098?\u1083?\u1075?\u1072?\u1088?\u1080?\u1103? \u1080? \u1048?\u1090?\u1072?\u1083?\u1080?\u1103?)"/>
    <w:docVar w:name="LW_TYPE.DOC.CP" w:val="\u1056?\u1045?\u1064?\u1045?\u1053?\u1048?\u1045? \u1053?\u1040? \u1045?\u1042?\u1056?\u1054?\u1055?\u1045?\u1049?\u1057?\u1050?\u1048?\u1071? \u1055?\u1040?\u1056?\u1051?\u1040?\u1052?\u1045?\u1053?\u1058? \u1048? \u1053?\u1040? \u1057?\u1066?\u1042?\u1045?\u1058?\u1040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uiPriority="35" w:qFormat="1"/>
    <w:lsdException w:name="table of figures" w:uiPriority="99"/>
    <w:lsdException w:name="footnote reference" w:uiPriority="99"/>
    <w:lsdException w:name="annotation reference" w:uiPriority="99"/>
    <w:lsdException w:name="List Bullet" w:uiPriority="99"/>
    <w:lsdException w:name="List Number" w:uiPriority="99"/>
    <w:lsdException w:name="List Bullet 2" w:uiPriority="99"/>
    <w:lsdException w:name="List Bullet 3" w:uiPriority="99"/>
    <w:lsdException w:name="List Bullet 4" w:uiPriority="99"/>
    <w:lsdException w:name="List Number 2" w:uiPriority="99"/>
    <w:lsdException w:name="List Number 3" w:uiPriority="99"/>
    <w:lsdException w:name="List Number 4" w:uiPriority="99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1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1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1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1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oterCoverPage">
    <w:name w:val="Footer Cover Page"/>
    <w:basedOn w:val="Normal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paragraph" w:styleId="Caption">
    <w:name w:val="caption"/>
    <w:basedOn w:val="Normal"/>
    <w:next w:val="Normal"/>
    <w:uiPriority w:val="35"/>
    <w:qFormat/>
    <w:rPr>
      <w:b/>
      <w:bCs/>
      <w:sz w:val="20"/>
    </w:rPr>
  </w:style>
  <w:style w:type="paragraph" w:styleId="TableofFigures">
    <w:name w:val="table of figures"/>
    <w:basedOn w:val="Normal"/>
    <w:next w:val="Normal"/>
    <w:uiPriority w:val="99"/>
    <w:semiHidden/>
  </w:style>
  <w:style w:type="paragraph" w:styleId="ListBullet">
    <w:name w:val="List Bullet"/>
    <w:basedOn w:val="Normal"/>
    <w:uiPriority w:val="99"/>
    <w:pPr>
      <w:numPr>
        <w:numId w:val="1"/>
      </w:numPr>
    </w:pPr>
  </w:style>
  <w:style w:type="paragraph" w:styleId="ListBullet2">
    <w:name w:val="List Bullet 2"/>
    <w:basedOn w:val="Normal"/>
    <w:uiPriority w:val="99"/>
    <w:pPr>
      <w:numPr>
        <w:numId w:val="2"/>
      </w:numPr>
    </w:pPr>
  </w:style>
  <w:style w:type="paragraph" w:styleId="ListBullet3">
    <w:name w:val="List Bullet 3"/>
    <w:basedOn w:val="Normal"/>
    <w:uiPriority w:val="99"/>
    <w:pPr>
      <w:numPr>
        <w:numId w:val="3"/>
      </w:numPr>
    </w:pPr>
  </w:style>
  <w:style w:type="paragraph" w:styleId="ListBullet4">
    <w:name w:val="List Bullet 4"/>
    <w:basedOn w:val="Normal"/>
    <w:uiPriority w:val="99"/>
    <w:pPr>
      <w:numPr>
        <w:numId w:val="4"/>
      </w:numPr>
    </w:pPr>
  </w:style>
  <w:style w:type="paragraph" w:styleId="ListNumber">
    <w:name w:val="List Number"/>
    <w:basedOn w:val="Normal"/>
    <w:uiPriority w:val="99"/>
    <w:pPr>
      <w:numPr>
        <w:numId w:val="5"/>
      </w:numPr>
    </w:pPr>
  </w:style>
  <w:style w:type="paragraph" w:styleId="ListNumber2">
    <w:name w:val="List Number 2"/>
    <w:basedOn w:val="Normal"/>
    <w:uiPriority w:val="99"/>
    <w:pPr>
      <w:numPr>
        <w:numId w:val="6"/>
      </w:numPr>
    </w:pPr>
  </w:style>
  <w:style w:type="paragraph" w:styleId="ListNumber3">
    <w:name w:val="List Number 3"/>
    <w:basedOn w:val="Normal"/>
    <w:uiPriority w:val="99"/>
    <w:pPr>
      <w:numPr>
        <w:numId w:val="7"/>
      </w:numPr>
    </w:pPr>
  </w:style>
  <w:style w:type="paragraph" w:styleId="ListNumber4">
    <w:name w:val="List Number 4"/>
    <w:basedOn w:val="Normal"/>
    <w:uiPriority w:val="99"/>
    <w:pPr>
      <w:numPr>
        <w:numId w:val="8"/>
      </w:numPr>
    </w:pPr>
  </w:style>
  <w:style w:type="paragraph" w:styleId="BalloonText">
    <w:name w:val="Balloon Text"/>
    <w:basedOn w:val="Normal"/>
    <w:link w:val="BalloonTextChar"/>
    <w:uiPriority w:val="9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  <w:lang w:eastAsia="bg-BG"/>
    </w:rPr>
  </w:style>
  <w:style w:type="character" w:styleId="CommentReference">
    <w:name w:val="annotation reference"/>
    <w:uiPriority w:val="99"/>
    <w:rPr>
      <w:sz w:val="16"/>
      <w:shd w:val="clear" w:color="auto" w:fill="auto"/>
    </w:rPr>
  </w:style>
  <w:style w:type="paragraph" w:styleId="CommentText">
    <w:name w:val="annotation text"/>
    <w:basedOn w:val="Normal"/>
    <w:link w:val="CommentTextChar"/>
    <w:uiPriority w:val="99"/>
    <w:rPr>
      <w:sz w:val="20"/>
    </w:rPr>
  </w:style>
  <w:style w:type="character" w:customStyle="1" w:styleId="CommentTextChar">
    <w:name w:val="Comment Text Char"/>
    <w:link w:val="CommentText"/>
    <w:uiPriority w:val="99"/>
    <w:semiHidden/>
    <w:rPr>
      <w:lang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lang w:eastAsia="bg-BG"/>
    </w:rPr>
  </w:style>
  <w:style w:type="character" w:styleId="Hyperlink">
    <w:name w:val="Hyperlink"/>
    <w:uiPriority w:val="99"/>
    <w:rPr>
      <w:color w:val="0000FF"/>
      <w:u w:val="single"/>
      <w:shd w:val="clear" w:color="auto" w:fill="auto"/>
    </w:rPr>
  </w:style>
  <w:style w:type="paragraph" w:customStyle="1" w:styleId="HeaderCoverPage">
    <w:name w:val="Header Cover Page"/>
    <w:basedOn w:val="Normal"/>
    <w:pPr>
      <w:tabs>
        <w:tab w:val="center" w:pos="4535"/>
        <w:tab w:val="right" w:pos="9071"/>
      </w:tabs>
      <w:spacing w:before="0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rFonts w:eastAsia="Calibri"/>
      <w:lang w:eastAsia="en-US" w:bidi="ar-SA"/>
    </w:rPr>
  </w:style>
  <w:style w:type="character" w:customStyle="1" w:styleId="HeaderChar">
    <w:name w:val="Header Char"/>
    <w:link w:val="Header"/>
    <w:uiPriority w:val="99"/>
    <w:rPr>
      <w:rFonts w:eastAsia="Calibri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rFonts w:eastAsia="Calibri"/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5"/>
      </w:numPr>
    </w:pPr>
  </w:style>
  <w:style w:type="paragraph" w:customStyle="1" w:styleId="Tiret1">
    <w:name w:val="Tiret 1"/>
    <w:basedOn w:val="Point1"/>
    <w:pPr>
      <w:numPr>
        <w:numId w:val="26"/>
      </w:numPr>
    </w:pPr>
  </w:style>
  <w:style w:type="paragraph" w:customStyle="1" w:styleId="Tiret2">
    <w:name w:val="Tiret 2"/>
    <w:basedOn w:val="Point2"/>
    <w:pPr>
      <w:numPr>
        <w:numId w:val="27"/>
      </w:numPr>
    </w:pPr>
  </w:style>
  <w:style w:type="paragraph" w:customStyle="1" w:styleId="Tiret3">
    <w:name w:val="Tiret 3"/>
    <w:basedOn w:val="Point3"/>
    <w:pPr>
      <w:numPr>
        <w:numId w:val="28"/>
      </w:numPr>
    </w:pPr>
  </w:style>
  <w:style w:type="paragraph" w:customStyle="1" w:styleId="Tiret4">
    <w:name w:val="Tiret 4"/>
    <w:basedOn w:val="Point4"/>
    <w:pPr>
      <w:numPr>
        <w:numId w:val="29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30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30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30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30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2"/>
      </w:numPr>
    </w:pPr>
  </w:style>
  <w:style w:type="paragraph" w:customStyle="1" w:styleId="Point1number">
    <w:name w:val="Point 1 (number)"/>
    <w:basedOn w:val="Normal"/>
    <w:pPr>
      <w:numPr>
        <w:ilvl w:val="2"/>
        <w:numId w:val="32"/>
      </w:numPr>
    </w:pPr>
  </w:style>
  <w:style w:type="paragraph" w:customStyle="1" w:styleId="Point2number">
    <w:name w:val="Point 2 (number)"/>
    <w:basedOn w:val="Normal"/>
    <w:pPr>
      <w:numPr>
        <w:ilvl w:val="4"/>
        <w:numId w:val="32"/>
      </w:numPr>
    </w:pPr>
  </w:style>
  <w:style w:type="paragraph" w:customStyle="1" w:styleId="Point3number">
    <w:name w:val="Point 3 (number)"/>
    <w:basedOn w:val="Normal"/>
    <w:pPr>
      <w:numPr>
        <w:ilvl w:val="6"/>
        <w:numId w:val="32"/>
      </w:numPr>
    </w:pPr>
  </w:style>
  <w:style w:type="paragraph" w:customStyle="1" w:styleId="Point0letter">
    <w:name w:val="Point 0 (letter)"/>
    <w:basedOn w:val="Normal"/>
    <w:pPr>
      <w:numPr>
        <w:ilvl w:val="1"/>
        <w:numId w:val="32"/>
      </w:numPr>
    </w:pPr>
  </w:style>
  <w:style w:type="paragraph" w:customStyle="1" w:styleId="Point1letter">
    <w:name w:val="Point 1 (letter)"/>
    <w:basedOn w:val="Normal"/>
    <w:pPr>
      <w:numPr>
        <w:ilvl w:val="3"/>
        <w:numId w:val="32"/>
      </w:numPr>
    </w:pPr>
  </w:style>
  <w:style w:type="paragraph" w:customStyle="1" w:styleId="Point2letter">
    <w:name w:val="Point 2 (letter)"/>
    <w:basedOn w:val="Normal"/>
    <w:pPr>
      <w:numPr>
        <w:ilvl w:val="5"/>
        <w:numId w:val="32"/>
      </w:numPr>
    </w:pPr>
  </w:style>
  <w:style w:type="paragraph" w:customStyle="1" w:styleId="Point3letter">
    <w:name w:val="Point 3 (letter)"/>
    <w:basedOn w:val="Normal"/>
    <w:pPr>
      <w:numPr>
        <w:ilvl w:val="7"/>
        <w:numId w:val="32"/>
      </w:numPr>
    </w:pPr>
  </w:style>
  <w:style w:type="paragraph" w:customStyle="1" w:styleId="Point4letter">
    <w:name w:val="Point 4 (letter)"/>
    <w:basedOn w:val="Normal"/>
    <w:pPr>
      <w:numPr>
        <w:ilvl w:val="8"/>
        <w:numId w:val="32"/>
      </w:numPr>
    </w:pPr>
  </w:style>
  <w:style w:type="paragraph" w:customStyle="1" w:styleId="Bullet0">
    <w:name w:val="Bullet 0"/>
    <w:basedOn w:val="Normal"/>
    <w:pPr>
      <w:numPr>
        <w:numId w:val="33"/>
      </w:numPr>
    </w:pPr>
  </w:style>
  <w:style w:type="paragraph" w:customStyle="1" w:styleId="Bullet1">
    <w:name w:val="Bullet 1"/>
    <w:basedOn w:val="Normal"/>
    <w:pPr>
      <w:numPr>
        <w:numId w:val="34"/>
      </w:numPr>
    </w:pPr>
  </w:style>
  <w:style w:type="paragraph" w:customStyle="1" w:styleId="Bullet2">
    <w:name w:val="Bullet 2"/>
    <w:basedOn w:val="Normal"/>
    <w:pPr>
      <w:numPr>
        <w:numId w:val="35"/>
      </w:numPr>
    </w:pPr>
  </w:style>
  <w:style w:type="paragraph" w:customStyle="1" w:styleId="Bullet3">
    <w:name w:val="Bullet 3"/>
    <w:basedOn w:val="Normal"/>
    <w:pPr>
      <w:numPr>
        <w:numId w:val="36"/>
      </w:numPr>
    </w:pPr>
  </w:style>
  <w:style w:type="paragraph" w:customStyle="1" w:styleId="Bullet4">
    <w:name w:val="Bullet 4"/>
    <w:basedOn w:val="Normal"/>
    <w:pPr>
      <w:numPr>
        <w:numId w:val="37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8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COM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17A91-C174-4BD0-8528-681381D8A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COM.dotm</Template>
  <TotalTime>1</TotalTime>
  <Pages>5</Pages>
  <Words>710</Words>
  <Characters>3772</Characters>
  <Application>Microsoft Office Word</Application>
  <DocSecurity>0</DocSecurity>
  <Lines>150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DIGIT/A3</cp:lastModifiedBy>
  <cp:revision>17</cp:revision>
  <cp:lastPrinted>2015-03-18T09:16:00Z</cp:lastPrinted>
  <dcterms:created xsi:type="dcterms:W3CDTF">2015-04-13T15:22:00Z</dcterms:created>
  <dcterms:modified xsi:type="dcterms:W3CDTF">2015-04-16T08:07:00Z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COM/PL/ORG</vt:lpwstr>
  </property>
  <property fmtid="{D5CDD505-2E9C-101B-9397-08002B2CF9AE}" pid="3" name="Classification">
    <vt:lpwstr> </vt:lpwstr>
  </property>
  <property fmtid="{D5CDD505-2E9C-101B-9397-08002B2CF9AE}" pid="4" name="Version">
    <vt:lpwstr>5.8.40.0</vt:lpwstr>
  </property>
  <property fmtid="{D5CDD505-2E9C-101B-9397-08002B2CF9AE}" pid="5" name="Last edited using">
    <vt:lpwstr>LW 5.8.4, Build 20141001</vt:lpwstr>
  </property>
  <property fmtid="{D5CDD505-2E9C-101B-9397-08002B2CF9AE}" pid="6" name="Created using">
    <vt:lpwstr>LW 5.8, Build 20111205</vt:lpwstr>
  </property>
  <property fmtid="{D5CDD505-2E9C-101B-9397-08002B2CF9AE}" pid="7" name="LWTemplateID">
    <vt:lpwstr>SJ-026</vt:lpwstr>
  </property>
  <property fmtid="{D5CDD505-2E9C-101B-9397-08002B2CF9AE}" pid="8" name="Part">
    <vt:lpwstr>1</vt:lpwstr>
  </property>
  <property fmtid="{D5CDD505-2E9C-101B-9397-08002B2CF9AE}" pid="9" name="Total parts">
    <vt:lpwstr>1</vt:lpwstr>
  </property>
  <property fmtid="{D5CDD505-2E9C-101B-9397-08002B2CF9AE}" pid="10" name="_NewReviewCycle">
    <vt:lpwstr/>
  </property>
  <property fmtid="{D5CDD505-2E9C-101B-9397-08002B2CF9AE}" pid="11" name="DQCStatus">
    <vt:lpwstr>Green (DQC version 02)</vt:lpwstr>
  </property>
</Properties>
</file>