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6E17F3930DB4C679B7AD5878C4A7D2C" style="width:450.35pt;height:434.05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rPr>
          <w:rFonts w:eastAsia="Times New Roman"/>
          <w:noProof/>
          <w:szCs w:val="24"/>
        </w:rPr>
      </w:pPr>
      <w:r>
        <w:rPr>
          <w:noProof/>
        </w:rPr>
        <w:t>La convention régionale sur les règles d’origine préférentielles paneuro-méditerranéennes</w:t>
      </w:r>
      <w:r>
        <w:rPr>
          <w:rStyle w:val="FootnoteReference"/>
          <w:noProof/>
        </w:rPr>
        <w:footnoteReference w:id="1"/>
      </w:r>
      <w:r>
        <w:rPr>
          <w:noProof/>
        </w:rPr>
        <w:t xml:space="preserve"> (ci-après la «convention») arrête les dispositions concernant l’origine des marchandises échangées dans le cadre des accords de libre-échange pertinents conclus entre les parties contractantes. L’Union européenne et la Tunisie ont signé la convention respectivement le 15 juin 2011 et le 16 janvier 2013.</w:t>
      </w:r>
    </w:p>
    <w:p>
      <w:pPr>
        <w:rPr>
          <w:rFonts w:eastAsia="Times New Roman"/>
          <w:noProof/>
          <w:szCs w:val="24"/>
        </w:rPr>
      </w:pPr>
      <w:r>
        <w:rPr>
          <w:noProof/>
        </w:rPr>
        <w:t>L’Union européenne et la Tunisie ont déposé leur instrument d’acceptation auprès du dépositaire de la convention respectivement le 26 mars 2012 et le 21 novembre 2014. En conséquence, conformément à son article 10, paragraphe 3, la convention est entrée en vigueur pour l’Union européenne et pour la Tunisie respectivement le 1</w:t>
      </w:r>
      <w:r>
        <w:rPr>
          <w:noProof/>
          <w:vertAlign w:val="superscript"/>
        </w:rPr>
        <w:t>er</w:t>
      </w:r>
      <w:r>
        <w:rPr>
          <w:noProof/>
        </w:rPr>
        <w:t xml:space="preserve"> mai 2012 et le 1</w:t>
      </w:r>
      <w:r>
        <w:rPr>
          <w:noProof/>
          <w:vertAlign w:val="superscript"/>
        </w:rPr>
        <w:t>er</w:t>
      </w:r>
      <w:r>
        <w:rPr>
          <w:noProof/>
        </w:rPr>
        <w:t xml:space="preserve"> janvier 2015.</w:t>
      </w:r>
    </w:p>
    <w:p>
      <w:pPr>
        <w:rPr>
          <w:rFonts w:eastAsia="Times New Roman"/>
          <w:noProof/>
          <w:szCs w:val="24"/>
        </w:rPr>
      </w:pPr>
      <w:r>
        <w:rPr>
          <w:noProof/>
        </w:rPr>
        <w:t>L’article 6 de la convention dispose que chaque partie contractante arrête les mesures appropriées pour assurer l’application effective de la convention. À cet effet, il convient que le Conseil d’association institué par l’accord euro-méditerranéen établissant une association entre les Communautés européennes et leurs États membres, d’une part, et la République tunisienne, d’autre part</w:t>
      </w:r>
      <w:r>
        <w:rPr>
          <w:rStyle w:val="FootnoteReference"/>
          <w:noProof/>
        </w:rPr>
        <w:footnoteReference w:id="2"/>
      </w:r>
      <w:r>
        <w:rPr>
          <w:noProof/>
        </w:rPr>
        <w:t>, adopte une décision relative au remplacement du protocole n° 4 relatif à la définition de la notion de «produits originaires» et aux méthodes de coopération administrative par un nouveau protocole qui, pour ce qui est des règles d’origine, fait référence à la convention. Il importe que la position à adopter par l’Union européenne au sein du Conseil d’association soit établie par le Conseil.</w:t>
      </w:r>
    </w:p>
    <w:p>
      <w:pPr>
        <w:pStyle w:val="ManualHeading1"/>
        <w:rPr>
          <w:noProof/>
        </w:rPr>
      </w:pPr>
      <w:r>
        <w:rPr>
          <w:noProof/>
        </w:rPr>
        <w:t>2.</w:t>
      </w:r>
      <w:r>
        <w:rPr>
          <w:noProof/>
        </w:rPr>
        <w:tab/>
        <w:t>RÉSULTATS DES CONSULTATIONS DES PARTIES INTÉRESSÉES ET DES ANALYSES D’IMPACT</w:t>
      </w:r>
    </w:p>
    <w:p>
      <w:pPr>
        <w:rPr>
          <w:rFonts w:eastAsia="Times New Roman"/>
          <w:noProof/>
          <w:szCs w:val="24"/>
        </w:rPr>
      </w:pPr>
      <w:r>
        <w:rPr>
          <w:noProof/>
        </w:rPr>
        <w:t>Les États membres de l’Union ont été informés du projet de décision du Conseil lors de la réunion du comité du code des douanes, section de l’origine, du 13 mai 2013. Les parties contractantes de la convention ont été consultées en dernier lieu lors de la réunion du groupe de travail Pan-Euro-Med des 22 et 23 octobre 2014.</w:t>
      </w:r>
    </w:p>
    <w:p>
      <w:pPr>
        <w:rPr>
          <w:rFonts w:eastAsia="Times New Roman"/>
          <w:noProof/>
          <w:szCs w:val="24"/>
        </w:rPr>
      </w:pPr>
      <w:r>
        <w:rPr>
          <w:noProof/>
        </w:rPr>
        <w:t>Le recours à une expertise externe n’a pas été nécessaire. Il n’a pas non plus été nécessaire de procéder à une analyse d’impact étant donné que les modifications proposées sont de nature technique et ne touchent pas au contenu du protocole sur les règles d’origine actuellement en vigueur.</w:t>
      </w:r>
    </w:p>
    <w:p>
      <w:pPr>
        <w:pStyle w:val="ManualHeading1"/>
        <w:rPr>
          <w:noProof/>
        </w:rPr>
      </w:pPr>
      <w:r>
        <w:rPr>
          <w:noProof/>
        </w:rPr>
        <w:t>3.</w:t>
      </w:r>
      <w:r>
        <w:rPr>
          <w:noProof/>
        </w:rPr>
        <w:tab/>
        <w:t>ÉLÉMENTS JURIDIQUES DE LA PROPOSITION</w:t>
      </w:r>
    </w:p>
    <w:p>
      <w:pPr>
        <w:rPr>
          <w:rFonts w:eastAsia="Times New Roman"/>
          <w:b/>
          <w:noProof/>
          <w:szCs w:val="24"/>
        </w:rPr>
      </w:pPr>
      <w:r>
        <w:rPr>
          <w:noProof/>
        </w:rPr>
        <w:t>La base juridique de la décision du Conseil est l’article 207, en liaison avec l’article 218, paragraphe 9, du traité sur le fonctionnement de l’Union européenne.</w:t>
      </w:r>
    </w:p>
    <w:p>
      <w:pPr>
        <w:rPr>
          <w:rFonts w:eastAsia="Times New Roman"/>
          <w:noProof/>
          <w:szCs w:val="24"/>
        </w:rPr>
      </w:pPr>
      <w:r>
        <w:rPr>
          <w:noProof/>
        </w:rPr>
        <w:t>La proposition relève de la compétence exclusive de l’Union. Le principe de subsidiarité ne s’applique donc pas.</w:t>
      </w:r>
    </w:p>
    <w:p>
      <w:pPr>
        <w:rPr>
          <w:rFonts w:eastAsia="Times New Roman"/>
          <w:noProof/>
          <w:szCs w:val="24"/>
        </w:rPr>
      </w:pPr>
      <w:r>
        <w:rPr>
          <w:noProof/>
        </w:rPr>
        <w:t>Instrument proposé: décision du Conseil.</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2015/0092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adopter au nom de l’Union européenne au sein du Conseil d’association institué par l’accord euro-méditerranéen établissant une association entre les Communautés européennes et leurs États membres, d’une part, et la République tunisienne, d’autre part, en ce qui concerne le remplacement du protocole n° 4 de cet accord, relatif à la définition de la notion de «produits originaires» et aux méthodes de coopération administrative, par un nouveau protocole qui, pour ce qui est des règles d’origine, fait référence à la convention régionale sur les règles d’origine préférentielles paneuro-méditerranéennes</w:t>
      </w:r>
    </w:p>
    <w:p>
      <w:pPr>
        <w:pStyle w:val="Institutionquiagit"/>
        <w:rPr>
          <w:noProof/>
        </w:rPr>
      </w:pPr>
      <w:r>
        <w:rPr>
          <w:noProof/>
        </w:rPr>
        <w:t>LE CONSEIL DE L’UNION EUROPÉENNE,</w:t>
      </w:r>
    </w:p>
    <w:p>
      <w:pPr>
        <w:rPr>
          <w:noProof/>
        </w:rPr>
      </w:pPr>
      <w:r>
        <w:rPr>
          <w:noProof/>
        </w:rPr>
        <w:t>vu le traité sur le fonctionnement de l’Union européenne, et notamment son article 207 en liaison avec l’article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Le protocole n° 4 de l’accord euro-méditerranéen établissant une association entre les Communautés européennes et leurs États membres, d’une part, et la République tunisienne, d’autre part</w:t>
      </w:r>
      <w:r>
        <w:rPr>
          <w:rStyle w:val="FootnoteReference"/>
          <w:noProof/>
        </w:rPr>
        <w:footnoteReference w:id="3"/>
      </w:r>
      <w:r>
        <w:rPr>
          <w:noProof/>
        </w:rPr>
        <w:t>, (ci-après l’«accord»), concerne la définition de la notion de «produits originaires» et les méthodes de coopération administrative (ci-après le«protocole n° 4»).</w:t>
      </w:r>
    </w:p>
    <w:p>
      <w:pPr>
        <w:pStyle w:val="ManualConsidrant"/>
        <w:rPr>
          <w:noProof/>
        </w:rPr>
      </w:pPr>
      <w:r>
        <w:t>(2)</w:t>
      </w:r>
      <w:r>
        <w:tab/>
      </w:r>
      <w:r>
        <w:rPr>
          <w:noProof/>
        </w:rPr>
        <w:t>La convention régionale sur les règles d’origine préférentielles paneuro-méditerranéennes</w:t>
      </w:r>
      <w:r>
        <w:rPr>
          <w:rStyle w:val="FootnoteReference"/>
          <w:noProof/>
        </w:rPr>
        <w:footnoteReference w:id="4"/>
      </w:r>
      <w:r>
        <w:rPr>
          <w:noProof/>
        </w:rPr>
        <w:t xml:space="preserve"> (ci-après la «convention») arrête les dispositions concernant l’origine des marchandises échangées dans le cadre des accords de libre-échange pertinents conclus entre les parties contractantes.</w:t>
      </w:r>
    </w:p>
    <w:p>
      <w:pPr>
        <w:pStyle w:val="ManualConsidrant"/>
        <w:rPr>
          <w:noProof/>
        </w:rPr>
      </w:pPr>
      <w:r>
        <w:t>(3)</w:t>
      </w:r>
      <w:r>
        <w:tab/>
      </w:r>
      <w:r>
        <w:rPr>
          <w:noProof/>
        </w:rPr>
        <w:t>L’Union et la Tunisie ont signé la convention respectivement le 15 juin 2011 et le 16 janvier 2013.</w:t>
      </w:r>
    </w:p>
    <w:p>
      <w:pPr>
        <w:pStyle w:val="ManualConsidrant"/>
        <w:rPr>
          <w:noProof/>
        </w:rPr>
      </w:pPr>
      <w:r>
        <w:t>(4)</w:t>
      </w:r>
      <w:r>
        <w:tab/>
      </w:r>
      <w:r>
        <w:rPr>
          <w:noProof/>
        </w:rPr>
        <w:t>L’Union européenne et la Tunisie ont déposé leur instrument d’acceptation auprès du dépositaire de la convention respectivement le 26 mars 2012 et le 21 novembre 2014. En conséquence, conformément à l’article 10, paragraphe 3, de la convention, cette dernière est entrée en vigueur pour l’Union et pour la Tunisie respectivement le 1</w:t>
      </w:r>
      <w:r>
        <w:rPr>
          <w:noProof/>
          <w:vertAlign w:val="superscript"/>
        </w:rPr>
        <w:t>er</w:t>
      </w:r>
      <w:r>
        <w:rPr>
          <w:noProof/>
        </w:rPr>
        <w:t xml:space="preserve"> mai 2012 et le 1</w:t>
      </w:r>
      <w:r>
        <w:rPr>
          <w:noProof/>
          <w:vertAlign w:val="superscript"/>
        </w:rPr>
        <w:t>er</w:t>
      </w:r>
      <w:r>
        <w:rPr>
          <w:noProof/>
        </w:rPr>
        <w:t xml:space="preserve"> janvier 2015.</w:t>
      </w:r>
    </w:p>
    <w:p>
      <w:pPr>
        <w:pStyle w:val="ManualConsidrant"/>
        <w:rPr>
          <w:noProof/>
        </w:rPr>
      </w:pPr>
      <w:r>
        <w:t>(5)</w:t>
      </w:r>
      <w:r>
        <w:tab/>
      </w:r>
      <w:r>
        <w:rPr>
          <w:noProof/>
        </w:rPr>
        <w:t xml:space="preserve">En vertu de l’article 6 de la convention, chaque partie contractante doit arrêter les mesures appropriées pour assurer l’application effective de celle-ci. À cet effet, il est nécessaire que le Conseil d’association institué par l’accord adopte une décision </w:t>
      </w:r>
      <w:r>
        <w:rPr>
          <w:noProof/>
        </w:rPr>
        <w:lastRenderedPageBreak/>
        <w:t>relative au remplacement du protocole n° 4 par un nouveau protocole qui, pour ce qui est des règles d’origine, fait référence à la convention.</w:t>
      </w:r>
    </w:p>
    <w:p>
      <w:pPr>
        <w:pStyle w:val="ManualConsidrant"/>
        <w:rPr>
          <w:noProof/>
        </w:rPr>
      </w:pPr>
      <w:r>
        <w:t>(6)</w:t>
      </w:r>
      <w:r>
        <w:tab/>
      </w:r>
      <w:r>
        <w:rPr>
          <w:noProof/>
        </w:rPr>
        <w:t>Il convient, par conséquent, que l’Union adopte, au sein du Conseil d’association, la position définie dans le projet de décision joint,</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 position à adopter au nom de l’Union européenne au sein du Conseil d’association institué par l’accord euro-méditerranéen établissant une association entre les Communautés européennes et leurs États membres, d’une part, et la République tunisienne, d’autre part, en ce qui concerne le remplacement du protocole n° 4 de cet accord, relatif à la définition de la notion de «produits originaires» et aux méthodes de coopération administrative, par un nouveau protocole qui, pour ce qui est des règles d’origine, fait référence à la convention régionale sur les règles d’origine préférentielles paneuro-méditerranéennes est définie dans le projet de décision du Conseil d’association joint à la présente décision.</w:t>
      </w:r>
    </w:p>
    <w:p>
      <w:pPr>
        <w:rPr>
          <w:noProof/>
        </w:rPr>
      </w:pPr>
      <w:r>
        <w:rPr>
          <w:noProof/>
        </w:rPr>
        <w:t>Les représentants de l’Union au sein du Conseil d’association peuvent accepter que des modifications mineures soient apportées au projet de décision du Conseil d’association sans que le Conseil doive adopter une nouvelle décision.</w:t>
      </w:r>
    </w:p>
    <w:p>
      <w:pPr>
        <w:pStyle w:val="Titrearticle"/>
        <w:keepNext w:val="0"/>
        <w:rPr>
          <w:noProof/>
        </w:rPr>
      </w:pPr>
      <w:r>
        <w:rPr>
          <w:noProof/>
        </w:rPr>
        <w:t>Article 2</w:t>
      </w:r>
    </w:p>
    <w:p>
      <w:pPr>
        <w:keepLines/>
        <w:rPr>
          <w:noProof/>
        </w:rPr>
      </w:pPr>
      <w:r>
        <w:rPr>
          <w:noProof/>
        </w:rPr>
        <w:t xml:space="preserve">La décision du Conseil d’association est publiée au </w:t>
      </w:r>
      <w:r>
        <w:rPr>
          <w:i/>
          <w:noProof/>
        </w:rPr>
        <w:t>Journal officiel de l’Union européenne</w:t>
      </w:r>
      <w:r>
        <w:rPr>
          <w:noProof/>
        </w:rPr>
        <w:t>.</w:t>
      </w:r>
    </w:p>
    <w:p>
      <w:pPr>
        <w:pStyle w:val="Titrearticle"/>
        <w:rPr>
          <w:noProof/>
        </w:rPr>
      </w:pPr>
      <w:r>
        <w:rPr>
          <w:noProof/>
        </w:rPr>
        <w:t>Article 3</w:t>
      </w:r>
    </w:p>
    <w:p>
      <w:pPr>
        <w:rPr>
          <w:noProof/>
        </w:rPr>
      </w:pPr>
      <w:r>
        <w:rPr>
          <w:noProof/>
        </w:rPr>
        <w:t>La présente décision entre en vigueur le jour de son adoption.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tab/>
        <w:t>JO L 54 du 26.2.2013, p. 4.</w:t>
      </w:r>
    </w:p>
  </w:footnote>
  <w:footnote w:id="2">
    <w:p>
      <w:pPr>
        <w:pStyle w:val="FootnoteText"/>
        <w:rPr>
          <w:lang w:val="pl-PL"/>
        </w:rPr>
      </w:pPr>
      <w:r>
        <w:rPr>
          <w:rStyle w:val="FootnoteReference"/>
        </w:rPr>
        <w:footnoteRef/>
      </w:r>
      <w:r>
        <w:tab/>
        <w:t>JO L 97 du 30.3.1998, p. 2.</w:t>
      </w:r>
    </w:p>
  </w:footnote>
  <w:footnote w:id="3">
    <w:p>
      <w:pPr>
        <w:pStyle w:val="FootnoteText"/>
        <w:rPr>
          <w:lang w:val="pl-PL"/>
        </w:rPr>
      </w:pPr>
      <w:r>
        <w:rPr>
          <w:rStyle w:val="FootnoteReference"/>
        </w:rPr>
        <w:footnoteRef/>
      </w:r>
      <w:r>
        <w:tab/>
        <w:t>JO L 97 du 30.3.1998, p. 2.</w:t>
      </w:r>
    </w:p>
  </w:footnote>
  <w:footnote w:id="4">
    <w:p>
      <w:pPr>
        <w:pStyle w:val="FootnoteText"/>
        <w:rPr>
          <w:lang w:val="pl-PL"/>
        </w:rPr>
      </w:pPr>
      <w:r>
        <w:rPr>
          <w:rStyle w:val="FootnoteReference"/>
        </w:rPr>
        <w:footnoteRef/>
      </w:r>
      <w:r>
        <w:tab/>
        <w:t>JO L 54 du 26.2.2013, p.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B3ABAC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77878F4"/>
    <w:lvl w:ilvl="0">
      <w:start w:val="1"/>
      <w:numFmt w:val="decimal"/>
      <w:pStyle w:val="ListNumber3"/>
      <w:lvlText w:val="%1."/>
      <w:lvlJc w:val="left"/>
      <w:pPr>
        <w:tabs>
          <w:tab w:val="num" w:pos="926"/>
        </w:tabs>
        <w:ind w:left="926" w:hanging="360"/>
      </w:pPr>
    </w:lvl>
  </w:abstractNum>
  <w:abstractNum w:abstractNumId="2">
    <w:nsid w:val="FFFFFF7F"/>
    <w:multiLevelType w:val="singleLevel"/>
    <w:tmpl w:val="7E98F452"/>
    <w:lvl w:ilvl="0">
      <w:start w:val="1"/>
      <w:numFmt w:val="decimal"/>
      <w:pStyle w:val="ListNumber2"/>
      <w:lvlText w:val="%1."/>
      <w:lvlJc w:val="left"/>
      <w:pPr>
        <w:tabs>
          <w:tab w:val="num" w:pos="643"/>
        </w:tabs>
        <w:ind w:left="643" w:hanging="360"/>
      </w:pPr>
    </w:lvl>
  </w:abstractNum>
  <w:abstractNum w:abstractNumId="3">
    <w:nsid w:val="FFFFFF81"/>
    <w:multiLevelType w:val="singleLevel"/>
    <w:tmpl w:val="54162BE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0F05D3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D0E9FF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C10A474"/>
    <w:lvl w:ilvl="0">
      <w:start w:val="1"/>
      <w:numFmt w:val="decimal"/>
      <w:pStyle w:val="ListNumber"/>
      <w:lvlText w:val="%1."/>
      <w:lvlJc w:val="left"/>
      <w:pPr>
        <w:tabs>
          <w:tab w:val="num" w:pos="360"/>
        </w:tabs>
        <w:ind w:left="360" w:hanging="360"/>
      </w:pPr>
    </w:lvl>
  </w:abstractNum>
  <w:abstractNum w:abstractNumId="7">
    <w:nsid w:val="FFFFFF89"/>
    <w:multiLevelType w:val="singleLevel"/>
    <w:tmpl w:val="8DBE3CB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oNotTrackMoves/>
  <w:defaultTabStop w:val="720"/>
  <w:hyphenationZone w:val="425"/>
  <w:characterSpacingControl w:val="doNotCompress"/>
  <w:hdrShapeDefaults>
    <o:shapedefaults v:ext="edit" spidmax="1740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04-21 10:12:0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2"/>
    <w:docVar w:name="DQCWithWarnings" w:val="0"/>
    <w:docVar w:name="FigNum" w:val="1"/>
    <w:docVar w:name="LW_CONFIDENCE" w:val=" "/>
    <w:docVar w:name="LW_CONST_RESTREINT_UE" w:val="RESTREINT UE"/>
    <w:docVar w:name="LW_CORRIGENDUM" w:val="&lt;UNUSED&gt;"/>
    <w:docVar w:name="LW_COVERPAGE_GUID" w:val="36E17F3930DB4C679B7AD5878C4A7D2C"/>
    <w:docVar w:name="LW_CROSSREFERENCE" w:val="&lt;UNUSED&gt;"/>
    <w:docVar w:name="LW_DocType" w:val="COM"/>
    <w:docVar w:name="LW_EMISSION" w:val="22.4.2015"/>
    <w:docVar w:name="LW_EMISSION_ISODATE" w:val="2015-04-22"/>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092"/>
    <w:docVar w:name="LW_REF.II.NEW.CP_YEAR" w:val="2015"/>
    <w:docVar w:name="LW_REF.INST.NEW" w:val="COM"/>
    <w:docVar w:name="LW_REF.INST.NEW_ADOPTED" w:val="final"/>
    <w:docVar w:name="LW_REF.INST.NEW_TEXT" w:val="(2015) 175"/>
    <w:docVar w:name="LW_REF.INTERNE" w:val="&lt;UNUSED&gt;"/>
    <w:docVar w:name="LW_SOUS.TITRE.OBJ.CP" w:val="&lt;UNUSED&gt;"/>
    <w:docVar w:name="LW_STATUT.CP" w:val="Proposition de"/>
    <w:docVar w:name="LW_SUPERTITRE" w:val="&lt;UNUSED&gt;"/>
    <w:docVar w:name="LW_TITRE.OBJ.CP" w:val="relative à la position à adopter au nom de l\u8217?Union européenne au sein du Conseil d\u8217?association institué par l\u8217?accord euro-méditerranéen établissant une association entre les Communautés européennes et leurs États membres, d\u8217?une part, et la République tunisienne, d\u8217?autre part, en ce qui concerne le remplacement du protocole n° 4 de cet accord, relatif à la définition de la notion de «produits originaires» et aux méthodes de coopération administrative, par un nouveau protocole qui, pour ce qui est des règles d\u8217?origine, fait référence à la convention régionale sur les règles d\u8217?origine préférentielles paneuro-méditerranéennes"/>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4</Pages>
  <Words>972</Words>
  <Characters>5484</Characters>
  <Application>Microsoft Office Word</Application>
  <DocSecurity>0</DocSecurity>
  <Lines>99</Lines>
  <Paragraphs>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2014-11-04T09:24:00Z</cp:lastPrinted>
  <dcterms:created xsi:type="dcterms:W3CDTF">2015-04-13T07:11:00Z</dcterms:created>
  <dcterms:modified xsi:type="dcterms:W3CDTF">2015-04-21T08:12:00Z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5.8.3, Build 20140113</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02)</vt:lpwstr>
  </property>
</Properties>
</file>