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3B15C12F6B2E47739732C76D9D0245BA" style="width:450.75pt;height:510.75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before="360" w:after="0"/>
        <w:jc w:val="center"/>
        <w:rPr>
          <w:b/>
          <w:noProof/>
        </w:rPr>
      </w:pPr>
      <w:bookmarkStart w:id="0" w:name="_GoBack"/>
      <w:bookmarkEnd w:id="0"/>
      <w:r>
        <w:rPr>
          <w:b/>
          <w:noProof/>
        </w:rPr>
        <w:lastRenderedPageBreak/>
        <w:t>Projet de</w:t>
      </w:r>
      <w:r>
        <w:rPr>
          <w:noProof/>
        </w:rPr>
        <w:br/>
      </w:r>
      <w:r>
        <w:rPr>
          <w:b/>
          <w:noProof/>
        </w:rPr>
        <w:br/>
        <w:t>DÉCISION Nº … DU CONSEIL D’ASSOCIATION UE-TUNISIE</w:t>
      </w:r>
    </w:p>
    <w:p>
      <w:pPr>
        <w:spacing w:before="360" w:after="0"/>
        <w:jc w:val="center"/>
        <w:rPr>
          <w:b/>
          <w:noProof/>
        </w:rPr>
      </w:pPr>
      <w:r>
        <w:rPr>
          <w:b/>
          <w:noProof/>
        </w:rPr>
        <w:t xml:space="preserve">du </w:t>
      </w:r>
    </w:p>
    <w:p>
      <w:pPr>
        <w:spacing w:before="360" w:after="0"/>
        <w:jc w:val="center"/>
        <w:rPr>
          <w:b/>
          <w:noProof/>
        </w:rPr>
      </w:pPr>
      <w:r>
        <w:rPr>
          <w:b/>
          <w:noProof/>
        </w:rPr>
        <w:t>remplaçant le protocole n° 4 de l’accord euro-méditerranéen établissant une association entre les Communautés européennes et leurs États membres, d’une part, et la République tunisienne, d’autre part, relatif à la définition de la notion de «produits originaires» et aux méthodes de coopération administrative</w:t>
      </w:r>
    </w:p>
    <w:p>
      <w:pPr>
        <w:keepNext/>
        <w:spacing w:before="600"/>
        <w:rPr>
          <w:caps/>
          <w:noProof/>
        </w:rPr>
      </w:pPr>
      <w:r>
        <w:rPr>
          <w:caps/>
          <w:noProof/>
        </w:rPr>
        <w:t>LE CONSEIL D’ASSOCIATION UE-TUNISIE,</w:t>
      </w:r>
    </w:p>
    <w:p>
      <w:pPr>
        <w:rPr>
          <w:noProof/>
        </w:rPr>
      </w:pPr>
      <w:r>
        <w:rPr>
          <w:noProof/>
        </w:rPr>
        <w:t>vu l’accord euro-méditerranéen établissant une association entre les Communautés européennes et leurs États membres, d’une part, et la République tunisienne, d’autre part</w:t>
      </w:r>
      <w:r>
        <w:rPr>
          <w:rStyle w:val="FootnoteReference"/>
          <w:noProof/>
        </w:rPr>
        <w:footnoteReference w:id="1"/>
      </w:r>
      <w:r>
        <w:rPr>
          <w:noProof/>
        </w:rPr>
        <w:t>, et notamment son article 29,</w:t>
      </w:r>
    </w:p>
    <w:p>
      <w:pPr>
        <w:rPr>
          <w:noProof/>
        </w:rPr>
      </w:pPr>
      <w:r>
        <w:rPr>
          <w:noProof/>
        </w:rPr>
        <w:t>vu le protocole n° 4 de l’accord euro-méditerranéen établissant une association entre les Communautés européennes et leurs États membres, d’une part, et la République tunisienne, d’autre part, relatif à la définition de la notion de «produits originaires» et aux méthodes de coopération administrative,</w:t>
      </w:r>
    </w:p>
    <w:p>
      <w:pPr>
        <w:rPr>
          <w:noProof/>
        </w:rPr>
      </w:pPr>
      <w:r>
        <w:rPr>
          <w:noProof/>
        </w:rPr>
        <w:t>considérant ce qui suit:</w:t>
      </w:r>
    </w:p>
    <w:p>
      <w:pPr>
        <w:pStyle w:val="Point0number"/>
        <w:numPr>
          <w:ilvl w:val="0"/>
          <w:numId w:val="5"/>
        </w:numPr>
        <w:ind w:left="851" w:hanging="851"/>
        <w:rPr>
          <w:noProof/>
        </w:rPr>
      </w:pPr>
      <w:r>
        <w:rPr>
          <w:noProof/>
        </w:rPr>
        <w:t>L’article 29 de l’accord euro-méditerranéen établissant une association entre les Communautés européennes et leurs États membres, d’une part, et la République tunisienne, d’autre part, (ci-après l’«accord») fait référence au protocole n° 4 de l’accord (ci-après le «protocole n° 4»), qui détermine les règles d’origine et prévoit le cumul de l’origine entre l’Union européenne, la Tunisie et d’autres parties contractantes de la convention.</w:t>
      </w:r>
    </w:p>
    <w:p>
      <w:pPr>
        <w:pStyle w:val="Point0number"/>
        <w:ind w:left="851" w:hanging="851"/>
        <w:rPr>
          <w:noProof/>
        </w:rPr>
      </w:pPr>
      <w:r>
        <w:rPr>
          <w:noProof/>
        </w:rPr>
        <w:t>L’article 39 du protocole n° 4 dispose que le Conseil d’association institué à l’article 78 de l’accord peut décider de modifier les dispositions dudit protocole.</w:t>
      </w:r>
    </w:p>
    <w:p>
      <w:pPr>
        <w:pStyle w:val="Point0number"/>
        <w:rPr>
          <w:noProof/>
        </w:rPr>
      </w:pPr>
      <w:r>
        <w:rPr>
          <w:noProof/>
        </w:rPr>
        <w:t>La convention régionale sur les règles d’origine préférentielles paneuro-méditerranéennes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(ci-après la «convention») vise à remplacer par un acte juridique unique les protocoles relatifs aux règles d’origine actuellement en vigueur dans les pays de la zone paneuro-méditerranéenne.</w:t>
      </w:r>
    </w:p>
    <w:p>
      <w:pPr>
        <w:pStyle w:val="Point0number"/>
        <w:rPr>
          <w:noProof/>
        </w:rPr>
      </w:pPr>
      <w:r>
        <w:rPr>
          <w:noProof/>
        </w:rPr>
        <w:t>L’Union européenne et la Tunisie ont signé respectivement la convention le 15 juin 2011 et le 16 janvier 2013.</w:t>
      </w:r>
    </w:p>
    <w:p>
      <w:pPr>
        <w:pStyle w:val="Point0number"/>
        <w:rPr>
          <w:noProof/>
        </w:rPr>
      </w:pPr>
      <w:r>
        <w:rPr>
          <w:noProof/>
        </w:rPr>
        <w:t>L’Union européenne et la Tunisie ont déposé leur instrument d’acceptation auprès du dépositaire de la convention respectivement le 26 mars 2012 et le 21 novembre 2014. En conséquence, conformément à l’article 10, paragraphe 3, de la convention, cette dernière est entrée en vigueur pour l’Union européenne et pour la Tunisie respectivement le 1</w:t>
      </w:r>
      <w:r>
        <w:rPr>
          <w:noProof/>
          <w:vertAlign w:val="superscript"/>
        </w:rPr>
        <w:t>er</w:t>
      </w:r>
      <w:r>
        <w:rPr>
          <w:noProof/>
        </w:rPr>
        <w:t xml:space="preserve"> mai 2012 et le 1</w:t>
      </w:r>
      <w:r>
        <w:rPr>
          <w:noProof/>
          <w:vertAlign w:val="superscript"/>
        </w:rPr>
        <w:t>er</w:t>
      </w:r>
      <w:r>
        <w:rPr>
          <w:noProof/>
        </w:rPr>
        <w:t xml:space="preserve"> janvier 2015.</w:t>
      </w:r>
    </w:p>
    <w:p>
      <w:pPr>
        <w:pStyle w:val="Point0number"/>
        <w:rPr>
          <w:noProof/>
        </w:rPr>
      </w:pPr>
      <w:r>
        <w:rPr>
          <w:noProof/>
        </w:rPr>
        <w:lastRenderedPageBreak/>
        <w:t>Il convient dès lors de remplacer le protocole n° 4 par un nouveau protocole faisant référence à la convention,</w:t>
      </w:r>
    </w:p>
    <w:p>
      <w:pPr>
        <w:keepNext/>
        <w:rPr>
          <w:noProof/>
        </w:rPr>
      </w:pPr>
      <w:r>
        <w:rPr>
          <w:caps/>
          <w:noProof/>
        </w:rPr>
        <w:t>A ADOPTÉ LA PRÉSENTE DÉCISION</w:t>
      </w:r>
      <w:r>
        <w:rPr>
          <w:noProof/>
        </w:rPr>
        <w:t>: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 premier</w:t>
      </w:r>
    </w:p>
    <w:p>
      <w:pPr>
        <w:rPr>
          <w:noProof/>
        </w:rPr>
      </w:pPr>
      <w:r>
        <w:rPr>
          <w:noProof/>
        </w:rPr>
        <w:t>Le protocole n° 4 de l’accord euro-méditerranéen établissant une association entre les Communautés européennes et leurs États membres, d’une part, et la République tunisienne, d’autre part, relatif à la définition de la notion de «produits originaires» et aux méthodes de coopération administrative, est remplacé par le texte figurant à l’annexe de la présente décision.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 2</w:t>
      </w:r>
    </w:p>
    <w:p>
      <w:pPr>
        <w:rPr>
          <w:noProof/>
        </w:rPr>
      </w:pPr>
      <w:r>
        <w:rPr>
          <w:noProof/>
        </w:rPr>
        <w:t>La présente décision entre en vigueur le jour de son adoption.</w:t>
      </w:r>
    </w:p>
    <w:p>
      <w:pPr>
        <w:rPr>
          <w:noProof/>
        </w:rPr>
      </w:pPr>
      <w:r>
        <w:rPr>
          <w:noProof/>
        </w:rPr>
        <w:t>Elle est applicable à partir du …</w:t>
      </w:r>
    </w:p>
    <w:p>
      <w:pPr>
        <w:keepNext/>
        <w:spacing w:after="0"/>
        <w:rPr>
          <w:noProof/>
        </w:rPr>
      </w:pPr>
      <w:r>
        <w:rPr>
          <w:noProof/>
        </w:rPr>
        <w:t>Fait à …, le</w:t>
      </w:r>
    </w:p>
    <w:p>
      <w:pPr>
        <w:keepNext/>
        <w:tabs>
          <w:tab w:val="left" w:pos="4252"/>
        </w:tabs>
        <w:spacing w:before="720" w:after="0"/>
        <w:rPr>
          <w:i/>
          <w:noProof/>
        </w:rPr>
      </w:pPr>
      <w:r>
        <w:rPr>
          <w:noProof/>
        </w:rPr>
        <w:tab/>
      </w:r>
      <w:r>
        <w:rPr>
          <w:i/>
          <w:noProof/>
        </w:rPr>
        <w:t>Par le Conseil d’association</w:t>
      </w:r>
    </w:p>
    <w:p>
      <w:pPr>
        <w:tabs>
          <w:tab w:val="left" w:pos="4252"/>
        </w:tabs>
        <w:spacing w:before="0" w:after="0"/>
        <w:jc w:val="left"/>
        <w:rPr>
          <w:i/>
          <w:noProof/>
        </w:rPr>
      </w:pPr>
      <w:r>
        <w:rPr>
          <w:noProof/>
        </w:rPr>
        <w:tab/>
      </w:r>
      <w:r>
        <w:rPr>
          <w:i/>
          <w:noProof/>
        </w:rPr>
        <w:t>Le président</w:t>
      </w:r>
    </w:p>
    <w:p>
      <w:pPr>
        <w:pStyle w:val="Point0number"/>
        <w:rPr>
          <w:noProof/>
        </w:rPr>
        <w:sectPr>
          <w:footerReference w:type="default" r:id="rId16"/>
          <w:footerReference w:type="first" r:id="rId17"/>
          <w:footnotePr>
            <w:numRestart w:val="eachSect"/>
          </w:footnotePr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  <w:bookmarkStart w:id="1" w:name="DQCNUMB_1"/>
      <w:bookmarkEnd w:id="1"/>
    </w:p>
    <w:p>
      <w:pPr>
        <w:spacing w:before="0" w:after="240"/>
        <w:jc w:val="center"/>
        <w:rPr>
          <w:i/>
          <w:smallCaps/>
          <w:noProof/>
          <w:szCs w:val="20"/>
        </w:rPr>
      </w:pPr>
      <w:r>
        <w:rPr>
          <w:i/>
          <w:smallCaps/>
          <w:noProof/>
        </w:rPr>
        <w:lastRenderedPageBreak/>
        <w:t>Annexe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Protocole n° 4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relatif à la définition de la notion de «produits originaires» et aux méthodes de coopération administrative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 premier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Règles d’origine applicables</w:t>
      </w:r>
    </w:p>
    <w:p>
      <w:pPr>
        <w:rPr>
          <w:noProof/>
        </w:rPr>
      </w:pPr>
      <w:r>
        <w:rPr>
          <w:noProof/>
        </w:rPr>
        <w:t>1.</w:t>
      </w:r>
      <w:r>
        <w:rPr>
          <w:noProof/>
        </w:rPr>
        <w:tab/>
        <w:t>Aux fins de la mise en œuvre du présent accord, l’appendice I et les dispositions pertinentes de l’appendice II de la convention régionale sur les règles d’origine préférentielles paneuro-méditerranéennes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 (ci-après la «convention») s’appliquent.</w:t>
      </w:r>
    </w:p>
    <w:p>
      <w:pPr>
        <w:rPr>
          <w:noProof/>
        </w:rPr>
      </w:pPr>
      <w:r>
        <w:rPr>
          <w:noProof/>
        </w:rPr>
        <w:t>2.</w:t>
      </w:r>
      <w:r>
        <w:rPr>
          <w:noProof/>
        </w:rPr>
        <w:tab/>
        <w:t>Toutes les références à «l’accord pertinent» figurant dans l’appendice I et dans les dispositions pertinentes de l’appendice II de la convention s’entendent comme des références au présent accord.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 2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Règlement des différends</w:t>
      </w:r>
    </w:p>
    <w:p>
      <w:pPr>
        <w:rPr>
          <w:noProof/>
        </w:rPr>
      </w:pPr>
      <w:r>
        <w:rPr>
          <w:noProof/>
        </w:rPr>
        <w:t>1.</w:t>
      </w:r>
      <w:r>
        <w:rPr>
          <w:noProof/>
        </w:rPr>
        <w:tab/>
        <w:t>Lorsque des différends survenus à l’occasion des contrôles visés à l’article 32 de l’appendice I de la convention ne peuvent être réglés entre les autorités douanières ayant sollicité le contrôle et celles responsables de sa réalisation, ils sont soumis au Conseil d’association.</w:t>
      </w:r>
    </w:p>
    <w:p>
      <w:pPr>
        <w:rPr>
          <w:noProof/>
        </w:rPr>
      </w:pPr>
      <w:r>
        <w:rPr>
          <w:noProof/>
        </w:rPr>
        <w:t>2.</w:t>
      </w:r>
      <w:r>
        <w:rPr>
          <w:noProof/>
        </w:rPr>
        <w:tab/>
        <w:t>Dans tous les cas, le règlement des différends entre l’importateur et les autorités douanières du pays d’importation s’effectue conformément à la législation dudit pays.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 3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Modifications du protocole</w:t>
      </w:r>
    </w:p>
    <w:p>
      <w:pPr>
        <w:rPr>
          <w:noProof/>
        </w:rPr>
      </w:pPr>
      <w:r>
        <w:rPr>
          <w:noProof/>
        </w:rPr>
        <w:t>Le Conseil d’association peut décider de modifier les dispositions du présent protocole.</w:t>
      </w:r>
    </w:p>
    <w:p>
      <w:pPr>
        <w:keepNext/>
        <w:spacing w:before="360"/>
        <w:jc w:val="center"/>
        <w:rPr>
          <w:i/>
          <w:noProof/>
        </w:rPr>
      </w:pPr>
      <w:r>
        <w:rPr>
          <w:i/>
          <w:noProof/>
        </w:rPr>
        <w:t>Article 4</w:t>
      </w:r>
    </w:p>
    <w:p>
      <w:pPr>
        <w:spacing w:before="0" w:after="240"/>
        <w:jc w:val="center"/>
        <w:rPr>
          <w:b/>
          <w:noProof/>
        </w:rPr>
      </w:pPr>
      <w:r>
        <w:rPr>
          <w:b/>
          <w:noProof/>
        </w:rPr>
        <w:t>Dénonciation de la convention</w:t>
      </w:r>
    </w:p>
    <w:p>
      <w:pPr>
        <w:rPr>
          <w:noProof/>
        </w:rPr>
      </w:pPr>
      <w:r>
        <w:rPr>
          <w:noProof/>
        </w:rPr>
        <w:t>1.</w:t>
      </w:r>
      <w:r>
        <w:rPr>
          <w:noProof/>
        </w:rPr>
        <w:tab/>
        <w:t>Si l’Union européenne ou la Tunisie notifie par écrit au dépositaire de la convention son intention de dénoncer la convention conformément à l’article 9 de cette dernière, l’Union européenne et la Tunisie engagent immédiatement des négociations sur les règles d’origine aux fins de la mise en œuvre du présent accord.</w:t>
      </w:r>
    </w:p>
    <w:p>
      <w:pPr>
        <w:rPr>
          <w:noProof/>
        </w:rPr>
      </w:pPr>
      <w:r>
        <w:rPr>
          <w:noProof/>
        </w:rPr>
        <w:t>2.</w:t>
      </w:r>
      <w:r>
        <w:rPr>
          <w:noProof/>
        </w:rPr>
        <w:tab/>
        <w:t>Jusqu’à l’entrée en vigueur de ces règles d’origine nouvellement négociées, les règles d’origine figurant à l’appendice I et, le cas échéant, les dispositions pertinentes de l’appendice II de la convention applicables au moment de la dénonciation continuent de s’appliquer au présent accord. Toutefois, à compter de la dénonciation, les règles d’origine figurant à l’appendice I et, le cas échéant, les dispositions pertinentes de l’appendice II de la convention sont interprétées de manière à permettre un cumul bilatéral entre l’Union européenne et la Tunisie uniquement.</w:t>
      </w:r>
    </w:p>
    <w:sectPr>
      <w:footnotePr>
        <w:numRestart w:val="eachSect"/>
      </w:footnote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ab/>
        <w:t>JO L 97 du 30.3.1998, p. 2.</w:t>
      </w:r>
    </w:p>
  </w:footnote>
  <w:footnote w:id="2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ab/>
        <w:t>JO L 54 du 26.2.2013, p. 4.</w:t>
      </w:r>
    </w:p>
  </w:footnote>
  <w:footnote w:id="3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ab/>
        <w:t>JO L 54 du 26.2.2013, p.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C4CD67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C60A2A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297A7C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E87676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0AC9A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F8B28F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D24651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A0CBD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hideSpellingErrors/>
  <w:hideGrammaticalErrors/>
  <w:attachedTemplate r:id="rId1"/>
  <w:revisionView w:markup="0"/>
  <w:doNotTrackMoves/>
  <w:defaultTabStop w:val="720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</w:compat>
  <w:docVars>
    <w:docVar w:name="COVERPAGE_EXISTS" w:val="True"/>
    <w:docVar w:name="DQCDateTime" w:val="2015-04-21 10:16:04"/>
    <w:docVar w:name="DQCNUMB_1" w:val="2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2"/>
    <w:docVar w:name="DQCWithWarnings" w:val="0"/>
    <w:docVar w:name="FigNum" w:val="1"/>
    <w:docVar w:name="LW_ACCOMPAGNANT.CP" w:val="à la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3B15C12F6B2E47739732C76D9D0245BA"/>
    <w:docVar w:name="LW_CROSSREFERENCE" w:val="&lt;UNUSED&gt;"/>
    <w:docVar w:name="LW_DocType" w:val="ANNEX"/>
    <w:docVar w:name="LW_EMISSION" w:val="22.4.2015"/>
    <w:docVar w:name="LW_EMISSION_ISODATE" w:val="2015-04-22"/>
    <w:docVar w:name="LW_EMISSION_LOCATION" w:val="BRX"/>
    <w:docVar w:name="LW_EMISSION_PREFIX" w:val="Bruxelles, le "/>
    <w:docVar w:name="LW_EMISSION_SUFFIX" w:val=" "/>
    <w:docVar w:name="LW_ID_DOCSTRUCTURE" w:val="COM/ANNEX"/>
    <w:docVar w:name="LW_ID_DOCTYPE" w:val="SG-017"/>
    <w:docVar w:name="LW_LANGUE" w:val="FR"/>
    <w:docVar w:name="LW_MARKING" w:val="&lt;UNUSED&gt;"/>
    <w:docVar w:name="LW_NOM.INST" w:val="COMMISSION EUROPÉENNE"/>
    <w:docVar w:name="LW_NOM.INST_JOINTDOC" w:val="&lt;EMPTY&gt;"/>
    <w:docVar w:name="LW_OBJETACTEPRINCIPAL.CP" w:val="relative à la position à adopter au nom de l\u8217?Union européenne au sein du Conseil d\u8217?association institué par l\u8217?accord euro-méditerranéen établissant une association entre les Communautés européennes et leurs États membres, d\u8217?une part, et la République tunisienne, d\u8217?autre part, en ce qui concerne le remplacement du protocole n° 4 de cet accord, relatif à la définition de la notion de «produits originaires» et aux méthodes de coopération administrative, par un nouveau protocole qui, pour ce qui est des règles d\u8217?origine, fait référence à la convention régionale sur les règles d\u8217?origine préférentielles paneuro-méditerranéennes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5) 175"/>
    <w:docVar w:name="LW_REF.INTERNE" w:val="&lt;UNUSED&gt;"/>
    <w:docVar w:name="LW_SUPERTITRE" w:val="&lt;UNUSED&gt;"/>
    <w:docVar w:name="LW_TITRE.OBJ.CP" w:val="Pièce jointe"/>
    <w:docVar w:name="LW_TYPE.DOC.CP" w:val="ANNEXE"/>
    <w:docVar w:name="LW_TYPEACTEPRINCIPAL.CP" w:val="proposition de décision du Consei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AA65F-BE3D-4404-9325-E9B7A828F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</TotalTime>
  <Pages>5</Pages>
  <Words>767</Words>
  <Characters>4432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VANGHELUWE Jan (TAXUD)</dc:creator>
  <cp:keywords/>
  <cp:lastModifiedBy>DIGIT/A3</cp:lastModifiedBy>
  <cp:revision>7</cp:revision>
  <cp:lastPrinted>2014-11-04T09:21:00Z</cp:lastPrinted>
  <dcterms:created xsi:type="dcterms:W3CDTF">2015-04-13T07:16:00Z</dcterms:created>
  <dcterms:modified xsi:type="dcterms:W3CDTF">2015-04-21T08:16:00Z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5.8.3, Build 20140113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02)</vt:lpwstr>
  </property>
</Properties>
</file>