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2A23BB62C24CFCB4F8C0BD6EB1D3EE"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b/>
          <w:noProof/>
          <w:sz w:val="24"/>
          <w:szCs w:val="24"/>
        </w:rPr>
      </w:pPr>
      <w:bookmarkStart w:id="1" w:name="_GoBack"/>
      <w:bookmarkEnd w:id="1"/>
      <w:r>
        <w:rPr>
          <w:rFonts w:ascii="Times New Roman" w:hAnsi="Times New Roman"/>
          <w:b/>
          <w:noProof/>
          <w:sz w:val="24"/>
        </w:rPr>
        <w:lastRenderedPageBreak/>
        <w:t>1. Въведение</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Приетата през ноември 2003 г. Директива за проспектите</w:t>
      </w:r>
      <w:r>
        <w:rPr>
          <w:rStyle w:val="FootnoteReference"/>
          <w:rFonts w:ascii="Times New Roman" w:hAnsi="Times New Roman"/>
          <w:noProof/>
          <w:sz w:val="24"/>
        </w:rPr>
        <w:footnoteReference w:id="2"/>
      </w:r>
      <w:r>
        <w:rPr>
          <w:rFonts w:ascii="Times New Roman" w:hAnsi="Times New Roman"/>
          <w:noProof/>
          <w:sz w:val="24"/>
        </w:rPr>
        <w:t xml:space="preserve"> определя общи правила относно проспектите, които трябва да се публикуват при публично предлагане или допускане до търговия на прехвърляеми ценни книжа на регулиран пазар в ЕС. След процедура на преглед Директивата за проспектите беше изменена през ноември 2010 г. с Директива 2010/73/ЕС (Директива за проспектите II, която се прилага от юли 2012 г.). Последното ѝ изменение беше направено чрез Директива 2014/51/ЕС (Директива „Омнибус II“).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В член 4 от Директивата за проспектите II е включена клауза за преразглеждане, с която се изисква до 1 януари 2016 г. Комисията да оцени прилагането на Директивата за проспектите, изменена с Директивата за проспектите II. Настоящият доклад следва да бъде представен на Европейския парламент и на Съвета, като при необходимост бъде придружен от предложения за изменение на Директивата за проспектите.</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2. Правно основание</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Настоящият доклад се изисква съгласно член 24а от Директивата за проспектите. Съгласно тази разпоредба, правомощията да приема делегираните актове, посочени в член 1, параграф 4, член 2, параграф 4, член 3, параграф 4, член 4, параграф 1, пета алинея, член 5, параграф 5, член 7, параграф 1, член 8, параграф 4, член 11, параграф 3, член 13, параграф 7, член 14, параграф 8, член 15, параграф 7 и член 20, параграф 3, първа алинея от Директивата за проспектите се предоставят на Комисията за срок от четири години, считано от 31 декември 2010 г. Комисията изготвя доклад относно делегираните правомощия най-късно шест месеца преди изтичането на четиригодишния срок. Делегирането на правомощия се подновява автоматично за срокове с еднаква продължителност, освен ако Европейският парламент или Съветът не го оттеглят в съответствие с член 24б от Директивата за проспектите.</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3. Упражняване на делегираните правомощия</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bCs/>
          <w:i/>
          <w:iCs/>
          <w:noProof/>
          <w:sz w:val="24"/>
          <w:szCs w:val="24"/>
        </w:rPr>
      </w:pPr>
      <w:r>
        <w:rPr>
          <w:rFonts w:ascii="Times New Roman" w:hAnsi="Times New Roman"/>
          <w:b/>
          <w:noProof/>
          <w:sz w:val="24"/>
          <w:u w:val="single"/>
        </w:rPr>
        <w:t>Член 1, параграф 4 от Директивата за проспектите</w:t>
      </w:r>
    </w:p>
    <w:p>
      <w:pPr>
        <w:spacing w:after="0" w:line="240" w:lineRule="auto"/>
        <w:jc w:val="both"/>
        <w:rPr>
          <w:rFonts w:ascii="Times New Roman" w:hAnsi="Times New Roman"/>
          <w:bCs/>
          <w:noProof/>
          <w:sz w:val="24"/>
          <w:szCs w:val="24"/>
        </w:rPr>
      </w:pPr>
      <w:r>
        <w:rPr>
          <w:rFonts w:ascii="Times New Roman" w:hAnsi="Times New Roman"/>
          <w:noProof/>
          <w:sz w:val="24"/>
        </w:rPr>
        <w:t>До момента Комисията не е предприемала корекция на праговете, посочени в член 1, параграф 4 от Директивата за проспектите. В срок до 1 януари 2016 г. тези прагове ще бъдат оценени в хода на прегледа, изискван съгласно член 4 от Директивата за проспектите II.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i/>
          <w:iCs/>
          <w:noProof/>
          <w:sz w:val="24"/>
          <w:szCs w:val="24"/>
        </w:rPr>
      </w:pPr>
      <w:r>
        <w:rPr>
          <w:rFonts w:ascii="Times New Roman" w:hAnsi="Times New Roman"/>
          <w:b/>
          <w:noProof/>
          <w:sz w:val="24"/>
          <w:u w:val="single"/>
        </w:rPr>
        <w:t>Член 2, параграф 4 от Директивата за проспектите</w:t>
      </w:r>
    </w:p>
    <w:p>
      <w:pPr>
        <w:spacing w:after="0" w:line="240" w:lineRule="auto"/>
        <w:jc w:val="both"/>
        <w:rPr>
          <w:rFonts w:ascii="Times New Roman" w:hAnsi="Times New Roman"/>
          <w:bCs/>
          <w:noProof/>
          <w:sz w:val="24"/>
          <w:szCs w:val="24"/>
        </w:rPr>
      </w:pPr>
      <w:r>
        <w:rPr>
          <w:rFonts w:ascii="Times New Roman" w:hAnsi="Times New Roman"/>
          <w:noProof/>
          <w:sz w:val="24"/>
        </w:rPr>
        <w:t xml:space="preserve">До момента Комисията не е предприемала корекция на определенията и праговете, посочени в член 2, параграф 4 от Директивата за проспектите. В срок до 1 януари </w:t>
      </w:r>
      <w:r>
        <w:rPr>
          <w:rFonts w:ascii="Times New Roman" w:hAnsi="Times New Roman"/>
          <w:noProof/>
          <w:sz w:val="24"/>
        </w:rPr>
        <w:lastRenderedPageBreak/>
        <w:t>2016 г. тези определения и прагове ще бъдат оценени в хода на прегледа, изискван съгласно член 4 от Директивата за проспектите II.</w:t>
      </w:r>
    </w:p>
    <w:p>
      <w:pPr>
        <w:spacing w:after="0" w:line="240" w:lineRule="auto"/>
        <w:jc w:val="both"/>
        <w:rPr>
          <w:noProof/>
          <w:lang w:val="en-GB"/>
        </w:rPr>
      </w:pPr>
    </w:p>
    <w:p>
      <w:pPr>
        <w:spacing w:after="0" w:line="240" w:lineRule="auto"/>
        <w:jc w:val="both"/>
        <w:rPr>
          <w:rFonts w:ascii="Times New Roman" w:hAnsi="Times New Roman"/>
          <w:noProof/>
          <w:sz w:val="24"/>
          <w:szCs w:val="24"/>
        </w:rPr>
      </w:pPr>
      <w:r>
        <w:rPr>
          <w:rFonts w:ascii="Times New Roman" w:hAnsi="Times New Roman"/>
          <w:b/>
          <w:noProof/>
          <w:sz w:val="24"/>
          <w:u w:val="single"/>
        </w:rPr>
        <w:t xml:space="preserve">Член 3, параграф 4 от Директивата за проспектите </w:t>
      </w:r>
    </w:p>
    <w:p>
      <w:pPr>
        <w:spacing w:after="0" w:line="240" w:lineRule="auto"/>
        <w:jc w:val="both"/>
        <w:rPr>
          <w:rFonts w:ascii="Times New Roman" w:hAnsi="Times New Roman"/>
          <w:bCs/>
          <w:noProof/>
          <w:sz w:val="24"/>
          <w:szCs w:val="24"/>
        </w:rPr>
      </w:pPr>
      <w:r>
        <w:rPr>
          <w:rFonts w:ascii="Times New Roman" w:hAnsi="Times New Roman"/>
          <w:noProof/>
          <w:sz w:val="24"/>
        </w:rPr>
        <w:t>До момента Комисията не е предприемала корекция на праговете, посочени в член 3, параграф 4 от Директивата за проспектите. В срок до 1 януари 2016 г. тези прагове ще бъдат оценени в хода на прегледа, изискван съгласно член 4 от Директивата за проспектите II.</w:t>
      </w:r>
    </w:p>
    <w:p>
      <w:pPr>
        <w:spacing w:after="0" w:line="240" w:lineRule="auto"/>
        <w:jc w:val="both"/>
        <w:rPr>
          <w:rFonts w:ascii="Times New Roman" w:hAnsi="Times New Roman"/>
          <w:b/>
          <w:bCs/>
          <w:i/>
          <w:iCs/>
          <w:noProof/>
          <w:sz w:val="24"/>
          <w:szCs w:val="24"/>
        </w:rPr>
      </w:pPr>
    </w:p>
    <w:p>
      <w:pPr>
        <w:spacing w:after="0" w:line="240" w:lineRule="auto"/>
        <w:jc w:val="both"/>
        <w:rPr>
          <w:rFonts w:ascii="Times New Roman" w:hAnsi="Times New Roman"/>
          <w:noProof/>
          <w:sz w:val="24"/>
          <w:szCs w:val="24"/>
        </w:rPr>
      </w:pPr>
      <w:r>
        <w:rPr>
          <w:rFonts w:ascii="Times New Roman" w:hAnsi="Times New Roman"/>
          <w:b/>
          <w:noProof/>
          <w:sz w:val="24"/>
          <w:u w:val="single"/>
        </w:rPr>
        <w:t xml:space="preserve">Член 4, параграф 1, пета алинея от Директивата за проспектите </w:t>
      </w:r>
    </w:p>
    <w:p>
      <w:pPr>
        <w:spacing w:after="0" w:line="240" w:lineRule="auto"/>
        <w:jc w:val="both"/>
        <w:rPr>
          <w:rFonts w:ascii="Times New Roman" w:hAnsi="Times New Roman"/>
          <w:noProof/>
          <w:sz w:val="24"/>
          <w:szCs w:val="24"/>
        </w:rPr>
      </w:pPr>
      <w:r>
        <w:rPr>
          <w:rFonts w:ascii="Times New Roman" w:hAnsi="Times New Roman"/>
          <w:noProof/>
          <w:sz w:val="24"/>
        </w:rPr>
        <w:t>До момента не са отправяни искания за такива оценки с цел определяне на критериите за еквивалентност на правните рамки на трети държави. Освен това оценката на еквивалентността може да се направи пряко, т.е. без да се уточняват или добавят допълнителни критерии, като се вземат под внимание съответните разпоредби на Директивата за пазарите на финансови инструменти (2004/39/ЕО), Директивата за прозрачността (2004/109/ЕО) и Директивата относно пазарната злоупотреба (2003/6/ЕО), както и общите критерии, посочени в член 4, параграф 1, буква д) от Директивата за проспектите. В срок до 1 януари 2016 г. всички разпоредби за еквивалентност за трети държави ще бъдат оценени в хода на прегледа, изискван съгласно член 4 от Директивата за проспектите II.</w:t>
      </w:r>
    </w:p>
    <w:p>
      <w:pPr>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noProof/>
          <w:sz w:val="24"/>
          <w:u w:val="single"/>
        </w:rPr>
        <w:t>Член 5, параграф 5 и член 7, параграф 1 от Директивата за проспектите</w:t>
      </w:r>
    </w:p>
    <w:p>
      <w:pPr>
        <w:spacing w:after="0" w:line="240" w:lineRule="auto"/>
        <w:jc w:val="both"/>
        <w:rPr>
          <w:rFonts w:ascii="Times New Roman" w:hAnsi="Times New Roman"/>
          <w:bCs/>
          <w:iCs/>
          <w:noProof/>
          <w:sz w:val="24"/>
          <w:szCs w:val="24"/>
        </w:rPr>
      </w:pPr>
      <w:r>
        <w:rPr>
          <w:rFonts w:ascii="Times New Roman" w:hAnsi="Times New Roman"/>
          <w:noProof/>
          <w:sz w:val="24"/>
        </w:rPr>
        <w:t xml:space="preserve">Посочените в тези разпоредби правомощия са упражнени за приемане на следните делегирани регламенти на Комисията: </w:t>
      </w:r>
    </w:p>
    <w:p>
      <w:pPr>
        <w:spacing w:after="0" w:line="240" w:lineRule="auto"/>
        <w:jc w:val="both"/>
        <w:rPr>
          <w:rFonts w:ascii="Times New Roman" w:hAnsi="Times New Roman"/>
          <w:bCs/>
          <w:iCs/>
          <w:noProof/>
          <w:sz w:val="24"/>
          <w:szCs w:val="24"/>
        </w:rPr>
      </w:pPr>
    </w:p>
    <w:p>
      <w:pPr>
        <w:numPr>
          <w:ilvl w:val="0"/>
          <w:numId w:val="5"/>
        </w:numPr>
        <w:spacing w:after="0" w:line="240" w:lineRule="auto"/>
        <w:ind w:left="360"/>
        <w:jc w:val="both"/>
        <w:rPr>
          <w:rFonts w:ascii="Times New Roman" w:hAnsi="Times New Roman"/>
          <w:iCs/>
          <w:noProof/>
          <w:sz w:val="24"/>
          <w:szCs w:val="24"/>
        </w:rPr>
      </w:pPr>
      <w:r>
        <w:rPr>
          <w:rFonts w:ascii="Times New Roman" w:hAnsi="Times New Roman"/>
          <w:noProof/>
          <w:sz w:val="24"/>
        </w:rPr>
        <w:t>Делегиран регламент (ЕС) № 486/2012 на Комисията от 30 март 2012 г. за изменение на Регламент (ЕО) № 809/2004 по отношение на формата и съдържанието на проспекта, основния проспект, резюмето и окончателните условия, както и по отношение на изискванията за оповестяване.</w:t>
      </w:r>
    </w:p>
    <w:p>
      <w:pPr>
        <w:numPr>
          <w:ilvl w:val="0"/>
          <w:numId w:val="5"/>
        </w:numPr>
        <w:spacing w:after="0" w:line="240" w:lineRule="auto"/>
        <w:ind w:left="360"/>
        <w:jc w:val="both"/>
        <w:rPr>
          <w:rFonts w:ascii="Times New Roman" w:hAnsi="Times New Roman"/>
          <w:bCs/>
          <w:iCs/>
          <w:noProof/>
          <w:sz w:val="24"/>
          <w:szCs w:val="24"/>
        </w:rPr>
      </w:pPr>
      <w:r>
        <w:rPr>
          <w:rFonts w:ascii="Times New Roman" w:hAnsi="Times New Roman"/>
          <w:noProof/>
          <w:sz w:val="24"/>
        </w:rPr>
        <w:t>Делегиран регламент (ЕС) № 862/2012 на Комисията от 4 юни 2012 г. за изменение на Регламент (ЕО) № 809/2004 по отношение на информацията за съгласието за използване на проспект, информацията за базисните индекси и изискването за доклад, подготвен от независими счетоводители или одитори.</w:t>
      </w:r>
    </w:p>
    <w:p>
      <w:pPr>
        <w:numPr>
          <w:ilvl w:val="0"/>
          <w:numId w:val="5"/>
        </w:numPr>
        <w:spacing w:after="0" w:line="240" w:lineRule="auto"/>
        <w:ind w:left="360"/>
        <w:jc w:val="both"/>
        <w:rPr>
          <w:rFonts w:ascii="Times New Roman" w:hAnsi="Times New Roman"/>
          <w:bCs/>
          <w:iCs/>
          <w:noProof/>
          <w:sz w:val="24"/>
          <w:szCs w:val="24"/>
        </w:rPr>
      </w:pPr>
      <w:r>
        <w:rPr>
          <w:rFonts w:ascii="Times New Roman" w:hAnsi="Times New Roman"/>
          <w:noProof/>
          <w:sz w:val="24"/>
        </w:rPr>
        <w:t>Делегиран регламент (ЕС) № 759/2013 на Комисията от 30 април 2013 г. за изменение на Регламент (ЕО) № 809/2004 по отношение на изискванията за оповестяване за конвертируеми и заменяеми дългови ценни книжа.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noProof/>
          <w:sz w:val="24"/>
          <w:u w:val="single"/>
        </w:rPr>
        <w:t>Член 8, параграф 4 от Директивата за проспектите</w:t>
      </w:r>
    </w:p>
    <w:p>
      <w:pPr>
        <w:spacing w:after="0" w:line="240" w:lineRule="auto"/>
        <w:jc w:val="both"/>
        <w:rPr>
          <w:rFonts w:ascii="Times New Roman" w:hAnsi="Times New Roman"/>
          <w:bCs/>
          <w:iCs/>
          <w:noProof/>
          <w:sz w:val="24"/>
          <w:szCs w:val="24"/>
        </w:rPr>
      </w:pPr>
      <w:r>
        <w:rPr>
          <w:rFonts w:ascii="Times New Roman" w:hAnsi="Times New Roman"/>
          <w:noProof/>
          <w:sz w:val="24"/>
        </w:rPr>
        <w:t>Посоченото в тази разпоредба правомощие не е било упражнено, тъй като обсъжданията с Европейския орган за ценни книжа и пазари (ЕОЦКП) и националните компетентни органи не са показали необходимостта допълнително да се уточняват подробностите относно непосочването на информация в проспекта.</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rPr>
      </w:pPr>
      <w:r>
        <w:rPr>
          <w:rFonts w:ascii="Times New Roman" w:hAnsi="Times New Roman"/>
          <w:b/>
          <w:noProof/>
          <w:sz w:val="24"/>
          <w:u w:val="single"/>
        </w:rPr>
        <w:t>Член 11, параграф 3 от Директивата за проспектите</w:t>
      </w:r>
      <w:r>
        <w:rPr>
          <w:rFonts w:ascii="Times New Roman" w:hAnsi="Times New Roman"/>
          <w:b/>
          <w:noProof/>
          <w:sz w:val="24"/>
        </w:rPr>
        <w:t xml:space="preserve"> </w:t>
      </w:r>
    </w:p>
    <w:p>
      <w:pPr>
        <w:spacing w:after="0" w:line="240" w:lineRule="auto"/>
        <w:jc w:val="both"/>
        <w:rPr>
          <w:rFonts w:ascii="Times New Roman" w:hAnsi="Times New Roman"/>
          <w:noProof/>
          <w:sz w:val="24"/>
          <w:szCs w:val="24"/>
        </w:rPr>
      </w:pPr>
      <w:r>
        <w:rPr>
          <w:rFonts w:ascii="Times New Roman" w:hAnsi="Times New Roman"/>
          <w:noProof/>
          <w:sz w:val="24"/>
        </w:rPr>
        <w:t xml:space="preserve">Директивата „Омнибус II“ изменя правомощията, съдържащи се в Директивата за проспектите, за да се вземе предвид създаването на ЕОЦКП в рамките на Европейската </w:t>
      </w:r>
      <w:r>
        <w:rPr>
          <w:rFonts w:ascii="Times New Roman" w:hAnsi="Times New Roman"/>
          <w:noProof/>
          <w:sz w:val="24"/>
        </w:rPr>
        <w:lastRenderedPageBreak/>
        <w:t xml:space="preserve">система за финансов надзор. Преди приемането на Директивата „Омнибус II“, на Комисията бяха предоставени правомощия да приема делегирани актове. Приемането на Директивата „Омнибус II“ изменя делегирането, като предоставя правомощия на ЕОЦКП да разработва проекти на регулаторни технически стандарти за определяне на информацията, която следва да бъде включена чрез препратка. В срок до 1 юли 2015 г. ЕОЦКП трябва да представи тези проекти на Комисията, която се оправомощава да приеме регулаторните технически стандарти в съответствие с членове 10—14 от Регламент (ЕС) № 1095/2010. ЕОЦКП предприе обществена консултация относно проектите на регулаторни технически стандарти, която приключи на 19 декември 2014 г.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noProof/>
          <w:sz w:val="24"/>
          <w:u w:val="single"/>
        </w:rPr>
        <w:t>Член 13, параграф 7 от Директивата за проспектите</w:t>
      </w:r>
    </w:p>
    <w:p>
      <w:pPr>
        <w:spacing w:after="0" w:line="240" w:lineRule="auto"/>
        <w:jc w:val="both"/>
        <w:rPr>
          <w:rFonts w:ascii="Times New Roman" w:hAnsi="Times New Roman"/>
          <w:noProof/>
          <w:sz w:val="24"/>
          <w:szCs w:val="24"/>
        </w:rPr>
      </w:pPr>
      <w:r>
        <w:rPr>
          <w:rFonts w:ascii="Times New Roman" w:hAnsi="Times New Roman"/>
          <w:noProof/>
          <w:sz w:val="24"/>
        </w:rPr>
        <w:t>С Директивата „Омнибус II“ се изменят правомощията, съдържащи се в Директивата за проспектите. С изменението се делегират правомощия на ЕОЦКП да разработва проекти на регулаторни технически стандарти, определящи процедурите за одобряване на проспекта и условията, съобразно които могат да бъдат променени сроковете. В срок до 1 юли 2015 г. ЕОЦКП трябва да представи тези проекти на Комисията за одобрение. ЕОЦКП проведе обществена консултация относно проектите на регулаторни технически стандарти, която приключи на 19 декември 2014 г.</w:t>
      </w:r>
    </w:p>
    <w:p>
      <w:pPr>
        <w:spacing w:after="0" w:line="240" w:lineRule="auto"/>
        <w:jc w:val="both"/>
        <w:rPr>
          <w:rFonts w:ascii="Times New Roman" w:hAnsi="Times New Roman"/>
          <w:b/>
          <w:bCs/>
          <w:i/>
          <w:iCs/>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noProof/>
          <w:sz w:val="24"/>
          <w:u w:val="single"/>
        </w:rPr>
        <w:t>Член 14, параграф 8 от Директивата за проспектите</w:t>
      </w:r>
    </w:p>
    <w:p>
      <w:pPr>
        <w:spacing w:after="0" w:line="240" w:lineRule="auto"/>
        <w:jc w:val="both"/>
        <w:rPr>
          <w:rFonts w:ascii="Times New Roman" w:hAnsi="Times New Roman"/>
          <w:noProof/>
          <w:sz w:val="24"/>
          <w:szCs w:val="24"/>
        </w:rPr>
      </w:pPr>
      <w:r>
        <w:rPr>
          <w:rFonts w:ascii="Times New Roman" w:hAnsi="Times New Roman"/>
          <w:noProof/>
          <w:sz w:val="24"/>
        </w:rPr>
        <w:t>С Директивата „Омнибус II“ се изменят правомощията, съдържащи се в Директивата за проспектите. С изменението се делегират правомощия на ЕОЦКП да разработва проекти на регулаторни технически стандарти, определящи разпоредбите във връзка с публикуването на проспекта в член 14, параграфи 1—4. В срок до 1 юли 2015 г. ЕОЦКП трябва да представи тези проекти на Комисията за одобрение. ЕОЦКП проведе обществена консултация относно проектите на регулаторни технически стандарти, която приключи на 19 декември 2014 г.</w:t>
      </w:r>
    </w:p>
    <w:p>
      <w:pPr>
        <w:spacing w:after="0" w:line="240" w:lineRule="auto"/>
        <w:jc w:val="both"/>
        <w:rPr>
          <w:rFonts w:ascii="Times New Roman" w:hAnsi="Times New Roman"/>
          <w:b/>
          <w:bCs/>
          <w:noProof/>
          <w:sz w:val="24"/>
          <w:szCs w:val="24"/>
          <w:u w:val="single"/>
        </w:rPr>
      </w:pPr>
    </w:p>
    <w:p>
      <w:pPr>
        <w:spacing w:after="0" w:line="240" w:lineRule="auto"/>
        <w:jc w:val="both"/>
        <w:rPr>
          <w:rFonts w:ascii="Times New Roman" w:hAnsi="Times New Roman"/>
          <w:b/>
          <w:bCs/>
          <w:noProof/>
          <w:sz w:val="24"/>
          <w:szCs w:val="24"/>
        </w:rPr>
      </w:pPr>
      <w:r>
        <w:rPr>
          <w:rFonts w:ascii="Times New Roman" w:hAnsi="Times New Roman"/>
          <w:b/>
          <w:noProof/>
          <w:sz w:val="24"/>
          <w:u w:val="single"/>
        </w:rPr>
        <w:t>Член 15, параграф 7 от Директивата за проспектите</w:t>
      </w:r>
      <w:r>
        <w:rPr>
          <w:rFonts w:ascii="Times New Roman" w:hAnsi="Times New Roman"/>
          <w:b/>
          <w:noProof/>
          <w:sz w:val="24"/>
        </w:rPr>
        <w:t xml:space="preserve"> </w:t>
      </w:r>
    </w:p>
    <w:p>
      <w:pPr>
        <w:spacing w:after="0" w:line="240" w:lineRule="auto"/>
        <w:jc w:val="both"/>
        <w:rPr>
          <w:rFonts w:ascii="Times New Roman" w:hAnsi="Times New Roman"/>
          <w:noProof/>
          <w:sz w:val="24"/>
          <w:szCs w:val="24"/>
        </w:rPr>
      </w:pPr>
      <w:r>
        <w:rPr>
          <w:rFonts w:ascii="Times New Roman" w:hAnsi="Times New Roman"/>
          <w:noProof/>
          <w:sz w:val="24"/>
        </w:rPr>
        <w:t>С Директивата „Омнибус II“ се изменят правомощията, съдържащи се в Директивата за проспектите. С изменението се делегират правомощия на ЕОЦКП да разработва проекти на регулаторни технически стандарти, определящи разпоредбите относно разпространяването на реклами, с които се съобщава намерението публично да се предлагат ценни книжа или допускането до търгуване на регулиран пазар, по-специално преди проспектът да е публично представен или преди откриването на записването, както и да определя посочените в член 15, параграф 4 разпоредби. В срок до 1 юли 2015 г. ЕОЦКП трябва да представи тези проекти на Комисията за одобрение. ЕОЦКП проведе обществена консултация относно проектите на регулаторни технически стандарти, която приключи на 19 декември 2014 г.</w:t>
      </w:r>
    </w:p>
    <w:p>
      <w:pPr>
        <w:spacing w:after="0" w:line="240" w:lineRule="auto"/>
        <w:jc w:val="both"/>
        <w:rPr>
          <w:rFonts w:ascii="Times New Roman" w:hAnsi="Times New Roman"/>
          <w:b/>
          <w:bCs/>
          <w:noProof/>
          <w:sz w:val="24"/>
          <w:szCs w:val="24"/>
          <w:u w:val="single"/>
        </w:rPr>
      </w:pPr>
    </w:p>
    <w:p>
      <w:pPr>
        <w:spacing w:after="0" w:line="240" w:lineRule="auto"/>
        <w:jc w:val="both"/>
        <w:rPr>
          <w:rFonts w:ascii="Times New Roman" w:hAnsi="Times New Roman"/>
          <w:b/>
          <w:bCs/>
          <w:noProof/>
          <w:sz w:val="24"/>
          <w:szCs w:val="24"/>
        </w:rPr>
      </w:pPr>
      <w:r>
        <w:rPr>
          <w:rFonts w:ascii="Times New Roman" w:hAnsi="Times New Roman"/>
          <w:b/>
          <w:noProof/>
          <w:sz w:val="24"/>
          <w:u w:val="single"/>
        </w:rPr>
        <w:t xml:space="preserve">Член 20, параграф 3, първа алинея от Директивата за проспектите </w:t>
      </w:r>
    </w:p>
    <w:p>
      <w:pPr>
        <w:spacing w:after="0" w:line="240" w:lineRule="auto"/>
        <w:jc w:val="both"/>
        <w:rPr>
          <w:rFonts w:ascii="Times New Roman" w:hAnsi="Times New Roman"/>
          <w:noProof/>
          <w:sz w:val="24"/>
          <w:szCs w:val="24"/>
        </w:rPr>
      </w:pPr>
      <w:r>
        <w:rPr>
          <w:rFonts w:ascii="Times New Roman" w:hAnsi="Times New Roman"/>
          <w:noProof/>
          <w:sz w:val="24"/>
        </w:rPr>
        <w:t>До момента Комисията не е упражнявала правомощието за приемане на делегирани актове, с които се определят общите критерии за еквивалентност за проспекти от трети държави. Междувременно ЕОЦКП разработи необвързваща „рамка за проспектите на трети държави съгласно член 20 от Директивата за проспектите“ (вж. публично изявление 2011/36 на ЕОЦКП). В срок до 1 януари 2016 г. публикуването на общи критерии за еквивалентността на проспекти от трети държави ще бъде оценено в хода на прегледа, изискван съгласно член 4 от Директивата за проспектите II.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4. Заключение</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Cs/>
          <w:iCs/>
          <w:noProof/>
          <w:sz w:val="24"/>
          <w:szCs w:val="24"/>
        </w:rPr>
      </w:pPr>
      <w:r>
        <w:rPr>
          <w:rFonts w:ascii="Times New Roman" w:hAnsi="Times New Roman"/>
          <w:noProof/>
          <w:sz w:val="24"/>
        </w:rPr>
        <w:t>Комисията е упражнила някои от делегираните ѝ правомощия. Правомощията, съдържащи се в член 11, параграф 3, член 13, параграф 7, член 14, параграф 8 и член 15, параграф 7 от Директивата за проспектите, бяха изменени с Директивата „Омнибус II“, като ЕОЦКП понастоящем разработва проекти на съответните регулаторни технически стандарти, които ще бъдат приети от Комисията съгласно членове 10—14 от Регламент (ЕС) № 1095/2010. Макар Комисията да счита, че делегираните ѝ правомощия са били от решаващо значение за по-нататъшното разработване на единна нормативна уредба, с която да се установяват по-хармонизирани и по-качествени правила, тя все още не е упражнила някои от тези правомощия. Съответните разпоредби ще бъдат част от преразглеждането на Директивата за проспектите, изисквано съгласно член 4 от Директивата за проспектите II, до 1 януари 2016 г. Комисията смята, че Европейският парламент и Съветът следва да не оттеглят делегирането на тези правомощия съгласно член 24б от Директивата за проспектите, тъй като е възможно да ѝ се наложи да ги упражни за приемането на определени делегирани актове в бъдеще, в зависимост от развитието на събитията на финансовите пазари. Комисията приканва Европейския парламент и Съвета да вземат под внимание настоящия доклад.</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5</w:t>
    </w:r>
    <w:r>
      <w:rPr>
        <w:rFonts w:ascii="Times New Roman" w:hAnsi="Times New Roman"/>
        <w:noProof/>
      </w:rPr>
      <w:fldChar w:fldCharType="end"/>
    </w:r>
  </w:p>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Директива 2003/71/ЕО на Европейския парламент и на Съвета от 4 ноември 2003 г. относно проспекта, който следва да се публикува, когато публично се предлагат ценни книжа или когато се допускат ценни книжа до търгуване, и за изменение на Директива 2001/34/ЕО.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807"/>
    <w:multiLevelType w:val="hybridMultilevel"/>
    <w:tmpl w:val="2EC23E38"/>
    <w:lvl w:ilvl="0" w:tplc="0474442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BF7A2B"/>
    <w:multiLevelType w:val="hybridMultilevel"/>
    <w:tmpl w:val="177063EA"/>
    <w:lvl w:ilvl="0" w:tplc="0182394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639A5D7D"/>
    <w:multiLevelType w:val="hybridMultilevel"/>
    <w:tmpl w:val="8DCA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903FA4"/>
    <w:multiLevelType w:val="hybridMultilevel"/>
    <w:tmpl w:val="4F40D33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A42A23BB62C24CFCB4F8C0BD6EB1D3EE"/>
    <w:docVar w:name="LW_CROSSREFERENCE" w:val="&lt;UNUSED&gt;"/>
    <w:docVar w:name="LW_DocType" w:val="NORMAL"/>
    <w:docVar w:name="LW_EMISSION" w:val="13.4.2015"/>
    <w:docVar w:name="LW_EMISSION_ISODATE" w:val="2015-04-13"/>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49"/>
    <w:docVar w:name="LW_REF.INTERNE" w:val="&lt;UNUSED&gt;"/>
    <w:docVar w:name="LW_SOUS.TITRE.OBJ.CP" w:val="&lt;UNUSED&gt;"/>
    <w:docVar w:name="LW_SUPERTITRE" w:val="&lt;UNUSED&gt;"/>
    <w:docVar w:name="LW_TITRE.OBJ.CP" w:val="\u1086?\u1090?\u1085?\u1086?\u1089?\u1085?\u1086? \u1091?\u1087?\u1088?\u1072?\u1078?\u1085?\u1103?\u1074?\u1072?\u1085?\u1077?\u1090?\u1086? \u1085?\u1072? \u1087?\u1088?\u1072?\u1074?\u1086?\u1084?\u1086?\u1097?\u1080?\u1103?\u1090?\u1072? \u1079?\u1072? \u1087?\u1088?\u1080?\u1077?\u1084?\u1072?\u1085?\u1077? \u1085?\u1072? \u1076?\u1077?\u1083?\u1077?\u1075?\u1080?\u1088?\u1072?\u1085?\u1080? \u1072?\u1082?\u1090?\u1086?\u1074?\u1077?, \u1087?\u1088?\u1077?\u1076?\u1086?\u1089?\u1090?\u1072?\u1074?\u1077?\u1085?\u1080? \u1085?\u1072?  \u1050?\u1086?\u1084?\u1080?\u1089?\u1080?\u1103?\u1090?\u1072? \u1089?\u1098?\u1075?\u1083?\u1072?\u1089?\u1085?\u1086?  \u1044?\u1080?\u1088?\u1077?\u1082?\u1090?\u1080?\u1074?\u1072? 2003/71/\u1045?\u1054? \u1085?\u1072? \u1045?\u1074?\u1088?\u1086?\u1087?\u1077?\u1081?\u1089?\u1082?\u1080?\u1103? \u1087?\u1072?\u1088?\u1083?\u1072?\u1084?\u1077?\u1085?\u1090? \u1080? \u1085?\u1072? \u1057?\u1098?\u1074?\u1077?\u1090?\u1072? \u1086?\u1090? 4 \u1085?\u1086?\u1077?\u1084?\u1074?\u1088?\u1080? 2003 \u1075?. \u1086?\u1090?\u1085?\u1086?\u1089?\u1085?\u1086? \u1087?\u1088?\u1086?\u1089?\u1087?\u1077?\u1082?\u1090?\u1072?, \u1082?\u1086?\u1081?\u1090?\u1086? \u1089?\u1083?\u1077?\u1076?\u1074?\u1072? \u1076?\u1072? \u1089?\u1077? \u1087?\u1091?\u1073?\u1083?\u1080?\u1082?\u1091?\u1074?\u1072?, \u1082?\u1086?\u1075?\u1072?\u1090?\u1086? \u1087?\u1091?\u1073?\u1083?\u1080?\u1095?\u1085?\u1086? \u1089?\u1077? \u1087?\u1088?\u1077?\u1076?\u1083?\u1072?\u1075?\u1072?\u1090? \u1094?\u1077?\u1085?\u1085?\u1080? \u1082?\u1085?\u1080?\u1078?\u1072? \u1080?\u1083?\u1080? \u1082?\u1086?\u1075?\u1072?\u1090?\u1086? \u1089?\u1077? \u1076?\u1086?\u1087?\u1091?\u1089?\u1082?\u1072?\u1090? \u1094?\u1077?\u1085?\u1085?\u1080? \u1082?\u1085?\u1080?\u1078?\u1072? \u1076?\u1086? \u1090?\u1098?\u1088?\u1075?\u1091?\u1074?\u1072?\u1085?\u1077?, \u1080? \u1079?\u1072? \u1080?\u1079?\u1084?\u1077?\u1085?\u1077?\u1085?\u1080?\u1077? \u1085?\u1072? \u1044?\u1080?\u1088?\u1077?\u1082?\u1090?\u1080?\u1074?\u1072? 2001/34/\u1045?\u1054?"/>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bg-BG"/>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bg-BG"/>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bg-BG"/>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bg-BG"/>
    </w:rPr>
  </w:style>
  <w:style w:type="paragraph" w:styleId="Revision">
    <w:name w:val="Revision"/>
    <w:hidden/>
    <w:uiPriority w:val="99"/>
    <w:semiHidden/>
    <w:rPr>
      <w:sz w:val="22"/>
      <w:szCs w:val="22"/>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900">
      <w:bodyDiv w:val="1"/>
      <w:marLeft w:val="0"/>
      <w:marRight w:val="0"/>
      <w:marTop w:val="0"/>
      <w:marBottom w:val="0"/>
      <w:divBdr>
        <w:top w:val="none" w:sz="0" w:space="0" w:color="auto"/>
        <w:left w:val="none" w:sz="0" w:space="0" w:color="auto"/>
        <w:bottom w:val="none" w:sz="0" w:space="0" w:color="auto"/>
        <w:right w:val="none" w:sz="0" w:space="0" w:color="auto"/>
      </w:divBdr>
    </w:div>
    <w:div w:id="1044910456">
      <w:bodyDiv w:val="1"/>
      <w:marLeft w:val="0"/>
      <w:marRight w:val="0"/>
      <w:marTop w:val="0"/>
      <w:marBottom w:val="0"/>
      <w:divBdr>
        <w:top w:val="none" w:sz="0" w:space="0" w:color="auto"/>
        <w:left w:val="none" w:sz="0" w:space="0" w:color="auto"/>
        <w:bottom w:val="none" w:sz="0" w:space="0" w:color="auto"/>
        <w:right w:val="none" w:sz="0" w:space="0" w:color="auto"/>
      </w:divBdr>
      <w:divsChild>
        <w:div w:id="379596401">
          <w:marLeft w:val="0"/>
          <w:marRight w:val="0"/>
          <w:marTop w:val="0"/>
          <w:marBottom w:val="0"/>
          <w:divBdr>
            <w:top w:val="none" w:sz="0" w:space="0" w:color="auto"/>
            <w:left w:val="none" w:sz="0" w:space="0" w:color="auto"/>
            <w:bottom w:val="none" w:sz="0" w:space="0" w:color="auto"/>
            <w:right w:val="none" w:sz="0" w:space="0" w:color="auto"/>
          </w:divBdr>
          <w:divsChild>
            <w:div w:id="572543823">
              <w:marLeft w:val="0"/>
              <w:marRight w:val="0"/>
              <w:marTop w:val="0"/>
              <w:marBottom w:val="0"/>
              <w:divBdr>
                <w:top w:val="none" w:sz="0" w:space="0" w:color="auto"/>
                <w:left w:val="none" w:sz="0" w:space="0" w:color="auto"/>
                <w:bottom w:val="none" w:sz="0" w:space="0" w:color="auto"/>
                <w:right w:val="none" w:sz="0" w:space="0" w:color="auto"/>
              </w:divBdr>
              <w:divsChild>
                <w:div w:id="879978924">
                  <w:marLeft w:val="0"/>
                  <w:marRight w:val="0"/>
                  <w:marTop w:val="0"/>
                  <w:marBottom w:val="0"/>
                  <w:divBdr>
                    <w:top w:val="none" w:sz="0" w:space="0" w:color="auto"/>
                    <w:left w:val="none" w:sz="0" w:space="0" w:color="auto"/>
                    <w:bottom w:val="none" w:sz="0" w:space="0" w:color="auto"/>
                    <w:right w:val="none" w:sz="0" w:space="0" w:color="auto"/>
                  </w:divBdr>
                  <w:divsChild>
                    <w:div w:id="408888317">
                      <w:marLeft w:val="1"/>
                      <w:marRight w:val="1"/>
                      <w:marTop w:val="0"/>
                      <w:marBottom w:val="0"/>
                      <w:divBdr>
                        <w:top w:val="none" w:sz="0" w:space="0" w:color="auto"/>
                        <w:left w:val="none" w:sz="0" w:space="0" w:color="auto"/>
                        <w:bottom w:val="none" w:sz="0" w:space="0" w:color="auto"/>
                        <w:right w:val="none" w:sz="0" w:space="0" w:color="auto"/>
                      </w:divBdr>
                      <w:divsChild>
                        <w:div w:id="1186216421">
                          <w:marLeft w:val="0"/>
                          <w:marRight w:val="0"/>
                          <w:marTop w:val="0"/>
                          <w:marBottom w:val="0"/>
                          <w:divBdr>
                            <w:top w:val="none" w:sz="0" w:space="0" w:color="auto"/>
                            <w:left w:val="none" w:sz="0" w:space="0" w:color="auto"/>
                            <w:bottom w:val="none" w:sz="0" w:space="0" w:color="auto"/>
                            <w:right w:val="none" w:sz="0" w:space="0" w:color="auto"/>
                          </w:divBdr>
                          <w:divsChild>
                            <w:div w:id="353964896">
                              <w:marLeft w:val="0"/>
                              <w:marRight w:val="0"/>
                              <w:marTop w:val="0"/>
                              <w:marBottom w:val="360"/>
                              <w:divBdr>
                                <w:top w:val="none" w:sz="0" w:space="0" w:color="auto"/>
                                <w:left w:val="none" w:sz="0" w:space="0" w:color="auto"/>
                                <w:bottom w:val="none" w:sz="0" w:space="0" w:color="auto"/>
                                <w:right w:val="none" w:sz="0" w:space="0" w:color="auto"/>
                              </w:divBdr>
                              <w:divsChild>
                                <w:div w:id="1605455568">
                                  <w:marLeft w:val="0"/>
                                  <w:marRight w:val="0"/>
                                  <w:marTop w:val="0"/>
                                  <w:marBottom w:val="0"/>
                                  <w:divBdr>
                                    <w:top w:val="none" w:sz="0" w:space="0" w:color="auto"/>
                                    <w:left w:val="none" w:sz="0" w:space="0" w:color="auto"/>
                                    <w:bottom w:val="none" w:sz="0" w:space="0" w:color="auto"/>
                                    <w:right w:val="none" w:sz="0" w:space="0" w:color="auto"/>
                                  </w:divBdr>
                                  <w:divsChild>
                                    <w:div w:id="795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0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04B0-F3CC-4EE0-A3FA-3A93FC1F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1457</Words>
  <Characters>8248</Characters>
  <Application>Microsoft Office Word</Application>
  <DocSecurity>0</DocSecurity>
  <Lines>158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2015-03-11T11:35:00Z</cp:lastPrinted>
  <dcterms:created xsi:type="dcterms:W3CDTF">2015-03-11T11:13:00Z</dcterms:created>
  <dcterms:modified xsi:type="dcterms:W3CDTF">2015-04-07T14:56:00Z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_AdHocReviewCycleID">
    <vt:i4>-3584003</vt:i4>
  </property>
  <property fmtid="{D5CDD505-2E9C-101B-9397-08002B2CF9AE}" pid="7" name="_EmailSubject">
    <vt:lpwstr>CISNet - délai 19/02/2015 - draft report on the exercise of powers to adopt delegated acts under the Prospectus Directive</vt:lpwstr>
  </property>
  <property fmtid="{D5CDD505-2E9C-101B-9397-08002B2CF9AE}" pid="8" name="_AuthorEmail">
    <vt:lpwstr>ion.rogalski@ec.europa.eu</vt:lpwstr>
  </property>
  <property fmtid="{D5CDD505-2E9C-101B-9397-08002B2CF9AE}" pid="9" name="_AuthorEmailDisplayName">
    <vt:lpwstr>ROGALSKI Ion (SJ)</vt:lpwstr>
  </property>
  <property fmtid="{D5CDD505-2E9C-101B-9397-08002B2CF9AE}" pid="10" name="_ReviewingToolsShownOnce">
    <vt:lpwstr/>
  </property>
  <property fmtid="{D5CDD505-2E9C-101B-9397-08002B2CF9AE}" pid="11" name="DocStatus">
    <vt:lpwstr>Green</vt:lpwstr>
  </property>
</Properties>
</file>