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77AA6F62C8449D59BBC98AC3EF528AA" style="width:450.35pt;height:392.6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За да осигури необходимата правна сигурност и хомогенност на вътрешния пазар, Съвместният комитет на ЕИП следва да включва всички съответни разпоредби на законодателството на ЕС в Споразумението за ЕИП във възможно най-кратък срок след тяхното приемане. </w:t>
      </w:r>
    </w:p>
    <w:p>
      <w:pPr>
        <w:rPr>
          <w:noProof/>
        </w:rPr>
      </w:pPr>
      <w:r>
        <w:rPr>
          <w:noProof/>
        </w:rPr>
        <w:t xml:space="preserve">Съгласно член 78 от Споразумението за ЕИП договарящите се страни укрепват и разширяват своето сътрудничество в рамките на дейностите на Съюза inter alia в областите на околната среда и на научните изследвания и технологичното развитие. </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С проекта на Решение на Съвместния комитет на ЕИП (приложен към предложението за решение на Съвета) се цели да се измени Протокол 31 към Споразумението за ЕИП относно сътрудничеството в специфични области извън четирите свободи, за да се разшири сътрудничеството на договарящите се страни в областите на околната среда и на научните изследвания и технологичното развитие.</w:t>
      </w:r>
    </w:p>
    <w:p>
      <w:pPr>
        <w:rPr>
          <w:noProof/>
        </w:rPr>
      </w:pPr>
      <w:r>
        <w:rPr>
          <w:noProof/>
        </w:rPr>
        <w:t>Сътрудничеството на страните по Споразумението за ЕИП вече беше разширено с Решение на Съвместния комитет на ЕИП № 249/2014 от 13 ноември 2014 г.</w:t>
      </w:r>
      <w:r>
        <w:rPr>
          <w:rStyle w:val="FootnoteReference"/>
          <w:noProof/>
        </w:rPr>
        <w:footnoteReference w:id="1"/>
      </w:r>
      <w:r>
        <w:rPr>
          <w:noProof/>
        </w:rPr>
        <w:t>, за да включи програма „Коперник“. Поради това в член 1, точка 8г от Протокол 31 към Споразумението за ЕИП беше включено позоваване на Регламент (ЕС) № 377/2014 за създаване на програма „Коперник“. В съответната разпоредба от Протокол 31 към Споразумението за ЕИП са изложени и редът и условията на сътрудничество, предвидени между страните по Споразумението за ЕИП в това отношение.</w:t>
      </w:r>
    </w:p>
    <w:p>
      <w:pPr>
        <w:rPr>
          <w:noProof/>
        </w:rPr>
      </w:pPr>
      <w:r>
        <w:rPr>
          <w:noProof/>
        </w:rPr>
        <w:t>Съгласно член 1, точка 8г, буква д) от Протокол 31 Норвегия и Лихтенщайн не участват в програма „Коперник“. Сега обаче Норвегия премахна пречките пред участието си в програмата. Следователно съответните разпоредби за участието на държавите от ЕАСТ в програмата се прилагат и по отношение на Норвегия, а позоваването на Норвегия в буква д) се заличава.</w:t>
      </w:r>
    </w:p>
    <w:p>
      <w:pPr>
        <w:rPr>
          <w:noProof/>
        </w:rPr>
      </w:pPr>
      <w:r>
        <w:rPr>
          <w:noProof/>
        </w:rPr>
        <w:t xml:space="preserve">Следва да се отбележи, че Норвегия поиска участието ѝ в програма „Коперник“ да бъде със задна дата, считано от 1 януари 2014 г. Финансовото участие в програма „Коперник“ във връзка с финансовата 2014 година ще бъде добавено към участието за финансовата 2015 година и включено в поканата за внасяне на средства за 2015 г. В този контекст Парламентът на Норвегия вече одобри като начало съответните фондове. </w:t>
      </w:r>
    </w:p>
    <w:p>
      <w:pPr>
        <w:pStyle w:val="ManualHeading1"/>
        <w:rPr>
          <w:noProof/>
        </w:rPr>
      </w:pPr>
      <w:r>
        <w:rPr>
          <w:noProof/>
        </w:rPr>
        <w:t>3.</w:t>
      </w:r>
      <w:r>
        <w:rPr>
          <w:noProof/>
        </w:rPr>
        <w:tab/>
        <w:t>ПРАВНИ ЕЛЕМЕНТИ НА ПРЕДЛОЖЕНИЕТО</w:t>
      </w:r>
    </w:p>
    <w:p>
      <w:pPr>
        <w:rPr>
          <w:noProof/>
        </w:rPr>
      </w:pPr>
      <w:r>
        <w:rPr>
          <w:noProof/>
        </w:rPr>
        <w:t xml:space="preserve">Съгласно член 1, параграф 3 от Регламент (ЕО) № 2894/94 на Съвета относно условията за прилагане на Споразумението за ЕИП Съветът определя позицията, която да бъде приета от името на Съюза по отношение на подобни решения, въз основа на предложение на Комисията. </w:t>
      </w:r>
    </w:p>
    <w:p>
      <w:pPr>
        <w:rPr>
          <w:noProof/>
        </w:rPr>
      </w:pPr>
      <w:r>
        <w:rPr>
          <w:noProof/>
        </w:rPr>
        <w:t>Комисията представя проекта на решение на Съвместния комитет на ЕИП пред Съвета, който да го приеме като позиция на Съюза. Комисията се надява да има възможност да изложи позицията на Съюза пред Съвместния комитет на ЕИП възможно най-скоро.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2015/0088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w:t>
      </w:r>
      <w:r>
        <w:rPr>
          <w:noProof/>
        </w:rPr>
        <w:br/>
        <w:t>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t>(Коперник)</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189, параграф 2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В съответствие с член 98 от Споразумението за ЕИП Съвместният комитет на ЕИП може да реши да измени, inter alia, Протокол 31 към Споразумението за ЕИП.</w:t>
      </w:r>
    </w:p>
    <w:p>
      <w:pPr>
        <w:pStyle w:val="ManualConsidrant"/>
        <w:rPr>
          <w:noProof/>
        </w:rPr>
      </w:pPr>
      <w:r>
        <w:t>(3)</w:t>
      </w:r>
      <w:r>
        <w:tab/>
      </w:r>
      <w:r>
        <w:rPr>
          <w:noProof/>
        </w:rPr>
        <w:t>В Протокол 31 към Споразумението за ЕИП се съдържат разпоредби и условия относно сътрудничеството в специфични области извън четирите свободи.</w:t>
      </w:r>
    </w:p>
    <w:p>
      <w:pPr>
        <w:pStyle w:val="ManualConsidrant"/>
        <w:rPr>
          <w:noProof/>
        </w:rPr>
      </w:pPr>
      <w:r>
        <w:t>(4)</w:t>
      </w:r>
      <w:r>
        <w:tab/>
      </w:r>
      <w:r>
        <w:rPr>
          <w:noProof/>
        </w:rPr>
        <w:t>С Решение на Съвместния комитет на ЕИП № 249/2014 от 13 ноември 2014 г.</w:t>
      </w:r>
      <w:r>
        <w:rPr>
          <w:rStyle w:val="FootnoteReference"/>
          <w:noProof/>
        </w:rPr>
        <w:footnoteReference w:id="4"/>
      </w:r>
      <w:r>
        <w:rPr>
          <w:noProof/>
        </w:rPr>
        <w:t xml:space="preserve"> сътрудничеството между договарящите се страни по Споразумението за ЕИП беше разширено, за да се включи Регламент (ЕС) № 377/2014 на Европейския парламент и на Съвета от 3 април 2014 г. за създаване на програмата „Коперник“ и за отмяна на Регламент (ЕС) № 911/2010</w:t>
      </w:r>
      <w:r>
        <w:rPr>
          <w:rStyle w:val="FootnoteReference"/>
          <w:noProof/>
        </w:rPr>
        <w:footnoteReference w:id="5"/>
      </w:r>
      <w:r>
        <w:rPr>
          <w:noProof/>
        </w:rPr>
        <w:t>.</w:t>
      </w:r>
    </w:p>
    <w:p>
      <w:pPr>
        <w:pStyle w:val="ManualConsidrant"/>
        <w:rPr>
          <w:noProof/>
        </w:rPr>
      </w:pPr>
      <w:r>
        <w:t>(5)</w:t>
      </w:r>
      <w:r>
        <w:tab/>
      </w:r>
      <w:r>
        <w:rPr>
          <w:noProof/>
        </w:rPr>
        <w:t>Това сътрудничество следва да включи Норвегия при условията, предвидени в Протокол 31 към Споразумението за ЕИП, като нейното участие следва да започне от 1 януари 2014 г.</w:t>
      </w:r>
    </w:p>
    <w:p>
      <w:pPr>
        <w:pStyle w:val="ManualConsidrant"/>
        <w:rPr>
          <w:noProof/>
        </w:rPr>
      </w:pPr>
      <w:r>
        <w:t>(6)</w:t>
      </w:r>
      <w:r>
        <w:tab/>
      </w:r>
      <w:r>
        <w:rPr>
          <w:noProof/>
        </w:rPr>
        <w:t>Поради това Протокол 31 към Споразумението за ЕИП следва да се измени, за да се даде възможност това разширено сътрудничество да започне от 1 януари 2014 г.</w:t>
      </w:r>
    </w:p>
    <w:p>
      <w:pPr>
        <w:pStyle w:val="ManualConsidrant"/>
        <w:rPr>
          <w:noProof/>
        </w:rPr>
      </w:pPr>
      <w:r>
        <w:t>(7)</w:t>
      </w:r>
      <w:r>
        <w:tab/>
      </w:r>
      <w:r>
        <w:rPr>
          <w:noProof/>
        </w:rPr>
        <w:t>Следователно позицията на Съюза в рамките на Съвместния комитет на ЕИП следва да бъде основана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следва да бъде приета от името на Европейския съюз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[все още непубликувано]</w:t>
      </w:r>
    </w:p>
  </w:footnote>
  <w:footnote w:id="2">
    <w:p>
      <w:pPr>
        <w:pStyle w:val="FootnoteText"/>
      </w:pPr>
      <w:r>
        <w:rPr>
          <w:rStyle w:val="FootnoteReference"/>
        </w:rPr>
        <w:footnoteRef/>
      </w:r>
      <w:r>
        <w:tab/>
        <w:t>ОВ L 305, 30.11.1994 г., стр. 6.</w:t>
      </w:r>
    </w:p>
  </w:footnote>
  <w:footnote w:id="3">
    <w:p>
      <w:pPr>
        <w:pStyle w:val="FootnoteText"/>
      </w:pPr>
      <w:r>
        <w:rPr>
          <w:rStyle w:val="FootnoteReference"/>
        </w:rPr>
        <w:footnoteRef/>
      </w:r>
      <w:r>
        <w:tab/>
        <w:t xml:space="preserve">ОВ L 1, 3.1.1994 г., стр. 3. </w:t>
      </w:r>
    </w:p>
  </w:footnote>
  <w:footnote w:id="4">
    <w:p>
      <w:pPr>
        <w:pStyle w:val="FootnoteText"/>
      </w:pPr>
      <w:r>
        <w:rPr>
          <w:rStyle w:val="FootnoteReference"/>
        </w:rPr>
        <w:footnoteRef/>
      </w:r>
      <w:r>
        <w:tab/>
        <w:t>ОВ L [все още непубликувано]</w:t>
      </w:r>
    </w:p>
  </w:footnote>
  <w:footnote w:id="5">
    <w:p>
      <w:pPr>
        <w:pStyle w:val="FootnoteText"/>
      </w:pPr>
      <w:r>
        <w:rPr>
          <w:rStyle w:val="FootnoteReference"/>
        </w:rPr>
        <w:footnoteRef/>
      </w:r>
      <w:r>
        <w:tab/>
        <w:t>ОВ L 122, 22.4.2014 г., стр.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9 11:07: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877AA6F62C8449D59BBC98AC3EF528AA"/>
    <w:docVar w:name="LW_CROSSREFERENCE" w:val="&lt;UNUSED&gt;"/>
    <w:docVar w:name="LW_DocType" w:val="COM"/>
    <w:docVar w:name="LW_EMISSION" w:val="22.4.2015"/>
    <w:docVar w:name="LW_EMISSION_ISODATE" w:val="2015-04-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8"/>
    <w:docVar w:name="LW_REF.II.NEW.CP_YEAR" w:val="2015"/>
    <w:docVar w:name="LW_REF.INST.NEW" w:val="COM"/>
    <w:docVar w:name="LW_REF.INST.NEW_ADOPTED" w:val="final"/>
    <w:docVar w:name="LW_REF.INST.NEW_TEXT" w:val="(2015) 17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u1050?\u1086?\u1087?\u1077?\u1088?\u1085?\u1080?\u108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bg-BG" w:eastAsia="bg-BG"/>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29728">
      <w:bodyDiv w:val="1"/>
      <w:marLeft w:val="0"/>
      <w:marRight w:val="0"/>
      <w:marTop w:val="0"/>
      <w:marBottom w:val="0"/>
      <w:divBdr>
        <w:top w:val="none" w:sz="0" w:space="0" w:color="auto"/>
        <w:left w:val="none" w:sz="0" w:space="0" w:color="auto"/>
        <w:bottom w:val="none" w:sz="0" w:space="0" w:color="auto"/>
        <w:right w:val="none" w:sz="0" w:space="0" w:color="auto"/>
      </w:divBdr>
    </w:div>
    <w:div w:id="1447581823">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DAF3-43E9-47E7-931D-D2674927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834</Words>
  <Characters>4508</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2014-03-28T09:12:00Z</cp:lastPrinted>
  <dcterms:created xsi:type="dcterms:W3CDTF">2015-03-09T10:06:00Z</dcterms:created>
  <dcterms:modified xsi:type="dcterms:W3CDTF">2015-04-15T13:46:00Z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20141001</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DQCStatus">
    <vt:lpwstr>Yellow (DQC version 03)</vt:lpwstr>
  </property>
</Properties>
</file>