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E8B333D9C724780BAD9B91EEE2F2E98" style="width:450.75pt;height:379.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 xml:space="preserve">Afin d’assurer la sécurité et l’homogénéité juridiques du marché intérieur requises, le Comité mixte de l’EEE doit intégrer dans l’accord EEE toute la législation pertinente de l’UE dès que possible après son adoption. </w:t>
      </w:r>
    </w:p>
    <w:p>
      <w:pPr>
        <w:rPr>
          <w:noProof/>
        </w:rPr>
      </w:pPr>
      <w:r>
        <w:rPr>
          <w:noProof/>
        </w:rPr>
        <w:t xml:space="preserve">L’article 78 de l’accord EEE dispose que les parties contractantes renforcent et étendent leur coopération dans le cadre des activités menées par l’Union dans le domaine, entre autres, de la politique sociale. </w:t>
      </w:r>
    </w:p>
    <w:p>
      <w:pPr>
        <w:pStyle w:val="ManualHeading1"/>
        <w:rPr>
          <w:noProof/>
        </w:rPr>
      </w:pPr>
      <w:r>
        <w:rPr>
          <w:noProof/>
        </w:rPr>
        <w:t>2.</w:t>
      </w:r>
      <w:r>
        <w:rPr>
          <w:noProof/>
        </w:rPr>
        <w:tab/>
        <w:t>RÉSULTATS DES CONSULTATIONS DES PARTIES INTÉRESSÉES ET DES ANALYSES D'IMPACT</w:t>
      </w:r>
    </w:p>
    <w:p>
      <w:pPr>
        <w:rPr>
          <w:noProof/>
        </w:rPr>
      </w:pPr>
      <w:r>
        <w:rPr>
          <w:noProof/>
        </w:rPr>
        <w:t>Le projet de décision du Comité mixte de l’EEE (joint à la proposition de décision du Conseil) vise à modifier le protocole 31 de l’accord EEE concernant la coopération dans des secteurs particuliers en dehors des quatre libertés afin d’étendre la coopération sociale entre les parties contractantes.</w:t>
      </w:r>
    </w:p>
    <w:p>
      <w:pPr>
        <w:rPr>
          <w:noProof/>
        </w:rPr>
      </w:pPr>
      <w:r>
        <w:rPr>
          <w:noProof/>
        </w:rPr>
        <w:t>Le règlement (UE) n° 1296/2013 du Parlement européen et du Conseil du 11 décembre 2013 établissant un programme de l'Union européenne pour l'emploi et l'innovation sociale (EaSI) et modifiant la décision n° 283/2010/UE instituant un instrument européen de microfinancement Progress en faveur de l'emploi et de l'inclusion sociale</w:t>
      </w:r>
      <w:r>
        <w:rPr>
          <w:rStyle w:val="FootnoteReference"/>
          <w:noProof/>
        </w:rPr>
        <w:footnoteReference w:id="1"/>
      </w:r>
      <w:r>
        <w:rPr>
          <w:noProof/>
        </w:rPr>
        <w:t xml:space="preserve"> a déjà été intégré dans l'accord EEE par la décision du Comité mixte de l'EEE n° 151/2014 du 27 juin 2014</w:t>
      </w:r>
      <w:r>
        <w:rPr>
          <w:rStyle w:val="FootnoteReference"/>
          <w:noProof/>
        </w:rPr>
        <w:footnoteReference w:id="2"/>
      </w:r>
      <w:r>
        <w:rPr>
          <w:noProof/>
        </w:rPr>
        <w:t xml:space="preserve"> afin de permettre aux États de l’AELE membres de l’EEE de participer à certains volets du programme EaSI. </w:t>
      </w:r>
    </w:p>
    <w:p>
      <w:pPr>
        <w:rPr>
          <w:noProof/>
        </w:rPr>
      </w:pPr>
      <w:r>
        <w:rPr>
          <w:noProof/>
        </w:rPr>
        <w:t>La Norvège, qui ne participe actuellement qu'à un seul des trois volets du programme EaSI, à savoir le volet «EURES», a proposé d’étendre cette participation afin de couvrir également le volet «Progress» du programme à compter du 1</w:t>
      </w:r>
      <w:r>
        <w:rPr>
          <w:noProof/>
          <w:vertAlign w:val="superscript"/>
        </w:rPr>
        <w:t>er</w:t>
      </w:r>
      <w:r>
        <w:rPr>
          <w:noProof/>
        </w:rPr>
        <w:t xml:space="preserve"> janvier 2015. Il convient dès lors de modifier le protocole 31 de l'accord EEE.</w:t>
      </w:r>
    </w:p>
    <w:p>
      <w:pPr>
        <w:pStyle w:val="ManualHeading1"/>
        <w:rPr>
          <w:noProof/>
        </w:rPr>
      </w:pPr>
      <w:r>
        <w:rPr>
          <w:noProof/>
        </w:rPr>
        <w:t>3.</w:t>
      </w:r>
      <w:r>
        <w:rPr>
          <w:noProof/>
        </w:rPr>
        <w:tab/>
        <w:t>ÉLÉMENTS JURIDIQUES DE LA PROPOSITION</w:t>
      </w:r>
    </w:p>
    <w:p>
      <w:pPr>
        <w:rPr>
          <w:noProof/>
        </w:rPr>
      </w:pPr>
      <w:r>
        <w:rPr>
          <w:noProof/>
        </w:rPr>
        <w:t>L’article 1</w:t>
      </w:r>
      <w:r>
        <w:rPr>
          <w:noProof/>
          <w:vertAlign w:val="superscript"/>
        </w:rPr>
        <w:t>er</w:t>
      </w:r>
      <w:r>
        <w:rPr>
          <w:noProof/>
        </w:rPr>
        <w:t xml:space="preserve">, paragraphe 3, du règlement (CE) n° 2894/94 du Conseil relatif à certaines modalités d’application de l’accord sur l'Espace économique européen prévoit que le Conseil arrête, sur proposition de la Commission, la position à adopter au nom de l’Union pour ce type de décision. </w:t>
      </w:r>
    </w:p>
    <w:p>
      <w:pPr>
        <w:rPr>
          <w:noProof/>
        </w:rPr>
      </w:pPr>
      <w:r>
        <w:rPr>
          <w:noProof/>
        </w:rPr>
        <w:t>La Commission soumet le projet de décision du Comité mixte de l’EEE au Conseil pour adoption en tant que position de l’Union. Elle espère pouvoir présenter ce document au Comité mixte de l’EEE dès que possible.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2015/0089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w:t>
      </w:r>
      <w:r>
        <w:rPr>
          <w:noProof/>
        </w:rPr>
        <w:br/>
        <w:t>au sein du Comité mixte de l'EEE sur une modification du protocole 31 de l'accord EEE concernant la coopération dans des secteurs particuliers en dehors des quatre libertés</w:t>
      </w:r>
      <w:r>
        <w:rPr>
          <w:noProof/>
        </w:rPr>
        <w:br/>
        <w:t>(EaSI)</w:t>
      </w:r>
    </w:p>
    <w:p>
      <w:pPr>
        <w:pStyle w:val="Institutionquiagit"/>
        <w:rPr>
          <w:noProof/>
        </w:rPr>
      </w:pPr>
      <w:r>
        <w:rPr>
          <w:noProof/>
        </w:rPr>
        <w:t>LE CONSEIL DE L'UNION EUROPÉENNE,</w:t>
      </w:r>
    </w:p>
    <w:p>
      <w:pPr>
        <w:rPr>
          <w:noProof/>
        </w:rPr>
      </w:pPr>
      <w:r>
        <w:rPr>
          <w:noProof/>
        </w:rPr>
        <w:t>vu le traité sur le fonctionnement de l'Union européenne, et notamment son article 46, point d), son article 149, son article 153, paragraphe 2, point a), son article 175, troisième alinéa, et son article 218, paragraphe 9,</w:t>
      </w:r>
    </w:p>
    <w:p>
      <w:pPr>
        <w:rPr>
          <w:noProof/>
        </w:rPr>
      </w:pPr>
      <w:r>
        <w:rPr>
          <w:noProof/>
        </w:rPr>
        <w:t>vu le règlement (CE) n° 2894/94 du Conseil du 28 novembre 1994 relatif à certaines modalités d'application de l'accord sur l'Espace économique européen</w:t>
      </w:r>
      <w:r>
        <w:rPr>
          <w:rStyle w:val="FootnoteReference"/>
          <w:noProof/>
        </w:rPr>
        <w:footnoteReference w:id="3"/>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4"/>
      </w:r>
      <w:r>
        <w:rPr>
          <w:noProof/>
        </w:rPr>
        <w:t xml:space="preserve">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Conformément à l’article 98 de l’accord EEE, le Comité mixte de l’EEE peut décider de modifier, entre autres, le protocole 31 dudit accord.</w:t>
      </w:r>
    </w:p>
    <w:p>
      <w:pPr>
        <w:pStyle w:val="ManualConsidrant"/>
        <w:rPr>
          <w:noProof/>
        </w:rPr>
      </w:pPr>
      <w:r>
        <w:t>(3)</w:t>
      </w:r>
      <w:r>
        <w:tab/>
      </w:r>
      <w:r>
        <w:rPr>
          <w:noProof/>
        </w:rPr>
        <w:t>Le protocole 31 de l'accord EEE contient des dispositions et des modalités concernant la coopération dans des secteurs particuliers en dehors des quatre libertés.</w:t>
      </w:r>
    </w:p>
    <w:p>
      <w:pPr>
        <w:pStyle w:val="ManualConsidrant"/>
        <w:rPr>
          <w:noProof/>
        </w:rPr>
      </w:pPr>
      <w:r>
        <w:t>(4)</w:t>
      </w:r>
      <w:r>
        <w:tab/>
      </w:r>
      <w:r>
        <w:rPr>
          <w:noProof/>
        </w:rPr>
        <w:t>Le règlement (UE) n° 1296/2013 du Parlement européen et du Conseil</w:t>
      </w:r>
      <w:r>
        <w:rPr>
          <w:rStyle w:val="FootnoteReference"/>
          <w:noProof/>
        </w:rPr>
        <w:footnoteReference w:id="5"/>
      </w:r>
      <w:r>
        <w:rPr>
          <w:noProof/>
        </w:rPr>
        <w:t xml:space="preserve"> a été intégré dans l’accord EEE par la décision du Comité mixte de l’EEE n° 151/2014 du 27 juin 2014</w:t>
      </w:r>
      <w:r>
        <w:rPr>
          <w:rStyle w:val="FootnoteReference"/>
          <w:noProof/>
        </w:rPr>
        <w:footnoteReference w:id="6"/>
      </w:r>
      <w:r>
        <w:rPr>
          <w:noProof/>
        </w:rPr>
        <w:t>.</w:t>
      </w:r>
    </w:p>
    <w:p>
      <w:pPr>
        <w:pStyle w:val="ManualConsidrant"/>
        <w:rPr>
          <w:noProof/>
        </w:rPr>
      </w:pPr>
      <w:r>
        <w:t>(5)</w:t>
      </w:r>
      <w:r>
        <w:tab/>
      </w:r>
      <w:r>
        <w:rPr>
          <w:noProof/>
        </w:rPr>
        <w:t>La participation limitée de la Norvège au programme devrait être étendue au volet «Progress».</w:t>
      </w:r>
    </w:p>
    <w:p>
      <w:pPr>
        <w:pStyle w:val="ManualConsidrant"/>
        <w:rPr>
          <w:noProof/>
        </w:rPr>
      </w:pPr>
      <w:r>
        <w:t>(6)</w:t>
      </w:r>
      <w:r>
        <w:tab/>
      </w:r>
      <w:r>
        <w:rPr>
          <w:noProof/>
        </w:rPr>
        <w:t>Il convient dès lors de modifier le protocole 31 de l’accord EEE afin que cette coopération élargie puisse commencer le 1</w:t>
      </w:r>
      <w:r>
        <w:rPr>
          <w:noProof/>
          <w:vertAlign w:val="superscript"/>
        </w:rPr>
        <w:t>er</w:t>
      </w:r>
      <w:r>
        <w:rPr>
          <w:noProof/>
        </w:rPr>
        <w:t xml:space="preserve"> janvier 2015.</w:t>
      </w:r>
    </w:p>
    <w:p>
      <w:pPr>
        <w:pStyle w:val="ManualConsidrant"/>
        <w:rPr>
          <w:noProof/>
        </w:rPr>
      </w:pPr>
      <w:r>
        <w:t>(7)</w:t>
      </w:r>
      <w:r>
        <w:tab/>
      </w:r>
      <w:r>
        <w:rPr>
          <w:noProof/>
        </w:rPr>
        <w:t>La position de l'Union au sein du Comité mixte de l'EEE devrait donc être fondée sur le projet de décision ci-joint,</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position à adopter au nom de l'Union européenne, au sein du Comité mixte de l'EEE, en ce qui concerne la modification qu'il est proposé d'apporter au protocole 31 de l'accord EEE concernant la coopération dans des secteurs particuliers en dehors des quatre libertés,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20.12.2013, p. 238.</w:t>
      </w:r>
    </w:p>
  </w:footnote>
  <w:footnote w:id="2">
    <w:p>
      <w:pPr>
        <w:pStyle w:val="FootnoteText"/>
      </w:pPr>
      <w:r>
        <w:rPr>
          <w:rStyle w:val="FootnoteReference"/>
        </w:rPr>
        <w:footnoteRef/>
      </w:r>
      <w:r>
        <w:tab/>
        <w:t>JO L …</w:t>
      </w:r>
    </w:p>
  </w:footnote>
  <w:footnote w:id="3">
    <w:p>
      <w:pPr>
        <w:pStyle w:val="FootnoteText"/>
      </w:pPr>
      <w:r>
        <w:rPr>
          <w:rStyle w:val="FootnoteReference"/>
        </w:rPr>
        <w:footnoteRef/>
      </w:r>
      <w:r>
        <w:tab/>
        <w:t xml:space="preserve">JO L 305 du 30.11.1994, p. 6. </w:t>
      </w:r>
    </w:p>
  </w:footnote>
  <w:footnote w:id="4">
    <w:p>
      <w:pPr>
        <w:pStyle w:val="FootnoteText"/>
      </w:pPr>
      <w:r>
        <w:rPr>
          <w:rStyle w:val="FootnoteReference"/>
        </w:rPr>
        <w:footnoteRef/>
      </w:r>
      <w:r>
        <w:tab/>
        <w:t xml:space="preserve">JO L 1 du 3.1.1994, p. 3. </w:t>
      </w:r>
    </w:p>
  </w:footnote>
  <w:footnote w:id="5">
    <w:p>
      <w:pPr>
        <w:pStyle w:val="FootnoteText"/>
      </w:pPr>
      <w:r>
        <w:rPr>
          <w:rStyle w:val="FootnoteReference"/>
        </w:rPr>
        <w:footnoteRef/>
      </w:r>
      <w:r>
        <w:tab/>
        <w:t xml:space="preserve">Règlement (UE) n° 1296/2013 du Parlement européen et du Conseil du 11 décembre 2013 établissant un programme de l'Union européenne pour l'emploi et l'innovation sociale (EaSI) et modifiant la décision nº 283/2010/UE instituant un instrument européen de microfinancement Progress en faveur de l'emploi et de l'inclusion sociale (JO L 347 du 20.12.2013, p. 238). </w:t>
      </w:r>
    </w:p>
  </w:footnote>
  <w:footnote w:id="6">
    <w:p>
      <w:pPr>
        <w:pStyle w:val="FootnoteText"/>
        <w:rPr>
          <w:lang w:val="pl-PL"/>
        </w:rPr>
      </w:pPr>
      <w:r>
        <w:rPr>
          <w:rStyle w:val="FootnoteReference"/>
        </w:rPr>
        <w:footnoteRef/>
      </w:r>
      <w:r>
        <w:tab/>
        <w:t>JO 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5-03-04 10:06: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9E8B333D9C724780BAD9B91EEE2F2E98"/>
    <w:docVar w:name="LW_CROSSREFERENCE" w:val="&lt;UNUSED&gt;"/>
    <w:docVar w:name="LW_DocType" w:val="COM"/>
    <w:docVar w:name="LW_EMISSION" w:val="22.4.2015"/>
    <w:docVar w:name="LW_EMISSION_ISODATE" w:val="2015-04-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89"/>
    <w:docVar w:name="LW_REF.II.NEW.CP_YEAR" w:val="2015"/>
    <w:docVar w:name="LW_REF.INST.NEW" w:val="COM"/>
    <w:docVar w:name="LW_REF.INST.NEW_ADOPTED" w:val="final"/>
    <w:docVar w:name="LW_REF.INST.NEW_TEXT" w:val="(2015) 172"/>
    <w:docVar w:name="LW_REF.INTERNE" w:val="&lt;UNUSED&gt;"/>
    <w:docVar w:name="LW_SOUS.TITRE.OBJ.CP" w:val="&lt;UNUSED&gt;"/>
    <w:docVar w:name="LW_STATUT.CP" w:val="Proposition de"/>
    <w:docVar w:name="LW_SUPERTITRE" w:val="&lt;UNUSED&gt;"/>
    <w:docVar w:name="LW_TITRE.OBJ.CP" w:val="relative à la position à adopter au nom de l\u8217?Union européenne_x000b_au sein du Comité mixte de l'EEE sur une modification du protocole 31 de l'accord EEE concernant la coopération dans des secteurs particuliers en dehors des quatre libertés_x000b_(EaSI)"/>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fr-FR" w:eastAsia="fr-FR"/>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329728">
      <w:bodyDiv w:val="1"/>
      <w:marLeft w:val="0"/>
      <w:marRight w:val="0"/>
      <w:marTop w:val="0"/>
      <w:marBottom w:val="0"/>
      <w:divBdr>
        <w:top w:val="none" w:sz="0" w:space="0" w:color="auto"/>
        <w:left w:val="none" w:sz="0" w:space="0" w:color="auto"/>
        <w:bottom w:val="none" w:sz="0" w:space="0" w:color="auto"/>
        <w:right w:val="none" w:sz="0" w:space="0" w:color="auto"/>
      </w:divBdr>
    </w:div>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7BF5-00D1-410D-A6CD-CA59747E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740</Words>
  <Characters>3842</Characters>
  <Application>Microsoft Office Word</Application>
  <DocSecurity>0</DocSecurity>
  <Lines>78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2014-03-28T09:12:00Z</cp:lastPrinted>
  <dcterms:created xsi:type="dcterms:W3CDTF">2015-03-04T09:06:00Z</dcterms:created>
  <dcterms:modified xsi:type="dcterms:W3CDTF">2015-04-22T09:56:00Z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5.8.3, Build 20140113</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DQCStatus">
    <vt:lpwstr>Yellow (DQC version 03)</vt:lpwstr>
  </property>
</Properties>
</file>