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D2DA289211474A92A8DF88457AA66E" style="width:451pt;height:394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За да осигури необходимата правна сигурност и хомогенност на вътрешния пазар, Съвместният комитет на ЕИП следва да включва всички съответни разпоредби на законодателството на ЕС в Споразумението за ЕИП във възможно най-кратък срок след тяхното приемане. </w:t>
      </w:r>
    </w:p>
    <w:p>
      <w:pPr>
        <w:rPr>
          <w:noProof/>
        </w:rPr>
      </w:pPr>
      <w:r>
        <w:rPr>
          <w:noProof/>
        </w:rPr>
        <w:t xml:space="preserve">Съгласно член 78 от Споразумението за ЕИП договарящите се страни укрепват и разширяват своето сътрудничеството в рамките на дейностите на Съюза в областта на, между другото, социалната политика. </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С проекторешението на Съвместния комитет на ЕИП (приложено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за да се разшири социалното сътрудничество между договарящите се страни.</w:t>
      </w:r>
    </w:p>
    <w:p>
      <w:pPr>
        <w:rPr>
          <w:noProof/>
        </w:rPr>
      </w:pPr>
      <w:r>
        <w:rPr>
          <w:noProof/>
        </w:rPr>
        <w:t>Регламент (ЕС) № 1296/2013 на Европейския парламент и на Съвета от 11 декември 2013 г. относно Програма на Европейския съюз за заетост и социални иновации („EaSI“) и за изменение на Решение № 283/2010/ЕС за създаване на Европейски механизъм за микрофинансиране за трудова заетост и социално приобщаване „Прогрес“</w:t>
      </w:r>
      <w:r>
        <w:rPr>
          <w:rStyle w:val="FootnoteReference"/>
          <w:noProof/>
        </w:rPr>
        <w:footnoteReference w:id="1"/>
      </w:r>
      <w:r>
        <w:rPr>
          <w:noProof/>
        </w:rPr>
        <w:t xml:space="preserve"> вече беше включен в Споразумението за ЕИП с Решение на Съвместния комитет № 151/2014 от 27 юни 2014 г.</w:t>
      </w:r>
      <w:r>
        <w:rPr>
          <w:rStyle w:val="FootnoteReference"/>
          <w:noProof/>
        </w:rPr>
        <w:footnoteReference w:id="2"/>
      </w:r>
      <w:r>
        <w:rPr>
          <w:noProof/>
        </w:rPr>
        <w:t xml:space="preserve">, за да могат държавите от ЕИП/ЕАСТ да участват в избрани оси от програмата EaSI. </w:t>
      </w:r>
    </w:p>
    <w:p>
      <w:pPr>
        <w:rPr>
          <w:noProof/>
        </w:rPr>
      </w:pPr>
      <w:r>
        <w:rPr>
          <w:noProof/>
        </w:rPr>
        <w:t>Норвегия, която понастоящем участва само в една от трите оси от програмата EaSI, а именно в ос „EURES“, предложи да разшири своето участие, което да обхване и оста „Прогрес“ на програмата, считано от 1 януари 2015 г. Поради това Протокол 31 към Споразумението за ЕИП следва да бъде изменен.</w:t>
      </w:r>
    </w:p>
    <w:p>
      <w:pPr>
        <w:pStyle w:val="ManualHeading1"/>
        <w:rPr>
          <w:noProof/>
        </w:rPr>
      </w:pPr>
      <w:r>
        <w:rPr>
          <w:noProof/>
        </w:rPr>
        <w:t>3.</w:t>
      </w:r>
      <w:r>
        <w:rPr>
          <w:noProof/>
        </w:rPr>
        <w:tab/>
        <w:t>ПРАВНИ ЕЛЕМЕНТИ НА ПРЕДЛОЖЕНИЕТО</w:t>
      </w:r>
    </w:p>
    <w:p>
      <w:pPr>
        <w:rPr>
          <w:noProof/>
        </w:rPr>
      </w:pPr>
      <w:r>
        <w:rPr>
          <w:noProof/>
        </w:rPr>
        <w:t xml:space="preserve">Съгласно член 1, параграф 3 от Регламент (ЕО) № 2894/94 на Съвета относно условията за прилагане на Споразумението за ЕИП Съветът определя позицията, която да бъде приета от името на Съюза по отношение на подобни решения, въз основа на предложение на Комисията. </w:t>
      </w:r>
    </w:p>
    <w:p>
      <w:pPr>
        <w:rPr>
          <w:noProof/>
        </w:r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2015/0089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(EaSI)</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46, буква г), член 149, член 153, параграф 2, буква a), член 175, параграф 3 и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4"/>
      </w:r>
      <w:r>
        <w:rPr>
          <w:noProof/>
        </w:rPr>
        <w:t xml:space="preserve"> („Споразумението за ЕИП“) влезе в сила на 1 януари 1994 г.</w:t>
      </w:r>
    </w:p>
    <w:p>
      <w:pPr>
        <w:pStyle w:val="ManualConsidrant"/>
        <w:rPr>
          <w:noProof/>
        </w:rPr>
      </w:pPr>
      <w:r>
        <w:t>(2)</w:t>
      </w:r>
      <w:r>
        <w:tab/>
      </w:r>
      <w:r>
        <w:rPr>
          <w:noProof/>
        </w:rPr>
        <w:t>В съответствие с член 98 от Споразумението за ЕИП Съвместният комитет на ЕИП може да реши да измени, inter alia, Протокол 31 към Споразумението за ЕИП.</w:t>
      </w:r>
    </w:p>
    <w:p>
      <w:pPr>
        <w:pStyle w:val="ManualConsidrant"/>
        <w:rPr>
          <w:noProof/>
        </w:rPr>
      </w:pPr>
      <w:r>
        <w:t>(3)</w:t>
      </w:r>
      <w:r>
        <w:tab/>
      </w:r>
      <w:r>
        <w:rPr>
          <w:noProof/>
        </w:rPr>
        <w:t>В Протокол 31 към Споразумението за ЕИП се съдържат разпоредби и условия относно сътрудничеството в специфични области извън четирите свободи.</w:t>
      </w:r>
    </w:p>
    <w:p>
      <w:pPr>
        <w:pStyle w:val="ManualConsidrant"/>
        <w:rPr>
          <w:noProof/>
        </w:rPr>
      </w:pPr>
      <w:r>
        <w:t>(4)</w:t>
      </w:r>
      <w:r>
        <w:tab/>
      </w:r>
      <w:r>
        <w:rPr>
          <w:noProof/>
        </w:rPr>
        <w:t>Регламент (ЕС) № 1296/2013 на Европейския парламент и на Съвета</w:t>
      </w:r>
      <w:r>
        <w:rPr>
          <w:rStyle w:val="FootnoteReference"/>
          <w:noProof/>
        </w:rPr>
        <w:footnoteReference w:id="5"/>
      </w:r>
      <w:r>
        <w:rPr>
          <w:noProof/>
        </w:rPr>
        <w:t xml:space="preserve"> бе включен в Споразумението за ЕИП с Решение на Съвместния комитет № 151/2014 от 27 юни 2014 г.</w:t>
      </w:r>
      <w:r>
        <w:rPr>
          <w:rStyle w:val="FootnoteReference"/>
          <w:noProof/>
        </w:rPr>
        <w:footnoteReference w:id="6"/>
      </w:r>
    </w:p>
    <w:p>
      <w:pPr>
        <w:pStyle w:val="ManualConsidrant"/>
        <w:rPr>
          <w:noProof/>
        </w:rPr>
      </w:pPr>
      <w:r>
        <w:t>(5)</w:t>
      </w:r>
      <w:r>
        <w:tab/>
      </w:r>
      <w:r>
        <w:rPr>
          <w:noProof/>
        </w:rPr>
        <w:t>Ограниченото участие на Норвегия в програмата следва да бъде разширено, за да включи и оста „Прогрес“.</w:t>
      </w:r>
    </w:p>
    <w:p>
      <w:pPr>
        <w:pStyle w:val="ManualConsidrant"/>
        <w:rPr>
          <w:noProof/>
        </w:rPr>
      </w:pPr>
      <w:r>
        <w:lastRenderedPageBreak/>
        <w:t>(6)</w:t>
      </w:r>
      <w:r>
        <w:tab/>
      </w:r>
      <w:r>
        <w:rPr>
          <w:noProof/>
        </w:rPr>
        <w:t>Поради това Протокол 31 към Споразумението за ЕИП следва да се измени, за да се даде възможност това разширено сътрудничество да започне от 1 януари 2015 г.</w:t>
      </w:r>
    </w:p>
    <w:p>
      <w:pPr>
        <w:pStyle w:val="ManualConsidrant"/>
        <w:rPr>
          <w:noProof/>
        </w:rPr>
      </w:pPr>
      <w:r>
        <w:t>(7)</w:t>
      </w:r>
      <w:r>
        <w:tab/>
      </w:r>
      <w:r>
        <w:rPr>
          <w:noProof/>
        </w:rPr>
        <w:t>Следователно позицията на Съюза в рамките на Съвместния комитет на ЕИП следва да бъде основана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следва да бъде приета от името на Европейския съюз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347, 20.12.2013 г., стр. 238.</w:t>
      </w:r>
    </w:p>
  </w:footnote>
  <w:footnote w:id="2">
    <w:p>
      <w:pPr>
        <w:pStyle w:val="FootnoteText"/>
        <w:rPr>
          <w:lang w:val="pl-PL"/>
        </w:rPr>
      </w:pPr>
      <w:r>
        <w:rPr>
          <w:rStyle w:val="FootnoteReference"/>
        </w:rPr>
        <w:footnoteRef/>
      </w:r>
      <w:r>
        <w:tab/>
        <w:t>ОВ L ...</w:t>
      </w:r>
    </w:p>
  </w:footnote>
  <w:footnote w:id="3">
    <w:p>
      <w:pPr>
        <w:pStyle w:val="FootnoteText"/>
        <w:rPr>
          <w:lang w:val="pl-PL"/>
        </w:rPr>
      </w:pPr>
      <w:r>
        <w:rPr>
          <w:rStyle w:val="FootnoteReference"/>
        </w:rPr>
        <w:footnoteRef/>
      </w:r>
      <w:r>
        <w:rPr>
          <w:lang w:val="pl-PL"/>
        </w:rPr>
        <w:tab/>
      </w:r>
      <w:r>
        <w:t>ОВ</w:t>
      </w:r>
      <w:r>
        <w:rPr>
          <w:lang w:val="pl-PL"/>
        </w:rPr>
        <w:t xml:space="preserve"> L 305, 30.11.1994 </w:t>
      </w:r>
      <w:r>
        <w:t>г</w:t>
      </w:r>
      <w:r>
        <w:rPr>
          <w:lang w:val="pl-PL"/>
        </w:rPr>
        <w:t xml:space="preserve">., </w:t>
      </w:r>
      <w:r>
        <w:t>стр</w:t>
      </w:r>
      <w:r>
        <w:rPr>
          <w:lang w:val="pl-PL"/>
        </w:rPr>
        <w:t xml:space="preserve">. 6. </w:t>
      </w:r>
    </w:p>
  </w:footnote>
  <w:footnote w:id="4">
    <w:p>
      <w:pPr>
        <w:pStyle w:val="FootnoteText"/>
        <w:rPr>
          <w:lang w:val="pl-PL"/>
        </w:rPr>
      </w:pPr>
      <w:r>
        <w:rPr>
          <w:rStyle w:val="FootnoteReference"/>
        </w:rPr>
        <w:footnoteRef/>
      </w:r>
      <w:r>
        <w:rPr>
          <w:lang w:val="pl-PL"/>
        </w:rPr>
        <w:tab/>
      </w:r>
      <w:r>
        <w:t>ОВ</w:t>
      </w:r>
      <w:r>
        <w:rPr>
          <w:lang w:val="pl-PL"/>
        </w:rPr>
        <w:t xml:space="preserve"> L 1, 3.1.1994 </w:t>
      </w:r>
      <w:r>
        <w:t>г</w:t>
      </w:r>
      <w:r>
        <w:rPr>
          <w:lang w:val="pl-PL"/>
        </w:rPr>
        <w:t xml:space="preserve">., </w:t>
      </w:r>
      <w:r>
        <w:t>стр</w:t>
      </w:r>
      <w:r>
        <w:rPr>
          <w:lang w:val="pl-PL"/>
        </w:rPr>
        <w:t xml:space="preserve">. 3. </w:t>
      </w:r>
    </w:p>
  </w:footnote>
  <w:footnote w:id="5">
    <w:p>
      <w:pPr>
        <w:pStyle w:val="FootnoteText"/>
        <w:rPr>
          <w:lang w:val="pl-PL"/>
        </w:rPr>
      </w:pPr>
      <w:r>
        <w:rPr>
          <w:rStyle w:val="FootnoteReference"/>
        </w:rPr>
        <w:footnoteRef/>
      </w:r>
      <w:r>
        <w:rPr>
          <w:lang w:val="pl-PL"/>
        </w:rPr>
        <w:tab/>
      </w:r>
      <w:r>
        <w:t>Регламент</w:t>
      </w:r>
      <w:r>
        <w:rPr>
          <w:lang w:val="pl-PL"/>
        </w:rPr>
        <w:t xml:space="preserve"> (</w:t>
      </w:r>
      <w:r>
        <w:t>ЕС</w:t>
      </w:r>
      <w:r>
        <w:rPr>
          <w:lang w:val="pl-PL"/>
        </w:rPr>
        <w:t xml:space="preserve">) № 1296/2013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от</w:t>
      </w:r>
      <w:r>
        <w:rPr>
          <w:lang w:val="pl-PL"/>
        </w:rPr>
        <w:t xml:space="preserve"> 11 </w:t>
      </w:r>
      <w:r>
        <w:t>декември</w:t>
      </w:r>
      <w:r>
        <w:rPr>
          <w:lang w:val="pl-PL"/>
        </w:rPr>
        <w:t xml:space="preserve"> 2013 </w:t>
      </w:r>
      <w:r>
        <w:t>г</w:t>
      </w:r>
      <w:r>
        <w:rPr>
          <w:lang w:val="pl-PL"/>
        </w:rPr>
        <w:t xml:space="preserve">. </w:t>
      </w:r>
      <w:r>
        <w:t>относно</w:t>
      </w:r>
      <w:r>
        <w:rPr>
          <w:lang w:val="pl-PL"/>
        </w:rPr>
        <w:t xml:space="preserve"> </w:t>
      </w:r>
      <w:r>
        <w:t>Програма</w:t>
      </w:r>
      <w:r>
        <w:rPr>
          <w:lang w:val="pl-PL"/>
        </w:rPr>
        <w:t xml:space="preserve"> </w:t>
      </w:r>
      <w:r>
        <w:t>на</w:t>
      </w:r>
      <w:r>
        <w:rPr>
          <w:lang w:val="pl-PL"/>
        </w:rPr>
        <w:t xml:space="preserve"> </w:t>
      </w:r>
      <w:r>
        <w:t>Европейския</w:t>
      </w:r>
      <w:r>
        <w:rPr>
          <w:lang w:val="pl-PL"/>
        </w:rPr>
        <w:t xml:space="preserve"> </w:t>
      </w:r>
      <w:r>
        <w:t>съюз</w:t>
      </w:r>
      <w:r>
        <w:rPr>
          <w:lang w:val="pl-PL"/>
        </w:rPr>
        <w:t xml:space="preserve"> </w:t>
      </w:r>
      <w:r>
        <w:t>за</w:t>
      </w:r>
      <w:r>
        <w:rPr>
          <w:lang w:val="pl-PL"/>
        </w:rPr>
        <w:t xml:space="preserve"> </w:t>
      </w:r>
      <w:r>
        <w:t>заетост</w:t>
      </w:r>
      <w:r>
        <w:rPr>
          <w:lang w:val="pl-PL"/>
        </w:rPr>
        <w:t xml:space="preserve"> </w:t>
      </w:r>
      <w:r>
        <w:t>и</w:t>
      </w:r>
      <w:r>
        <w:rPr>
          <w:lang w:val="pl-PL"/>
        </w:rPr>
        <w:t xml:space="preserve"> </w:t>
      </w:r>
      <w:r>
        <w:t>социални</w:t>
      </w:r>
      <w:r>
        <w:rPr>
          <w:lang w:val="pl-PL"/>
        </w:rPr>
        <w:t xml:space="preserve"> </w:t>
      </w:r>
      <w:r>
        <w:t>иновации</w:t>
      </w:r>
      <w:r>
        <w:rPr>
          <w:lang w:val="pl-PL"/>
        </w:rPr>
        <w:t xml:space="preserve"> („EaSI“ ) </w:t>
      </w:r>
      <w:r>
        <w:t>и</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Решение</w:t>
      </w:r>
      <w:r>
        <w:rPr>
          <w:lang w:val="pl-PL"/>
        </w:rPr>
        <w:t xml:space="preserve"> № 283/2010/</w:t>
      </w:r>
      <w:r>
        <w:t>ЕС</w:t>
      </w:r>
      <w:r>
        <w:rPr>
          <w:lang w:val="pl-PL"/>
        </w:rPr>
        <w:t xml:space="preserve"> </w:t>
      </w:r>
      <w:r>
        <w:t>за</w:t>
      </w:r>
      <w:r>
        <w:rPr>
          <w:lang w:val="pl-PL"/>
        </w:rPr>
        <w:t xml:space="preserve"> </w:t>
      </w:r>
      <w:r>
        <w:t>създаване</w:t>
      </w:r>
      <w:r>
        <w:rPr>
          <w:lang w:val="pl-PL"/>
        </w:rPr>
        <w:t xml:space="preserve"> </w:t>
      </w:r>
      <w:r>
        <w:t>на</w:t>
      </w:r>
      <w:r>
        <w:rPr>
          <w:lang w:val="pl-PL"/>
        </w:rPr>
        <w:t xml:space="preserve"> </w:t>
      </w:r>
      <w:r>
        <w:t>Европейски</w:t>
      </w:r>
      <w:r>
        <w:rPr>
          <w:lang w:val="pl-PL"/>
        </w:rPr>
        <w:t xml:space="preserve"> </w:t>
      </w:r>
      <w:r>
        <w:t>механизъм</w:t>
      </w:r>
      <w:r>
        <w:rPr>
          <w:lang w:val="pl-PL"/>
        </w:rPr>
        <w:t xml:space="preserve"> </w:t>
      </w:r>
      <w:r>
        <w:t>за</w:t>
      </w:r>
      <w:r>
        <w:rPr>
          <w:lang w:val="pl-PL"/>
        </w:rPr>
        <w:t xml:space="preserve"> </w:t>
      </w:r>
      <w:r>
        <w:t>микрофинансиране</w:t>
      </w:r>
      <w:r>
        <w:rPr>
          <w:lang w:val="pl-PL"/>
        </w:rPr>
        <w:t xml:space="preserve"> </w:t>
      </w:r>
      <w:r>
        <w:t>за</w:t>
      </w:r>
      <w:r>
        <w:rPr>
          <w:lang w:val="pl-PL"/>
        </w:rPr>
        <w:t xml:space="preserve"> </w:t>
      </w:r>
      <w:r>
        <w:t>трудова</w:t>
      </w:r>
      <w:r>
        <w:rPr>
          <w:lang w:val="pl-PL"/>
        </w:rPr>
        <w:t xml:space="preserve"> </w:t>
      </w:r>
      <w:r>
        <w:t>заетост</w:t>
      </w:r>
      <w:r>
        <w:rPr>
          <w:lang w:val="pl-PL"/>
        </w:rPr>
        <w:t xml:space="preserve"> </w:t>
      </w:r>
      <w:r>
        <w:t>и</w:t>
      </w:r>
      <w:r>
        <w:rPr>
          <w:lang w:val="pl-PL"/>
        </w:rPr>
        <w:t xml:space="preserve"> </w:t>
      </w:r>
      <w:r>
        <w:t>социално</w:t>
      </w:r>
      <w:r>
        <w:rPr>
          <w:lang w:val="pl-PL"/>
        </w:rPr>
        <w:t xml:space="preserve"> </w:t>
      </w:r>
      <w:r>
        <w:t>приобщаване</w:t>
      </w:r>
      <w:r>
        <w:rPr>
          <w:lang w:val="pl-PL"/>
        </w:rPr>
        <w:t xml:space="preserve"> „</w:t>
      </w:r>
      <w:r>
        <w:t>Прогрес</w:t>
      </w:r>
      <w:r>
        <w:rPr>
          <w:lang w:val="pl-PL"/>
        </w:rPr>
        <w:t>“ (</w:t>
      </w:r>
      <w:r>
        <w:t>ОВ</w:t>
      </w:r>
      <w:r>
        <w:rPr>
          <w:lang w:val="pl-PL"/>
        </w:rPr>
        <w:t xml:space="preserve"> L 347, 20.12.2013 </w:t>
      </w:r>
      <w:r>
        <w:t>г</w:t>
      </w:r>
      <w:r>
        <w:rPr>
          <w:lang w:val="pl-PL"/>
        </w:rPr>
        <w:t xml:space="preserve">., </w:t>
      </w:r>
      <w:r>
        <w:t>стр</w:t>
      </w:r>
      <w:r>
        <w:rPr>
          <w:lang w:val="pl-PL"/>
        </w:rPr>
        <w:t xml:space="preserve">. 238.). </w:t>
      </w:r>
    </w:p>
  </w:footnote>
  <w:footnote w:id="6">
    <w:p>
      <w:pPr>
        <w:pStyle w:val="FootnoteText"/>
        <w:rPr>
          <w:lang w:val="pl-PL"/>
        </w:rPr>
      </w:pPr>
      <w:r>
        <w:rPr>
          <w:rStyle w:val="FootnoteReference"/>
        </w:rPr>
        <w:footnoteRef/>
      </w:r>
      <w:r>
        <w:tab/>
        <w:t>ОВ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9 13:34: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5DD2DA289211474A92A8DF88457AA66E"/>
    <w:docVar w:name="LW_CROSSREFERENCE" w:val="&lt;UNUSED&gt;"/>
    <w:docVar w:name="LW_DocType" w:val="COM"/>
    <w:docVar w:name="LW_EMISSION" w:val="22.4.2015"/>
    <w:docVar w:name="LW_EMISSION_ISODATE" w:val="2015-04-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9"/>
    <w:docVar w:name="LW_REF.II.NEW.CP_YEAR" w:val="2015"/>
    <w:docVar w:name="LW_REF.INST.NEW" w:val="COM"/>
    <w:docVar w:name="LW_REF.INST.NEW_ADOPTED" w:val="final"/>
    <w:docVar w:name="LW_REF.INST.NEW_TEXT" w:val="(2015) 17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EaSI)"/>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782E-642C-4D17-9A5C-46910AA6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705</Words>
  <Characters>3826</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2014-03-28T09:12:00Z</cp:lastPrinted>
  <dcterms:created xsi:type="dcterms:W3CDTF">2015-03-09T12:34:00Z</dcterms:created>
  <dcterms:modified xsi:type="dcterms:W3CDTF">2015-04-22T10:01:00Z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03)</vt:lpwstr>
  </property>
</Properties>
</file>