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5F86601A6F9A4217A6EAA2798B4F9B44" style="width:450.8pt;height:510.9pt">
            <v:imagedata r:id="rId9" o:title=""/>
          </v:shape>
        </w:pict>
      </w:r>
    </w:p>
    <w:p>
      <w:pPr>
        <w:pStyle w:val="Pagedecouverture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  <w:u w:val="none"/>
        </w:rPr>
      </w:pPr>
      <w:bookmarkStart w:id="0" w:name="_GoBack"/>
      <w:bookmarkEnd w:id="0"/>
      <w:r>
        <w:rPr>
          <w:noProof/>
          <w:u w:val="none"/>
        </w:rPr>
        <w:lastRenderedPageBreak/>
        <w:t>ПРИЛОЖЕНИЕ</w:t>
      </w:r>
      <w:r>
        <w:rPr>
          <w:noProof/>
          <w:u w:val="none"/>
        </w:rPr>
        <w:br/>
      </w:r>
      <w:r>
        <w:rPr>
          <w:noProof/>
          <w:u w:val="none"/>
        </w:rPr>
        <w:br/>
        <w:t>РЕШЕНИЕ НА СЪВМЕСТНИЯ КОМИТЕТ НА ЕИП № …/2015</w:t>
      </w:r>
      <w:r>
        <w:rPr>
          <w:noProof/>
          <w:u w:val="none"/>
        </w:rPr>
        <w:br/>
      </w:r>
      <w:r>
        <w:rPr>
          <w:noProof/>
          <w:u w:val="none"/>
        </w:rPr>
        <w:br/>
        <w:t>от</w:t>
      </w:r>
      <w:r>
        <w:rPr>
          <w:noProof/>
          <w:u w:val="none"/>
        </w:rPr>
        <w:br/>
        <w:t xml:space="preserve"> </w:t>
      </w:r>
      <w:r>
        <w:rPr>
          <w:noProof/>
          <w:u w:val="none"/>
        </w:rPr>
        <w:br/>
        <w:t xml:space="preserve">за изменение на Протокол 31 към Споразумението за ЕИП </w:t>
      </w:r>
      <w:r>
        <w:rPr>
          <w:noProof/>
          <w:u w:val="none"/>
        </w:rPr>
        <w:br/>
        <w:t>относно сътрудничеството в специфични области извън четирите свободи</w:t>
      </w:r>
    </w:p>
    <w:p>
      <w:pPr>
        <w:pStyle w:val="Institutionquiagit"/>
        <w:rPr>
          <w:noProof/>
        </w:rPr>
      </w:pPr>
      <w:r>
        <w:rPr>
          <w:noProof/>
        </w:rPr>
        <w:t>СЪВМЕСТНИЯТ КОМИТЕТ НА ЕИП,</w:t>
      </w:r>
    </w:p>
    <w:p>
      <w:pPr>
        <w:rPr>
          <w:noProof/>
        </w:rPr>
      </w:pPr>
      <w:r>
        <w:rPr>
          <w:noProof/>
        </w:rPr>
        <w:t>като взе предвид Споразумението за Европейското икономическо пространство („Споразумението за ЕИП“), и по-специално членове 86 и 98 от него,</w:t>
      </w:r>
    </w:p>
    <w:p>
      <w:pPr>
        <w:rPr>
          <w:noProof/>
        </w:rPr>
      </w:pPr>
      <w:r>
        <w:rPr>
          <w:noProof/>
        </w:rPr>
        <w:t>като има предвид, че:</w:t>
      </w:r>
    </w:p>
    <w:p>
      <w:pPr>
        <w:pStyle w:val="Considrant"/>
        <w:numPr>
          <w:ilvl w:val="0"/>
          <w:numId w:val="45"/>
        </w:numPr>
        <w:rPr>
          <w:noProof/>
        </w:rPr>
      </w:pPr>
      <w:r>
        <w:rPr>
          <w:noProof/>
        </w:rPr>
        <w:t>Регламент (ЕС) № 1296/2013 на Европейския парламент и на Съвета от 11 декември 2013 г. относно Програма на Европейския съюз за заетост и социални иновации („EaSI“) и за изменение на Решение № 283/2010/ЕС за създаване на Европейски механизъм за микрофинансиране за трудова заетост и социално приобщаване „Прогрес“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беше включен в Споразумението за ЕИП с Решение на Съвместния комитет № 151/2014 от 27 юни 2014 г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>
      <w:pPr>
        <w:pStyle w:val="Considrant"/>
        <w:rPr>
          <w:noProof/>
        </w:rPr>
      </w:pPr>
      <w:r>
        <w:rPr>
          <w:noProof/>
        </w:rPr>
        <w:t>Ограниченото участие на Норвегия в програмата следва да бъде разширено, за да включи и оста „Прогрес“.</w:t>
      </w:r>
    </w:p>
    <w:p>
      <w:pPr>
        <w:pStyle w:val="Considrant"/>
        <w:rPr>
          <w:noProof/>
        </w:rPr>
      </w:pPr>
      <w:r>
        <w:rPr>
          <w:noProof/>
        </w:rPr>
        <w:t>Поради това Протокол 31 към Споразумението за ЕИП следва да се измени, за да се даде възможност това разширено сътрудничество да започне от 1 януари 2015 г.</w:t>
      </w:r>
    </w:p>
    <w:p>
      <w:pPr>
        <w:pStyle w:val="Formuledadoption"/>
        <w:rPr>
          <w:noProof/>
        </w:rPr>
      </w:pPr>
      <w:r>
        <w:rPr>
          <w:noProof/>
        </w:rPr>
        <w:t>ПРИЕ НАСТОЯЩОТО РЕШЕНИЕ:</w:t>
      </w:r>
    </w:p>
    <w:p>
      <w:pPr>
        <w:pStyle w:val="Titrearticle"/>
        <w:rPr>
          <w:noProof/>
        </w:rPr>
      </w:pPr>
      <w:r>
        <w:rPr>
          <w:noProof/>
        </w:rPr>
        <w:t>Член 1</w:t>
      </w:r>
    </w:p>
    <w:p>
      <w:pPr>
        <w:rPr>
          <w:noProof/>
        </w:rPr>
      </w:pPr>
      <w:r>
        <w:rPr>
          <w:noProof/>
        </w:rPr>
        <w:t>В член 15, параграф 8 от Протокол 31 към Споразумението за ЕИП думите „ оста EURES“ се заменят с думите „оси Прогрес и EURES“:</w:t>
      </w:r>
    </w:p>
    <w:p>
      <w:pPr>
        <w:pStyle w:val="Titrearticle"/>
        <w:rPr>
          <w:noProof/>
        </w:rPr>
      </w:pPr>
      <w:r>
        <w:rPr>
          <w:noProof/>
        </w:rPr>
        <w:t>Член 2</w:t>
      </w:r>
    </w:p>
    <w:p>
      <w:pPr>
        <w:rPr>
          <w:noProof/>
        </w:rPr>
      </w:pPr>
      <w:r>
        <w:rPr>
          <w:noProof/>
        </w:rPr>
        <w:t>Настоящото решение влиза в сила в деня след внасянето на последната нотификация, предвидена в член 103, параграф 1 от Споразумението за ЕИП</w:t>
      </w:r>
      <w:r>
        <w:rPr>
          <w:rStyle w:val="FootnoteReference"/>
          <w:noProof/>
        </w:rPr>
        <w:sym w:font="Symbol" w:char="F02A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footnoteReference w:customMarkFollows="1" w:id="3"/>
        <w:t>Прилага се от 01 януари 2015 г.</w:t>
      </w:r>
    </w:p>
    <w:p>
      <w:pPr>
        <w:pStyle w:val="Titrearticle"/>
        <w:rPr>
          <w:noProof/>
        </w:rPr>
      </w:pPr>
      <w:r>
        <w:rPr>
          <w:noProof/>
        </w:rPr>
        <w:t>Член 3</w:t>
      </w:r>
    </w:p>
    <w:p>
      <w:pPr>
        <w:rPr>
          <w:noProof/>
        </w:rPr>
      </w:pPr>
      <w:r>
        <w:rPr>
          <w:noProof/>
        </w:rPr>
        <w:t xml:space="preserve">Настоящото решение се публикува в раздела за ЕИП и в притурката за ЕИП към </w:t>
      </w:r>
      <w:r>
        <w:rPr>
          <w:i/>
          <w:noProof/>
        </w:rPr>
        <w:t>Официален вестник на Европейския съюз</w:t>
      </w:r>
      <w:r>
        <w:rPr>
          <w:noProof/>
        </w:rPr>
        <w:t>.</w:t>
      </w:r>
    </w:p>
    <w:p>
      <w:pPr>
        <w:pStyle w:val="Fait"/>
        <w:rPr>
          <w:noProof/>
        </w:rPr>
      </w:pPr>
      <w:r>
        <w:rPr>
          <w:noProof/>
        </w:rPr>
        <w:lastRenderedPageBreak/>
        <w:t>Съставено в Брюксел на [...] година.</w:t>
      </w:r>
    </w:p>
    <w:p>
      <w:pPr>
        <w:pStyle w:val="Institutionquisigne"/>
        <w:rPr>
          <w:noProof/>
        </w:rPr>
      </w:pPr>
      <w:r>
        <w:rPr>
          <w:noProof/>
        </w:rPr>
        <w:tab/>
        <w:t>За Съвместния комитет на ЕИП:</w:t>
      </w:r>
    </w:p>
    <w:p>
      <w:pPr>
        <w:pStyle w:val="Personnequisigne"/>
        <w:rPr>
          <w:noProof/>
        </w:rPr>
      </w:pPr>
      <w:r>
        <w:rPr>
          <w:noProof/>
        </w:rPr>
        <w:tab/>
        <w:t>Председател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  <w:t>Секретари</w:t>
      </w:r>
      <w:r>
        <w:rPr>
          <w:noProof/>
        </w:rPr>
        <w:br/>
      </w:r>
      <w:r>
        <w:rPr>
          <w:noProof/>
        </w:rPr>
        <w:tab/>
        <w:t>на Съвместния комитет на ЕИП</w:t>
      </w:r>
      <w:r>
        <w:rPr>
          <w:noProof/>
        </w:rPr>
        <w:br/>
      </w:r>
      <w:r>
        <w:rPr>
          <w:noProof/>
        </w:rPr>
        <w:tab/>
      </w: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 xml:space="preserve">ОВ L 347, 20.12.2013 г., стр. 238. 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ОВ L ...</w:t>
      </w:r>
    </w:p>
  </w:footnote>
  <w:footnote w:id="3">
    <w:p>
      <w:pPr>
        <w:pStyle w:val="FootnoteText"/>
      </w:pPr>
      <w:r>
        <w:rPr>
          <w:rStyle w:val="FootnoteReference"/>
        </w:rPr>
        <w:sym w:font="Symbol" w:char="F02A"/>
      </w:r>
      <w:r>
        <w:tab/>
        <w:t>[Без отбелязани конституционни изисквания.] [С отбелязани конституционни изисквания.]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F0C6C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1FAF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89A3D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624E5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CEE4E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E5423A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C709E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46C01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8364B0"/>
    <w:multiLevelType w:val="singleLevel"/>
    <w:tmpl w:val="D084FB54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1D307B2A"/>
    <w:multiLevelType w:val="hybridMultilevel"/>
    <w:tmpl w:val="004A7F40"/>
    <w:lvl w:ilvl="0" w:tplc="0809000F">
      <w:start w:val="1"/>
      <w:numFmt w:val="decimal"/>
      <w:lvlText w:val="%1."/>
      <w:lvlJc w:val="left"/>
      <w:pPr>
        <w:ind w:left="1570" w:hanging="360"/>
      </w:p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>
    <w:nsid w:val="4CDC597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5">
    <w:nsid w:val="7E474D4E"/>
    <w:multiLevelType w:val="singleLevel"/>
    <w:tmpl w:val="1A6608A0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4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4"/>
    <w:lvlOverride w:ilvl="0">
      <w:startOverride w:val="1"/>
    </w:lvlOverride>
  </w:num>
  <w:num w:numId="11">
    <w:abstractNumId w:val="21"/>
  </w:num>
  <w:num w:numId="12">
    <w:abstractNumId w:val="14"/>
  </w:num>
  <w:num w:numId="13">
    <w:abstractNumId w:val="23"/>
  </w:num>
  <w:num w:numId="14">
    <w:abstractNumId w:val="13"/>
  </w:num>
  <w:num w:numId="15">
    <w:abstractNumId w:val="15"/>
  </w:num>
  <w:num w:numId="16">
    <w:abstractNumId w:val="11"/>
  </w:num>
  <w:num w:numId="17">
    <w:abstractNumId w:val="22"/>
  </w:num>
  <w:num w:numId="18">
    <w:abstractNumId w:val="9"/>
  </w:num>
  <w:num w:numId="19">
    <w:abstractNumId w:val="16"/>
  </w:num>
  <w:num w:numId="20">
    <w:abstractNumId w:val="19"/>
  </w:num>
  <w:num w:numId="21">
    <w:abstractNumId w:val="20"/>
  </w:num>
  <w:num w:numId="22">
    <w:abstractNumId w:val="12"/>
  </w:num>
  <w:num w:numId="23">
    <w:abstractNumId w:val="18"/>
  </w:num>
  <w:num w:numId="24">
    <w:abstractNumId w:val="24"/>
  </w:num>
  <w:num w:numId="25">
    <w:abstractNumId w:val="25"/>
  </w:num>
  <w:num w:numId="26">
    <w:abstractNumId w:val="8"/>
  </w:num>
  <w:num w:numId="27">
    <w:abstractNumId w:val="24"/>
  </w:num>
  <w:num w:numId="28">
    <w:abstractNumId w:val="10"/>
  </w:num>
  <w:num w:numId="29">
    <w:abstractNumId w:val="17"/>
  </w:num>
  <w:num w:numId="30">
    <w:abstractNumId w:val="24"/>
  </w:num>
  <w:num w:numId="31">
    <w:abstractNumId w:val="21"/>
  </w:num>
  <w:num w:numId="32">
    <w:abstractNumId w:val="14"/>
  </w:num>
  <w:num w:numId="33">
    <w:abstractNumId w:val="23"/>
  </w:num>
  <w:num w:numId="34">
    <w:abstractNumId w:val="13"/>
  </w:num>
  <w:num w:numId="35">
    <w:abstractNumId w:val="15"/>
  </w:num>
  <w:num w:numId="36">
    <w:abstractNumId w:val="11"/>
  </w:num>
  <w:num w:numId="37">
    <w:abstractNumId w:val="22"/>
  </w:num>
  <w:num w:numId="38">
    <w:abstractNumId w:val="9"/>
  </w:num>
  <w:num w:numId="39">
    <w:abstractNumId w:val="16"/>
  </w:num>
  <w:num w:numId="40">
    <w:abstractNumId w:val="19"/>
  </w:num>
  <w:num w:numId="41">
    <w:abstractNumId w:val="20"/>
  </w:num>
  <w:num w:numId="42">
    <w:abstractNumId w:val="12"/>
  </w:num>
  <w:num w:numId="43">
    <w:abstractNumId w:val="18"/>
  </w:num>
  <w:num w:numId="44">
    <w:abstractNumId w:val="24"/>
  </w:num>
  <w:num w:numId="45">
    <w:abstractNumId w:val="24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hideSpellingErrors/>
  <w:hideGrammaticalErrors/>
  <w:attachedTemplate r:id="rId1"/>
  <w:revisionView w:markup="0"/>
  <w:doNotTrackMoves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</w:compat>
  <w:docVars>
    <w:docVar w:name="COVERPAGE_EXISTS" w:val="True"/>
    <w:docVar w:name="DQCDateTime" w:val="2015-03-09 12:35:1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1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5F86601A6F9A4217A6EAA2798B4F9B44"/>
    <w:docVar w:name="LW_CROSSREFERENCE" w:val="&lt;UNUSED&gt;"/>
    <w:docVar w:name="LW_DocType" w:val="ANNEX"/>
    <w:docVar w:name="LW_EMISSION" w:val="22.4.2015"/>
    <w:docVar w:name="LW_EMISSION_ISODATE" w:val="2015-04-22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87?\u1086?\u1079?\u1080?\u1094?\u1080?\u1103?\u1090?\u1072?, \u1082?\u1086?\u1103?\u1090?\u1086? \u1076?\u1072? \u1073?\u1098?\u1076?\u1077? \u1087?\u1088?\u1080?\u1077?\u1090?\u1072? \u1086?\u1090? \u1080?\u1084?\u1077?\u1090?\u1086? \u1085?\u1072? \u1045?\u1074?\u1088?\u1086?\u1087?\u1077?\u1081?\u1089?\u1082?\u1080?\u1103? \u1089?\u1098?\u1102?\u1079?_x000b_\u1074? \u1088?\u1072?\u1084?\u1082?\u1080?\u1090?\u1077? \u1085?\u1072? \u1057?\u1098?\u1074?\u1084?\u1077?\u1089?\u1090?\u1085?\u1080?\u1103? \u1082?\u1086?\u1084?\u1080?\u1090?\u1077?\u1090? \u1085?\u1072? \u1045?\u1048?\u1055? \u1074?\u1098?\u1074? \u1074?\u1088?\u1098?\u1079?\u1082?\u1072? \u1089? \u1080?\u1079?\u1084?\u1077?\u1085?\u1077?\u1085?\u1080?\u1077? \u1085?\u1072? \u1055?\u1088?\u1086?\u1090?\u1086?\u1082?\u1086?\u1083?&lt;LWCR:NBS&gt;31 \u1082?\u1098?\u1084? \u1057?\u1087?\u1086?\u1088?\u1072?\u1079?\u1091?\u1084?\u1077?\u1085?\u1080?\u1077?\u1090?\u1086? \u1079?\u1072? \u1045?\u1048?\u1055? \u1086?\u1090?\u1085?\u1086?\u1089?\u1085?\u1086? \u1089?\u1098?\u1090?\u1088?\u1091?\u1076?\u1085?\u1080?\u1095?\u1077?\u1089?\u1090?\u1074?\u1086?\u1090?\u1086? \u1074? \u1089?\u1087?\u1077?\u1094?\u1080?\u1092?\u1080?\u1095?\u1085?\u1080? \u1086?\u1073?\u1083?\u1072?\u1089?\u1090?\u1080? \u1080?\u1079?\u1074?\u1098?\u1085? \u1095?\u1077?\u1090?\u1080?\u1088?\u1080?\u1090?\u1077? \u1089?\u1074?\u1086?\u1073?\u1086?\u1076?\u1080?_x000b_(EaSI)_x000b_"/>
    <w:docVar w:name="LW_OBJETACTEPRINCIPAL.CP" w:val="\u1086?\u1090?\u1085?\u1086?\u1089?\u1085?\u1086? \u1087?\u1086?\u1079?\u1080?\u1094?\u1080?\u1103?\u1090?\u1072?, \u1082?\u1086?\u1103?\u1090?\u1086? \u1076?\u1072? \u1073?\u1098?\u1076?\u1077? \u1087?\u1088?\u1080?\u1077?\u1090?\u1072? \u1086?\u1090? \u1080?\u1084?\u1077?\u1090?\u1086? \u1085?\u1072? \u1045?\u1074?\u1088?\u1086?\u1087?\u1077?\u1081?\u1089?\u1082?\u1080?\u1103? \u1089?\u1098?\u1102?\u1079?_x000b_\u1074? \u1088?\u1072?\u1084?\u1082?\u1080?\u1090?\u1077? \u1085?\u1072? \u1057?\u1098?\u1074?\u1084?\u1077?\u1089?\u1090?\u1085?\u1080?\u1103? \u1082?\u1086?\u1084?\u1080?\u1090?\u1077?\u1090? \u1085?\u1072? \u1045?\u1048?\u1055? \u1074?\u1098?\u1074? \u1074?\u1088?\u1098?\u1079?\u1082?\u1072? \u1089? \u1080?\u1079?\u1084?\u1077?\u1085?\u1077?\u1085?\u1080?\u1077? \u1085?\u1072? \u1055?\u1088?\u1086?\u1090?\u1086?\u1082?\u1086?\u1083? 31 \u1082?\u1098?\u1084? \u1057?\u1087?\u1086?\u1088?\u1072?\u1079?\u1091?\u1084?\u1077?\u1085?\u1080?\u1077?\u1090?\u1086? \u1079?\u1072? \u1045?\u1048?\u1055? \u1086?\u1090?\u1085?\u1086?\u1089?\u1085?\u1086? \u1089?\u1098?\u1090?\u1088?\u1091?\u1076?\u1085?\u1080?\u1095?\u1077?\u1089?\u1090?\u1074?\u1086?\u1090?\u1086? \u1074? \u1089?\u1087?\u1077?\u1094?\u1080?\u1092?\u1080?\u1095?\u1085?\u1080? \u1086?\u1073?\u1083?\u1072?\u1089?\u1090?\u1080? \u1080?\u1079?\u1074?\u1098?\u1085? \u1095?\u1077?\u1090?\u1080?\u1088?\u1080?\u1090?\u1077? \u1089?\u1074?\u1086?\u1073?\u1086?\u1076?\u1080?_x000b_(EaSI)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5) 172"/>
    <w:docVar w:name="LW_REF.INTERNE" w:val="&lt;UNUSED&gt;"/>
    <w:docVar w:name="LW_SUPERTITRE" w:val="&lt;UNUSED&gt;"/>
    <w:docVar w:name="LW_TITRE.OBJ" w:val="\u1056?\u1045?\u1064?\u1045?\u1053?\u1048?\u1045? \u1053?\u1040? \u1057?\u1066?\u1042?\u1052?\u1045?\u1057?\u1058?\u1053?\u1048?\u1071? \u1050?\u1054?\u1052?\u1048?\u1058?\u1045?\u1058? \u1053?\u1040? \u1045?\u1048?\u1055? \u8470? \u8230?/2015_x000b_\u1086?\u1090? _x000b_\u1079?\u1072? \u1080?\u1079?\u1084?\u1077?\u1085?\u1077?\u1085?\u1080?\u1077? \u1085?\u1072? \u1055?\u1088?\u1086?\u1090?\u1086?\u1082?\u1086?\u1083? 31 \u1082?\u1098?\u1084? \u1057?\u1087?\u1086?\u1088?\u1072?\u1079?\u1091?\u1084?\u1077?\u1085?\u1080?\u1077?\u1090?\u1086? \u1079?\u1072? \u1045?\u1048?\u1055? _x000b_\u1086?\u1090?\u1085?\u1086?\u1089?\u1085?\u1086? \u1089?\u1098?\u1090?\u1088?\u1091?\u1076?\u1085?\u1080?\u1095?\u1077?\u1089?\u1090?\u1074?\u1086?\u1090?\u1086? \u1074? \u1089?\u1087?\u1077?\u1094?\u1080?\u1092?\u1080?\u1095?\u1085?\u1080? \u1086?\u1073?\u1083?\u1072?\u1089?\u1090?\u1080? \u1080?\u1079?\u1074?\u1098?\u1085? \u1095?\u1077?\u1090?\u1080?\u1088?\u1080?\u1090?\u1077? \u1089?\u1074?\u1086?\u1073?\u1086?\u1076?\u1080?"/>
    <w:docVar w:name="LW_TITRE.OBJ.CP" w:val="\u1056?\u1045?\u1064?\u1045?\u1053?\u1048?\u1045? \u1053?\u1040? \u1057?\u1066?\u1042?\u1052?\u1045?\u1057?\u1058?\u1053?\u1048?\u1071? \u1050?\u1054?\u1052?\u1048?\u1058?\u1045?\u1058? \u1053?\u1040? \u1045?\u1048?\u1055? \u8470? \u8230?/2015_x000b_\u1086?\u1090? _x000b_\u1079?\u1072? \u1080?\u1079?\u1084?\u1077?\u1085?\u1077?\u1085?\u1080?\u1077? \u1085?\u1072? \u1055?\u1088?\u1086?\u1090?\u1086?\u1082?\u1086?\u1083? 31 \u1082?\u1098?\u1084? \u1057?\u1087?\u1086?\u1088?\u1072?\u1079?\u1091?\u1084?\u1077?\u1085?\u1080?\u1077?\u1090?\u1086? \u1079?\u1072? \u1045?\u1048?\u1055? _x000b_\u1086?\u1090?\u1085?\u1086?\u1089?\u1085?\u1086? \u1089?\u1098?\u1090?\u1088?\u1091?\u1076?\u1085?\u1080?\u1095?\u1077?\u1089?\u1090?\u1074?\u1086?\u1090?\u1086? \u1074? \u1089?\u1087?\u1077?\u1094?\u1080?\u1092?\u1080?\u1095?\u1085?\u1080? \u1086?\u1073?\u1083?\u1072?\u1089?\u1090?\u1080? \u1080?\u1079?\u1074?\u1098?\u1085? \u1095?\u1077?\u1090?\u1080?\u1088?\u1080?\u1090?\u1077? \u1089?\u1074?\u1086?\u1073?\u1086?\u1076?\u1080?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87?\u1088?\u1077?\u1076?\u1083?\u1086?\u1078?\u1077?\u1085?\u1080?\u1077? \u1079?\u1072? \u1088?\u1077?\u1096?\u1077?\u1085?\u1080?\u1077? \u1085?\u1072? \u1057?\u1098?\u1074?\u1077?\u1090?\u1072?"/>
    <w:docVar w:name="LW_TYPEACTEPRINCIPAL.CP" w:val="\u1087?\u1088?\u1077?\u1076?\u1083?\u1086?\u1078?\u1077?\u1085?\u1080?\u1077? \u1079?\u1072? \u1088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Dash3">
    <w:name w:val="List Dash 3"/>
    <w:basedOn w:val="Normal"/>
    <w:pPr>
      <w:numPr>
        <w:numId w:val="26"/>
      </w:numPr>
    </w:pPr>
    <w:rPr>
      <w:rFonts w:eastAsia="Times New Roman"/>
      <w:szCs w:val="24"/>
    </w:rPr>
  </w:style>
  <w:style w:type="character" w:customStyle="1" w:styleId="Point0Char">
    <w:name w:val="Point 0 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1"/>
      </w:numPr>
    </w:pPr>
  </w:style>
  <w:style w:type="paragraph" w:customStyle="1" w:styleId="Tiret1">
    <w:name w:val="Tiret 1"/>
    <w:basedOn w:val="Point1"/>
    <w:pPr>
      <w:numPr>
        <w:numId w:val="32"/>
      </w:numPr>
    </w:pPr>
  </w:style>
  <w:style w:type="paragraph" w:customStyle="1" w:styleId="Tiret2">
    <w:name w:val="Tiret 2"/>
    <w:basedOn w:val="Point2"/>
    <w:pPr>
      <w:numPr>
        <w:numId w:val="33"/>
      </w:numPr>
    </w:pPr>
  </w:style>
  <w:style w:type="paragraph" w:customStyle="1" w:styleId="Tiret3">
    <w:name w:val="Tiret 3"/>
    <w:basedOn w:val="Point3"/>
    <w:pPr>
      <w:numPr>
        <w:numId w:val="34"/>
      </w:numPr>
    </w:pPr>
  </w:style>
  <w:style w:type="paragraph" w:customStyle="1" w:styleId="Tiret4">
    <w:name w:val="Tiret 4"/>
    <w:basedOn w:val="Point4"/>
    <w:pPr>
      <w:numPr>
        <w:numId w:val="3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8"/>
      </w:numPr>
    </w:pPr>
  </w:style>
  <w:style w:type="paragraph" w:customStyle="1" w:styleId="Point1number">
    <w:name w:val="Point 1 (number)"/>
    <w:basedOn w:val="Normal"/>
    <w:pPr>
      <w:numPr>
        <w:ilvl w:val="2"/>
        <w:numId w:val="38"/>
      </w:numPr>
    </w:pPr>
  </w:style>
  <w:style w:type="paragraph" w:customStyle="1" w:styleId="Point2number">
    <w:name w:val="Point 2 (number)"/>
    <w:basedOn w:val="Normal"/>
    <w:pPr>
      <w:numPr>
        <w:ilvl w:val="4"/>
        <w:numId w:val="38"/>
      </w:numPr>
    </w:pPr>
  </w:style>
  <w:style w:type="paragraph" w:customStyle="1" w:styleId="Point3number">
    <w:name w:val="Point 3 (number)"/>
    <w:basedOn w:val="Normal"/>
    <w:pPr>
      <w:numPr>
        <w:ilvl w:val="6"/>
        <w:numId w:val="38"/>
      </w:numPr>
    </w:pPr>
  </w:style>
  <w:style w:type="paragraph" w:customStyle="1" w:styleId="Point0letter">
    <w:name w:val="Point 0 (letter)"/>
    <w:basedOn w:val="Normal"/>
    <w:pPr>
      <w:numPr>
        <w:ilvl w:val="1"/>
        <w:numId w:val="38"/>
      </w:numPr>
    </w:pPr>
  </w:style>
  <w:style w:type="paragraph" w:customStyle="1" w:styleId="Point1letter">
    <w:name w:val="Point 1 (letter)"/>
    <w:basedOn w:val="Normal"/>
    <w:pPr>
      <w:numPr>
        <w:ilvl w:val="3"/>
        <w:numId w:val="38"/>
      </w:numPr>
    </w:pPr>
  </w:style>
  <w:style w:type="paragraph" w:customStyle="1" w:styleId="Point2letter">
    <w:name w:val="Point 2 (letter)"/>
    <w:basedOn w:val="Normal"/>
    <w:pPr>
      <w:numPr>
        <w:ilvl w:val="5"/>
        <w:numId w:val="38"/>
      </w:numPr>
    </w:pPr>
  </w:style>
  <w:style w:type="paragraph" w:customStyle="1" w:styleId="Point3letter">
    <w:name w:val="Point 3 (letter)"/>
    <w:basedOn w:val="Normal"/>
    <w:pPr>
      <w:numPr>
        <w:ilvl w:val="7"/>
        <w:numId w:val="38"/>
      </w:numPr>
    </w:pPr>
  </w:style>
  <w:style w:type="paragraph" w:customStyle="1" w:styleId="Point4letter">
    <w:name w:val="Point 4 (letter)"/>
    <w:basedOn w:val="Normal"/>
    <w:pPr>
      <w:numPr>
        <w:ilvl w:val="8"/>
        <w:numId w:val="38"/>
      </w:numPr>
    </w:pPr>
  </w:style>
  <w:style w:type="paragraph" w:customStyle="1" w:styleId="Bullet0">
    <w:name w:val="Bullet 0"/>
    <w:basedOn w:val="Normal"/>
    <w:pPr>
      <w:numPr>
        <w:numId w:val="39"/>
      </w:numPr>
    </w:pPr>
  </w:style>
  <w:style w:type="paragraph" w:customStyle="1" w:styleId="Bullet1">
    <w:name w:val="Bullet 1"/>
    <w:basedOn w:val="Normal"/>
    <w:pPr>
      <w:numPr>
        <w:numId w:val="40"/>
      </w:numPr>
    </w:pPr>
  </w:style>
  <w:style w:type="paragraph" w:customStyle="1" w:styleId="Bullet2">
    <w:name w:val="Bullet 2"/>
    <w:basedOn w:val="Normal"/>
    <w:pPr>
      <w:numPr>
        <w:numId w:val="41"/>
      </w:numPr>
    </w:pPr>
  </w:style>
  <w:style w:type="paragraph" w:customStyle="1" w:styleId="Bullet3">
    <w:name w:val="Bullet 3"/>
    <w:basedOn w:val="Normal"/>
    <w:pPr>
      <w:numPr>
        <w:numId w:val="42"/>
      </w:numPr>
    </w:pPr>
  </w:style>
  <w:style w:type="paragraph" w:customStyle="1" w:styleId="Bullet4">
    <w:name w:val="Bullet 4"/>
    <w:basedOn w:val="Normal"/>
    <w:pPr>
      <w:numPr>
        <w:numId w:val="43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CBCB-9D7C-4256-B855-2BB1527C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3</Pages>
  <Words>266</Words>
  <Characters>1380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RIBEIRO MIRANDA (EEAS)</dc:creator>
  <cp:keywords/>
  <cp:lastModifiedBy>DIGIT/A3</cp:lastModifiedBy>
  <cp:revision>7</cp:revision>
  <cp:lastPrinted>2014-02-26T14:25:00Z</cp:lastPrinted>
  <dcterms:created xsi:type="dcterms:W3CDTF">2015-03-09T11:35:00Z</dcterms:created>
  <dcterms:modified xsi:type="dcterms:W3CDTF">2015-04-22T10:03:00Z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5.8.3, Build 20130911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_NewReviewCycle">
    <vt:lpwstr/>
  </property>
  <property fmtid="{D5CDD505-2E9C-101B-9397-08002B2CF9AE}" pid="13" name="DQCStatus">
    <vt:lpwstr>Yellow (DQC version 03)</vt:lpwstr>
  </property>
</Properties>
</file>