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54B7B71A9F54C439F53F7110487C94E" style="width:450.35pt;height:321.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b/>
          <w:noProof/>
          <w:sz w:val="24"/>
          <w:szCs w:val="20"/>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spacing w:before="360" w:after="360" w:line="240" w:lineRule="auto"/>
        <w:jc w:val="center"/>
        <w:rPr>
          <w:rFonts w:ascii="Times New Roman" w:eastAsia="Times New Roman" w:hAnsi="Times New Roman" w:cs="Times New Roman"/>
          <w:b/>
          <w:noProof/>
          <w:sz w:val="24"/>
          <w:szCs w:val="20"/>
        </w:rPr>
      </w:pPr>
      <w:r>
        <w:rPr>
          <w:rFonts w:ascii="Times New Roman" w:hAnsi="Times New Roman"/>
          <w:b/>
          <w:noProof/>
          <w:sz w:val="24"/>
        </w:rPr>
        <w:t>относно доброволната схема за екопроектиране на конзоли за видеоигри</w:t>
      </w:r>
    </w:p>
    <w:p>
      <w:pPr>
        <w:spacing w:before="120" w:after="120" w:line="240" w:lineRule="auto"/>
        <w:ind w:left="850" w:hanging="850"/>
        <w:jc w:val="both"/>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Въведение и правна рамка</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Директива 2009/125/ЕО на Европейския парламент и на Съвета от 21 октомври 2009 г. за създаване на рамка за определяне на изискванията за екодизайн към продукти, свързани с енергопотреблението (Директивата за екопроектирането)</w:t>
      </w:r>
      <w:r>
        <w:rPr>
          <w:rFonts w:ascii="Times New Roman" w:hAnsi="Times New Roman"/>
          <w:noProof/>
          <w:sz w:val="24"/>
          <w:vertAlign w:val="superscript"/>
        </w:rPr>
        <w:footnoteReference w:id="1"/>
      </w:r>
      <w:r>
        <w:rPr>
          <w:rFonts w:ascii="Times New Roman" w:hAnsi="Times New Roman"/>
          <w:noProof/>
          <w:sz w:val="24"/>
        </w:rPr>
        <w:t xml:space="preserve"> осигурява правната рамка за определяне на изисквания за екопроектиране за избрани приоритетни продуктови групи.</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Съгласно член 15, параграф 2, букви а) до в) от Директивата за екопроектирането една приоритетна продуктова група трябва да бъде обхваната или от задължителна мярка за прилагане (т.е. регламент на Комисията), или от мярка за саморегулиране (напр. доброволно споразумение, сключено от отрасъла), ако отговаря на три условия: i) тя е със значителен обем на продажбите, (ii) оказва значително въздействие върху околната среда и iii) притежава значителен потенциал за подобрение.</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Освен това, в съображение 18 от Директивата за екопроектирането се посочва, че приоритетните продуктови групи следва да бъдат по-скоро обект на алтернативни начини за действие, като отраслово саморегулиране или доброволни споразумения, отколкото на задължителни мерки за изпълнение, ако с такова действие е вероятно да се постигнат целите на политиката по-бързо или с по-малки разходи отколкото с въвеждането на задължителни изисквания.</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Доброволните споразумения или други мерки за саморегулиране могат да бъдат разглеждани като алтернатива на мерките за прилагането в контекста на Директивата за екопроектирането, при условие че те отговарят на критериите, формулирани в приложение VIII към Директивата за екопроектирането.</w:t>
      </w:r>
    </w:p>
    <w:p>
      <w:pPr>
        <w:spacing w:before="120" w:after="120" w:line="240" w:lineRule="auto"/>
        <w:ind w:left="850" w:hanging="850"/>
        <w:jc w:val="both"/>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Доброволна схема, предложена от отрасъла за конзоли за видеоигри</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Работният план за 2009—2011 г. по Директивата за екопроектирането включва продуктовата група „звукотехника и оборудване за получаване на изображения“ като притежаваща голям потенциал за икономически ефективното намаляване на емисиите на парникови газове.</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Комисията извърши подготвително проучване за продуктовата група за звук и получаване на изображения, включително конзоли за видеоигри.</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Предварителното проучване</w:t>
      </w:r>
      <w:r>
        <w:rPr>
          <w:rFonts w:ascii="Times New Roman" w:hAnsi="Times New Roman"/>
          <w:noProof/>
          <w:sz w:val="24"/>
          <w:vertAlign w:val="superscript"/>
        </w:rPr>
        <w:footnoteReference w:id="2"/>
      </w:r>
      <w:r>
        <w:rPr>
          <w:rFonts w:ascii="Times New Roman" w:hAnsi="Times New Roman"/>
          <w:noProof/>
          <w:sz w:val="24"/>
        </w:rPr>
        <w:t xml:space="preserve"> потвърди, че тази продуктова група отговаря на критериите, посочени в член 15 от Директивата за екопроектирането. По-конкретно, тя е със значителен обем на продажбите, оказва значително въздействие върху околната среда и притежава значителен потенциал за подобрение. Поради това озвучителната техника и оборудването за получаване на изображения могат да бъдат обхванати от мярка за прилагане или за саморегулиране. </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lastRenderedPageBreak/>
        <w:t>Консумацията на енергия в режим „в готовност“ и режим „изключен“ на устройства за възпроизвеждане на видеозаписи, устройства за видеозапис и прожекционни апарати вече е обхваната по подходящ начин от Регламент № 1275/2008 на Комисията за екопроектиране (така наречения Регламент за режим в готовност). Пазарът на тези продукти вероятно ще намалее през следващите години поради растящото ползване на звукозаписи и видеосъдържание чрез устройства от вида поточно видео (стрийминг) и без информационни носители. Единственият сегмент от този продуктов пазар, който вероятно ще се увеличи през следващите години, е на конзолите за видеоигри.</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Дружества, които участват в пазара на конзоли за видеоигри, предложиха доброволно споразумение, определящо конкретни изисквания за екопроектиране на моделите конзоли за видеоигри, пуснати на пазара на ЕС, които консумират повече от 20 W в активен режим на игра. Доброволната схема беше договорена от подписващите страни през април 2014 г.</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Изчислено е, че ангажиментите, поети от страните, подписали доброволното споразумение, ще доведат до спестяването на 1 TWh енергия през 2020 г., което се равнява на избягването на 0,494 млн. тона емисии</w:t>
      </w:r>
      <w:r>
        <w:rPr>
          <w:rFonts w:ascii="Times New Roman" w:hAnsi="Times New Roman"/>
          <w:noProof/>
          <w:sz w:val="24"/>
          <w:vertAlign w:val="superscript"/>
        </w:rPr>
        <w:footnoteReference w:id="3"/>
      </w:r>
      <w:r>
        <w:rPr>
          <w:rFonts w:ascii="Times New Roman" w:hAnsi="Times New Roman"/>
          <w:noProof/>
          <w:sz w:val="24"/>
        </w:rPr>
        <w:t xml:space="preserve"> на CO</w:t>
      </w:r>
      <w:r>
        <w:rPr>
          <w:rFonts w:ascii="Times New Roman" w:hAnsi="Times New Roman"/>
          <w:noProof/>
          <w:sz w:val="24"/>
          <w:vertAlign w:val="subscript"/>
        </w:rPr>
        <w:t>2</w:t>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Доброволната схема, предложена от отрасъла, беше предмет на пълна оценка от Комисията</w:t>
      </w:r>
      <w:r>
        <w:rPr>
          <w:rFonts w:ascii="Times New Roman" w:hAnsi="Times New Roman"/>
          <w:noProof/>
          <w:sz w:val="24"/>
          <w:vertAlign w:val="superscript"/>
        </w:rPr>
        <w:footnoteReference w:id="4"/>
      </w:r>
      <w:r>
        <w:rPr>
          <w:rFonts w:ascii="Times New Roman" w:hAnsi="Times New Roman"/>
          <w:noProof/>
          <w:sz w:val="24"/>
        </w:rPr>
        <w:t xml:space="preserve"> за нейното въздействие и на консултации със заинтересованите страни по време на Консултативния форум по екопроектиране</w:t>
      </w:r>
      <w:r>
        <w:rPr>
          <w:rFonts w:ascii="Times New Roman" w:hAnsi="Times New Roman"/>
          <w:noProof/>
          <w:sz w:val="24"/>
          <w:vertAlign w:val="superscript"/>
        </w:rPr>
        <w:footnoteReference w:id="5"/>
      </w:r>
      <w:r>
        <w:rPr>
          <w:rFonts w:ascii="Times New Roman" w:hAnsi="Times New Roman"/>
          <w:noProof/>
          <w:sz w:val="24"/>
        </w:rPr>
        <w:t>, учреден съгласно член 18 от Директивата за екопроектирането.</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Заключението от оценката на въздействието е, че предложената доброволна схема ще постигне целите на политиката по-бързо и с по-малко разходи отколкото въвеждането на задължителни изисквания. Заключава се също така, че съгласно приложение VIII към Директивата за екопроектирането при предложената схема са спазени всички разпоредби на Договора (по-конкретно правилата на вътрешния пазар и конкуренцията), международните ангажименти на ЕС (включително многостранните търговски правила), целите на Директивата за екопроектирането и специфичните критерии за оценка, т.е.: i) открит достъп за участие, ii) добавена стойност, iii) представителност, iv) количествени и поетапни цели, v) участие на гражданското общество, vi) мониторинг и докладване, vii) икономическа ефективност на прилагането на инициатива за саморегулиране, viii) устойчивост, и ix) съвместимост на стимулите.</w:t>
      </w:r>
    </w:p>
    <w:p>
      <w:pPr>
        <w:spacing w:before="120" w:after="120" w:line="240" w:lineRule="auto"/>
        <w:ind w:left="850" w:hanging="850"/>
        <w:jc w:val="both"/>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Елементи на доброволното споразумение</w:t>
      </w:r>
    </w:p>
    <w:p>
      <w:pPr>
        <w:tabs>
          <w:tab w:val="left" w:pos="0"/>
        </w:tabs>
        <w:spacing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В доброволното споразумение, сключено от отрасъла, се определят специфични изисквания за екопроектиране за конзолите за видеоигри, пускани на пазара на ЕС. </w:t>
      </w:r>
    </w:p>
    <w:p>
      <w:pPr>
        <w:tabs>
          <w:tab w:val="left" w:pos="0"/>
        </w:tabs>
        <w:spacing w:line="240" w:lineRule="auto"/>
        <w:jc w:val="both"/>
        <w:rPr>
          <w:rFonts w:ascii="Times New Roman" w:eastAsia="Times New Roman" w:hAnsi="Times New Roman" w:cs="Times New Roman"/>
          <w:noProof/>
          <w:sz w:val="24"/>
          <w:szCs w:val="20"/>
        </w:rPr>
      </w:pPr>
      <w:r>
        <w:rPr>
          <w:rFonts w:ascii="Times New Roman" w:hAnsi="Times New Roman"/>
          <w:noProof/>
          <w:sz w:val="24"/>
        </w:rPr>
        <w:t>Както се изисква от Директивата за екопроектиране, подписалите тази доброволна схема представляват голямо мнозинство в съответния икономически сектор. Съгласно споразумението всяка подписала го страна се задължава поне 90 % от всички конзоли за видеоигри, които тя пуска на пазара, да отговарят на приложимите минимални изисквания за енергийна ефективност.</w:t>
      </w:r>
    </w:p>
    <w:p>
      <w:pPr>
        <w:tabs>
          <w:tab w:val="left" w:pos="0"/>
        </w:tabs>
        <w:spacing w:line="240" w:lineRule="auto"/>
        <w:jc w:val="both"/>
        <w:rPr>
          <w:rFonts w:ascii="Times New Roman" w:eastAsia="Times New Roman" w:hAnsi="Times New Roman" w:cs="Times New Roman"/>
          <w:noProof/>
          <w:sz w:val="24"/>
          <w:szCs w:val="20"/>
        </w:rPr>
      </w:pPr>
      <w:r>
        <w:rPr>
          <w:rFonts w:ascii="Times New Roman" w:hAnsi="Times New Roman"/>
          <w:noProof/>
          <w:sz w:val="24"/>
        </w:rPr>
        <w:t>В допълнение към определянето на изисквания за екопроектиране, със споразумението се учредяват два административни органа:</w:t>
      </w:r>
    </w:p>
    <w:p>
      <w:pPr>
        <w:numPr>
          <w:ilvl w:val="0"/>
          <w:numId w:val="1"/>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координационен комитет, състоящ се от представители на подписалите споразумението страни, които го управляват, и наблюдатели — възможно е те да включват представители на Европейската комисия, държавите членки на ЕС, екологични и потребителски организации, и</w:t>
      </w:r>
    </w:p>
    <w:p>
      <w:pPr>
        <w:pStyle w:val="Bullet0"/>
        <w:rPr>
          <w:noProof/>
        </w:rPr>
      </w:pPr>
      <w:r>
        <w:rPr>
          <w:noProof/>
        </w:rPr>
        <w:t>назначен от координационния комитет независим инспектор, който оценява спазването на ангажиментите по споразумението от отделните подписали го страни и представя на Комисията доклади за съответствието</w:t>
      </w:r>
      <w:r>
        <w:rPr>
          <w:noProof/>
          <w:vertAlign w:val="superscript"/>
        </w:rPr>
        <w:footnoteReference w:id="6"/>
      </w:r>
      <w:r>
        <w:rPr>
          <w:noProof/>
        </w:rPr>
        <w:t>.</w:t>
      </w:r>
    </w:p>
    <w:p>
      <w:pPr>
        <w:tabs>
          <w:tab w:val="left" w:pos="0"/>
        </w:tabs>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споразумението също така се определят задължения за докладване, като се посочва, че всяка страна по споразумението трябва да предоставя изискваната информация на независимия инспектор, като в противен случай тя рискува да загуби статута си като такава.</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Освен това в споразумението се предвижда процедура, позволяваща на координационния комитет да изменя разпоредбите на споразумението — по-специално да привежда строгостта на изискванията към положението на пазара.</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С цел на всички заинтересовани страни и особено на потенциалните страни по споразумението, своевременно да се предоставя точна и актуална информация за изискванията, които се отнасят за конзолите за видеоигри, най-новата версия на доброволното споразумение винаги ще бъде публикувана заедно с оценката на въздействието и настоящия доклад в посветения на политиката за екопроектиране раздел на уебсайта Europa</w:t>
      </w:r>
      <w:r>
        <w:rPr>
          <w:rFonts w:ascii="Times New Roman" w:hAnsi="Times New Roman"/>
          <w:noProof/>
          <w:sz w:val="24"/>
          <w:vertAlign w:val="superscript"/>
        </w:rPr>
        <w:footnoteReference w:id="7"/>
      </w:r>
      <w:r>
        <w:rPr>
          <w:rFonts w:ascii="Times New Roman" w:hAnsi="Times New Roman"/>
          <w:noProof/>
          <w:sz w:val="24"/>
        </w:rPr>
        <w:t xml:space="preserve"> на Комисията, както и на специалния уебсайт, посветен на настоящата схема</w:t>
      </w:r>
      <w:r>
        <w:rPr>
          <w:rFonts w:ascii="Times New Roman" w:hAnsi="Times New Roman"/>
          <w:noProof/>
          <w:sz w:val="24"/>
          <w:vertAlign w:val="superscript"/>
        </w:rPr>
        <w:footnoteReference w:id="8"/>
      </w:r>
      <w:r>
        <w:rPr>
          <w:rFonts w:ascii="Times New Roman" w:hAnsi="Times New Roman"/>
          <w:noProof/>
          <w:sz w:val="24"/>
        </w:rPr>
        <w:t>. Този специален уебсайт ще съдържа също така информация относно техническите спецификации и характеристика на всички модели конзоли за видеоигри, предлагани на пазара на ЕС от всички страни, подписали споразумението.</w:t>
      </w:r>
    </w:p>
    <w:p>
      <w:pPr>
        <w:spacing w:before="120" w:after="120" w:line="240" w:lineRule="auto"/>
        <w:ind w:left="850" w:hanging="850"/>
        <w:jc w:val="both"/>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Приемане на доброволната схема</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Тъй като чрез доброволната схема, предложена от отрасъла за конзолите за видеоигри, целите на политиката ще се постигнат по-бързо и с по-малко разходи отколкото чрез задължителни изисквания, и тъй като тя е в съответствие с всички критерии, които са посочени в приложение VIII към Директивата за екопроектирането, Комисията приема пусканите на пазара на ЕС конзоли за видеоигри да подлежат на доброволната схема за екопроектиране, въведена от отрасъла. Условията за схемата са изложени в доброволното споразумение, сключено от отрасъла.</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Комисията счита тази доброволна схема за валидна алтернатива на мярка за прилагане на екопроектиране. Поради това Комисията ще се въздържи от въвеждането на задължителни изисквания за екопроектиране за конзолите за видеоигри, пускани на пазара на ЕС, докато доброволното споразумение и всякакви последващи версии, сключени по предложената доброволна схема, отговарят по мнението на Комисията на целите и общите принципи, определени в Директивата за екопроектирането.</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По-специално, доброволната схема трябва да продължи да бъде в съответствие, през целия период на своето прилагане, с общите принципи, определени в Директивата за екопроектирането, включително: принос за постигане на целите на политиката на Директивата за екопроектирането; откритост за участие на всички дружества с дейност на пазара на конзоли за видеоигри; обхващане на много голяма част от съответния икономически сектор</w:t>
      </w:r>
      <w:r>
        <w:rPr>
          <w:rFonts w:ascii="Times New Roman" w:hAnsi="Times New Roman"/>
          <w:noProof/>
          <w:sz w:val="24"/>
          <w:vertAlign w:val="superscript"/>
        </w:rPr>
        <w:footnoteReference w:id="9"/>
      </w:r>
      <w:r>
        <w:rPr>
          <w:rFonts w:ascii="Times New Roman" w:hAnsi="Times New Roman"/>
          <w:noProof/>
          <w:sz w:val="24"/>
        </w:rPr>
        <w:t xml:space="preserve">; яснота и недвусмисленост на нейните срокове и условия; прозрачност; добре разработена система за мониторинг; и липса на несъразмерна административна тежест. </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Освен това всякакви специфични изисквания за екопроектиране за конзолите за видеоигри, пускани на пазара в ЕС, които са определени в доброволното споразумение и в последващи версии, сключени по доброволната схема, следва да осигуряват добавена стойност по отношение на подобряването на общите екологични показатели на обхванатите продукти.</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Освен това, както се изисква от Комисията и заинтересованите страни, подписалите доброволната схема трябва:</w:t>
      </w:r>
    </w:p>
    <w:p>
      <w:pPr>
        <w:pStyle w:val="Bullet0"/>
        <w:rPr>
          <w:noProof/>
        </w:rPr>
      </w:pPr>
      <w:r>
        <w:rPr>
          <w:noProof/>
        </w:rPr>
        <w:t>да оценяват непрекъснато напредъка в прилагането на схемата,</w:t>
      </w:r>
    </w:p>
    <w:p>
      <w:pPr>
        <w:pStyle w:val="Bullet0"/>
        <w:rPr>
          <w:noProof/>
        </w:rPr>
      </w:pPr>
      <w:r>
        <w:rPr>
          <w:noProof/>
        </w:rPr>
        <w:t>да работят съвместно със службите на Комисията, държавите членки и заинтересованите страни за непрекъснато подобряване на екологичните показатели на конзолите за видеоигри, по-специално чрез постоянно преразглеждане на целевите стойности за консумацията на енергия, определени в доброволното споразумение, както и да включват други важни екологични аспекти, когато е целесъобразно,</w:t>
      </w:r>
    </w:p>
    <w:p>
      <w:pPr>
        <w:pStyle w:val="Bullet0"/>
        <w:rPr>
          <w:noProof/>
        </w:rPr>
      </w:pPr>
      <w:r>
        <w:rPr>
          <w:noProof/>
        </w:rPr>
        <w:t>работят съвместно със службите на Комисията, държавите членки и заинтересованите страни за подобряване на механизма за докладване и на правилата за одит,</w:t>
      </w:r>
    </w:p>
    <w:p>
      <w:pPr>
        <w:pStyle w:val="Bullet0"/>
        <w:rPr>
          <w:noProof/>
        </w:rPr>
      </w:pPr>
      <w:r>
        <w:rPr>
          <w:noProof/>
        </w:rPr>
        <w:t>предоставят съответните данни в предписаните в доброволното споразумение срокове, за да се даде възможност на Комисията и на заинтересованите страни да наблюдават дали се постигат целите на споразумението, като всяка страна по споразумението се ангажира да предоставя информация за всички модели конзоли за видеоигри, които тя пуска на пазара на ЕС, както и информация за консумацията на енергия и за други екологични характеристики, обхванати от доброволното споразумение (напр. изисквания за информация) за всеки модел, който е предмет на доброволното споразумение, и</w:t>
      </w:r>
    </w:p>
    <w:p>
      <w:pPr>
        <w:pStyle w:val="Bullet0"/>
        <w:rPr>
          <w:noProof/>
        </w:rPr>
      </w:pPr>
      <w:r>
        <w:rPr>
          <w:noProof/>
        </w:rPr>
        <w:t>полагат усилия за привличане за активно участие в схемата на потенциални страни по споразумението.</w:t>
      </w:r>
    </w:p>
    <w:p>
      <w:pPr>
        <w:spacing w:before="120" w:after="120" w:line="240" w:lineRule="auto"/>
        <w:ind w:left="850" w:hanging="850"/>
        <w:jc w:val="both"/>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Мониторинг на доброволната схема</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Както се изисква в точка 6 от приложение VIII към Директивата за екопроектирането, Комисията, подпомагана от Консултативния форум по екопроектиране и от комитета, посочен в член 19, параграф 1 от Директивата за екопроектирането, ще наблюдава прилагането на доброволната схема, и по-специално на нейното съответствие с общите принципи, както и на целесъобразността на изискванията за екопроектиране, определени в доброволното споразумение и в последващите версии.</w:t>
      </w:r>
    </w:p>
    <w:p>
      <w:pPr>
        <w:spacing w:before="120" w:after="120" w:line="240" w:lineRule="auto"/>
        <w:jc w:val="both"/>
        <w:rPr>
          <w:rFonts w:ascii="Times New Roman" w:eastAsia="MS Mincho" w:hAnsi="Times New Roman" w:cs="Times New Roman"/>
          <w:noProof/>
          <w:sz w:val="24"/>
          <w:szCs w:val="20"/>
        </w:rPr>
      </w:pPr>
      <w:r>
        <w:rPr>
          <w:rFonts w:ascii="Times New Roman" w:hAnsi="Times New Roman"/>
          <w:noProof/>
          <w:sz w:val="24"/>
        </w:rPr>
        <w:t>Комисията ще обръща специално внимание на спазването на задълженията за докладване и на правилата за мониторинг, определени в Директивата за екопроектирането, в съществуващите насоки на Комисията и в самото споразумение. По-специално, Комисията ще проверява дали разпоредбите на споразумението и тяхното прилагане от подписалите споразумението позволяват на Комисията и на заинтересованите страни (в това число на националните органи) да извършват ефективен мониторинг на резултатността на споразумението и доколко успешно постига то целите си.</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Ако Комисията заключи, че целите и общите принципи на Директивата за екопроектирането, както са отразени в доброволната схема, няма да бъдат изпълнени и/или подписалите доброволната схема няма да постигнат постоянно намаление с течение на времето на целевите стойности за консумацията на енергия и повишат изискванията по несвързани с енергията аспекти съгласно доброволното споразумение или включат, когато това е целесъобразно, нови подходящи екологични аспекти в последващи версии, Комисията ще приеме изисквания за екопроектиране за конзолите за видеоигри чрез задължителна мярка за прилагане.</w:t>
      </w:r>
    </w:p>
    <w:p>
      <w:pPr>
        <w:spacing w:before="120" w:after="120" w:line="240" w:lineRule="auto"/>
        <w:ind w:left="850" w:hanging="850"/>
        <w:jc w:val="both"/>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Заключение</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Доброволната схема за екопроектиране, предложена от отрасъла за конзоли за видеоигри, е в съответствие с всички разпоредби на Договора, международните ангажименти на ЕС и специфичните критерии за оценка, така че съгласно Директивата за екопроектирането тя се счита за валидна.</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Оценката на Комисията показа, че с тази доброволна схема за екопроектиране целите на политиката ще се постигнат по-бързо и с по-малко разходи отколкото с въвеждането на задължителни изисквания.</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Комисията приема, че конзолите за видеоигри, пускани на пазара на ЕС, следва да подлежат на доброволната схема за екопроектиране. Условията за схемата са изложени в доброволното споразумение, сключено от отрасъла.</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Комисията счита тази доброволна схема за валидна алтернатива на въвеждането на мярка по прилагане на екопроектиране, така че засега ще се въздържи да определя задължителни изисквания за екопроектиране за конзолите за видеоигри, пускани на пазара на ЕС.</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Комисията ще извършва постоянен мониторинг на прилагането на доброволната схема. Ако при него се установи, че целите и общите принципи на Директивата за екопроектирането не са изпълнени, Комисията може да въведе изисквания за екопроектиране за конзолите за видеоигри чрез задължителна мярка за прилагане.</w:t>
      </w:r>
    </w:p>
    <w:p>
      <w:pPr>
        <w:rPr>
          <w:noProof/>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4903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ОВ L 285, 31.10.2009 г., стр. 10.</w:t>
      </w:r>
    </w:p>
  </w:footnote>
  <w:footnote w:id="2">
    <w:p>
      <w:pPr>
        <w:pStyle w:val="FootnoteText"/>
      </w:pPr>
      <w:r>
        <w:rPr>
          <w:rStyle w:val="FootnoteReference"/>
        </w:rPr>
        <w:footnoteRef/>
      </w:r>
      <w:r>
        <w:tab/>
        <w:t xml:space="preserve">Предварително проучване на продукти, свързани с енергопотреблението, въз основа на Директивата за екопроектирането, EuP Group Analysis (I) ENTR група 3 „звукотехника и оборудване за получаване на изображения“. Окончателните доклади бяха публикувани през ноември 2010 г. Резултатите от проучването са на разположение на адрес: </w:t>
      </w:r>
      <w:hyperlink r:id="rId1">
        <w:r>
          <w:rPr>
            <w:rStyle w:val="Hyperlink"/>
          </w:rPr>
          <w:t>http://ec.europa.eu/enterprise/policies/sustainable-business/ecodesign/product-groups/sound-imaging/files/lot3-sound-and-image-final_en.pdf</w:t>
        </w:r>
      </w:hyperlink>
    </w:p>
    <w:p>
      <w:pPr>
        <w:pStyle w:val="FootnoteText"/>
      </w:pPr>
    </w:p>
  </w:footnote>
  <w:footnote w:id="3">
    <w:p>
      <w:pPr>
        <w:pStyle w:val="FootnoteText"/>
      </w:pPr>
      <w:r>
        <w:rPr>
          <w:rStyle w:val="FootnoteReference"/>
        </w:rPr>
        <w:footnoteRef/>
      </w:r>
      <w:r>
        <w:t xml:space="preserve"> </w:t>
      </w:r>
      <w:r>
        <w:tab/>
        <w:t>Според насоките на британското Министерство на енергетиката и изменението на климата (DECC) от 2014 г.</w:t>
      </w:r>
    </w:p>
  </w:footnote>
  <w:footnote w:id="4">
    <w:p>
      <w:pPr>
        <w:pStyle w:val="FootnoteText"/>
      </w:pPr>
      <w:r>
        <w:rPr>
          <w:rStyle w:val="FootnoteReference"/>
        </w:rPr>
        <w:footnoteRef/>
      </w:r>
      <w:r>
        <w:tab/>
        <w:t>Комитетът за оценка на въздействието даде своето положително становище относно оценката на въздействието на 27 март 2013 г.</w:t>
      </w:r>
    </w:p>
  </w:footnote>
  <w:footnote w:id="5">
    <w:p>
      <w:pPr>
        <w:pStyle w:val="FootnoteText"/>
      </w:pPr>
      <w:r>
        <w:rPr>
          <w:rStyle w:val="FootnoteReference"/>
        </w:rPr>
        <w:footnoteRef/>
      </w:r>
      <w:r>
        <w:tab/>
        <w:t xml:space="preserve">Доброволната схема за конзоли за видеоигри беше обсъдена от </w:t>
      </w:r>
      <w:r>
        <w:rPr>
          <w:sz w:val="19"/>
          <w:szCs w:val="19"/>
        </w:rPr>
        <w:t>Консултативния форум по екопроектиране</w:t>
      </w:r>
      <w:r>
        <w:t xml:space="preserve"> на 9 ноември 2012 г.</w:t>
      </w:r>
    </w:p>
  </w:footnote>
  <w:footnote w:id="6">
    <w:p>
      <w:pPr>
        <w:pStyle w:val="FootnoteText"/>
      </w:pPr>
      <w:r>
        <w:rPr>
          <w:rStyle w:val="FootnoteReference"/>
        </w:rPr>
        <w:footnoteRef/>
      </w:r>
      <w:r>
        <w:tab/>
        <w:t>Докладите за съответствието се предоставят на заинтересованите страни и се обсъждат с тях.</w:t>
      </w:r>
    </w:p>
  </w:footnote>
  <w:footnote w:id="7">
    <w:p>
      <w:pPr>
        <w:pStyle w:val="FootnoteText"/>
      </w:pPr>
      <w:r>
        <w:rPr>
          <w:rStyle w:val="FootnoteReference"/>
        </w:rPr>
        <w:footnoteRef/>
      </w:r>
      <w:r>
        <w:tab/>
      </w:r>
      <w:hyperlink r:id="rId2">
        <w:r>
          <w:rPr>
            <w:rStyle w:val="Hyperlink"/>
          </w:rPr>
          <w:t>http://ec.europa.eu/energy/efficiency/labelling/agreements_en.htm</w:t>
        </w:r>
      </w:hyperlink>
      <w:r>
        <w:t>.</w:t>
      </w:r>
    </w:p>
  </w:footnote>
  <w:footnote w:id="8">
    <w:p>
      <w:pPr>
        <w:pStyle w:val="FootnoteText"/>
      </w:pPr>
      <w:r>
        <w:rPr>
          <w:rStyle w:val="FootnoteReference"/>
        </w:rPr>
        <w:footnoteRef/>
      </w:r>
      <w:r>
        <w:tab/>
      </w:r>
      <w:hyperlink r:id="rId3">
        <w:r>
          <w:rPr>
            <w:rStyle w:val="Hyperlink"/>
          </w:rPr>
          <w:t>www.xxx.eu</w:t>
        </w:r>
      </w:hyperlink>
      <w:r>
        <w:t xml:space="preserve"> </w:t>
      </w:r>
    </w:p>
  </w:footnote>
  <w:footnote w:id="9">
    <w:p>
      <w:pPr>
        <w:pStyle w:val="FootnoteText"/>
      </w:pPr>
      <w:r>
        <w:rPr>
          <w:rStyle w:val="FootnoteReference"/>
        </w:rPr>
        <w:footnoteRef/>
      </w:r>
      <w:r>
        <w:tab/>
        <w:t>Поне 70 % от продуктите, пускани на пазара.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54B7B71A9F54C439F53F7110487C94E"/>
    <w:docVar w:name="LW_CROSSREFERENCE" w:val="{SWD(2015) 88 final}_x000b_{SWD(2015) 89 final}"/>
    <w:docVar w:name="LW_DocType" w:val="NORMAL"/>
    <w:docVar w:name="LW_EMISSION" w:val="22.4.2015"/>
    <w:docVar w:name="LW_EMISSION_ISODATE" w:val="2015-04-22"/>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178"/>
    <w:docVar w:name="LW_REF.INTERNE" w:val="&lt;UNUSED&gt;"/>
    <w:docVar w:name="LW_SOUS.TITRE.OBJ.CP" w:val="&lt;UNUSED&gt;"/>
    <w:docVar w:name="LW_SUPERTITRE" w:val="&lt;UNUSED&gt;"/>
    <w:docVar w:name="LW_TITRE.OBJ.CP" w:val="\u1086?\u1090?\u1085?\u1086?\u1089?\u1085?\u1086? \u1076?\u1086?\u1073?\u1088?\u1086?\u1074?\u1086?\u1083?\u1085?\u1072?\u1090?\u1072? \u1089?\u1093?\u1077?\u1084?\u1072? \u1079?\u1072? \u1077?\u1082?\u1086?\u1087?\u1088?\u1086?\u1077?\u1082?\u1090?\u1080?\u1088?\u1072?\u1085?\u1077? \u1085?\u1072? \u1082?\u1086?\u1085?\u1079?\u1086?\u1083?\u1080? \u1079?\u1072? \u1074?\u1080?\u1076?\u1077?\u1086?\u1080?\u1075?\u1088?\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uiPriority w:val="99"/>
    <w:rPr>
      <w:color w:val="0000FF"/>
      <w:u w:val="single"/>
    </w:rPr>
  </w:style>
  <w:style w:type="character" w:styleId="FootnoteReference">
    <w:name w:val="footnote reference"/>
    <w:uiPriority w:val="99"/>
    <w:semiHidden/>
    <w:unhideWhenUsed/>
    <w:rPr>
      <w:shd w:val="clear" w:color="auto" w:fill="auto"/>
      <w:vertAlign w:val="superscript"/>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uiPriority w:val="99"/>
    <w:rPr>
      <w:color w:val="0000FF"/>
      <w:u w:val="single"/>
    </w:rPr>
  </w:style>
  <w:style w:type="character" w:styleId="FootnoteReference">
    <w:name w:val="footnote reference"/>
    <w:uiPriority w:val="99"/>
    <w:semiHidden/>
    <w:unhideWhenUsed/>
    <w:rPr>
      <w:shd w:val="clear" w:color="auto" w:fill="auto"/>
      <w:vertAlign w:val="superscript"/>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xxx.eu/" TargetMode="External"/><Relationship Id="rId2" Type="http://schemas.openxmlformats.org/officeDocument/2006/relationships/hyperlink" Target="http://ec.europa.eu/energy/efficiency/labelling/agreements_en.htm" TargetMode="External"/><Relationship Id="rId1" Type="http://schemas.openxmlformats.org/officeDocument/2006/relationships/hyperlink" Target="http://ec.europa.eu/enterprise/policies/sustainable-business/ecodesign/product-groups/sound-imaging/files/lot3-sound-and-image-final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1842</Words>
  <Characters>11629</Characters>
  <Application>Microsoft Office Word</Application>
  <DocSecurity>0</DocSecurity>
  <Lines>197</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2015-02-23T08:52:00Z</cp:lastPrinted>
  <dcterms:created xsi:type="dcterms:W3CDTF">2015-02-23T08:52:00Z</dcterms:created>
  <dcterms:modified xsi:type="dcterms:W3CDTF">2015-04-15T13:38:00Z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