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70" w:rsidRPr="009F76F5" w:rsidRDefault="00C96075" w:rsidP="009F76F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a33849e-cb8c-43ad-895a-1a5f5b69eb1a" style="width:568.5pt;height:373.1pt">
            <v:imagedata r:id="rId9" o:title=""/>
          </v:shape>
        </w:pict>
      </w:r>
      <w:bookmarkEnd w:id="0"/>
    </w:p>
    <w:p w:rsidR="008B69E4" w:rsidRPr="00DC5BB6" w:rsidRDefault="008B69E4" w:rsidP="008B69E4">
      <w:pPr>
        <w:pStyle w:val="TechnicalBlock"/>
        <w:ind w:left="-1134" w:right="-1134"/>
        <w:sectPr w:rsidR="008B69E4" w:rsidRPr="00DC5BB6" w:rsidSect="00C96075">
          <w:footerReference w:type="default" r:id="rId10"/>
          <w:footerReference w:type="first" r:id="rId11"/>
          <w:pgSz w:w="11907" w:h="16840" w:code="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651E76" w:rsidRPr="00DC5BB6" w:rsidRDefault="00D337DF" w:rsidP="00D337DF">
      <w:pPr>
        <w:pStyle w:val="HeadingIVX"/>
        <w:numPr>
          <w:ilvl w:val="0"/>
          <w:numId w:val="42"/>
        </w:numPr>
        <w:spacing w:before="0" w:after="0"/>
      </w:pPr>
      <w:r w:rsidRPr="00DC5BB6">
        <w:lastRenderedPageBreak/>
        <w:t>ВЪВЕДЕНИЕ</w:t>
      </w:r>
    </w:p>
    <w:p w:rsidR="00651E76" w:rsidRPr="00DC5BB6" w:rsidRDefault="00651E76" w:rsidP="00BD00D6">
      <w:pPr>
        <w:widowControl w:val="0"/>
        <w:tabs>
          <w:tab w:val="left" w:pos="1560"/>
        </w:tabs>
        <w:suppressAutoHyphens/>
        <w:ind w:left="601" w:hanging="601"/>
      </w:pPr>
      <w:r w:rsidRPr="00DC5BB6">
        <w:t>На 7 февруари 2013 г. Комисията представи пакет от две законодателни предложения:</w:t>
      </w:r>
    </w:p>
    <w:p w:rsidR="00651E76" w:rsidRPr="00DC5BB6" w:rsidRDefault="00651E76" w:rsidP="004934D9">
      <w:pPr>
        <w:widowControl w:val="0"/>
        <w:tabs>
          <w:tab w:val="num" w:pos="1560"/>
        </w:tabs>
        <w:suppressAutoHyphens/>
        <w:ind w:left="1134" w:hanging="567"/>
      </w:pPr>
      <w:r w:rsidRPr="00DC5BB6">
        <w:t>—</w:t>
      </w:r>
      <w:r w:rsidRPr="00DC5BB6">
        <w:tab/>
        <w:t>предложение за директива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(„Директива срещу изпирането на пари“)</w:t>
      </w:r>
      <w:r w:rsidRPr="00DC5BB6">
        <w:rPr>
          <w:rStyle w:val="FootnoteReference"/>
        </w:rPr>
        <w:footnoteReference w:id="1"/>
      </w:r>
      <w:r w:rsidRPr="00DC5BB6">
        <w:t>;</w:t>
      </w:r>
    </w:p>
    <w:p w:rsidR="00651E76" w:rsidRPr="00DC5BB6" w:rsidRDefault="00651E76" w:rsidP="004934D9">
      <w:pPr>
        <w:widowControl w:val="0"/>
        <w:tabs>
          <w:tab w:val="num" w:pos="1560"/>
        </w:tabs>
        <w:suppressAutoHyphens/>
        <w:ind w:left="1134" w:hanging="567"/>
      </w:pPr>
      <w:r w:rsidRPr="00DC5BB6">
        <w:t>—</w:t>
      </w:r>
      <w:r w:rsidRPr="00DC5BB6">
        <w:tab/>
        <w:t>предложение за регламент на Европейския парламент и на Съвета относно информацията, придружаваща паричните преводи („Регламент срещу изпирането на пари“)</w:t>
      </w:r>
      <w:r w:rsidRPr="00DC5BB6">
        <w:rPr>
          <w:vertAlign w:val="superscript"/>
        </w:rPr>
        <w:footnoteReference w:id="2"/>
      </w:r>
      <w:r w:rsidRPr="00DC5BB6">
        <w:t>.</w:t>
      </w:r>
    </w:p>
    <w:p w:rsidR="00F17170" w:rsidRPr="00DC5BB6" w:rsidRDefault="00651E76" w:rsidP="00BD00D6">
      <w:pPr>
        <w:widowControl w:val="0"/>
        <w:rPr>
          <w:szCs w:val="20"/>
        </w:rPr>
      </w:pPr>
      <w:r w:rsidRPr="00DC5BB6">
        <w:rPr>
          <w:u w:val="single"/>
        </w:rPr>
        <w:t>Европейският парламент</w:t>
      </w:r>
      <w:r w:rsidRPr="00DC5BB6">
        <w:t xml:space="preserve"> прие позицията си на първо четене на пленарното си заседание от 11 март 2014 г.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 xml:space="preserve">Предложенията за регламент и директива бяха разгледани на двадесет и четири заседания на </w:t>
      </w:r>
      <w:r w:rsidRPr="00DC5BB6">
        <w:rPr>
          <w:u w:val="single"/>
        </w:rPr>
        <w:t>работна група „Финансови услуги“</w:t>
      </w:r>
      <w:r w:rsidRPr="00DC5BB6">
        <w:t xml:space="preserve"> в рамките на различни председателства.</w:t>
      </w:r>
    </w:p>
    <w:p w:rsidR="00F17170" w:rsidRPr="00DC5BB6" w:rsidRDefault="00651E76" w:rsidP="00BD00D6">
      <w:pPr>
        <w:widowControl w:val="0"/>
        <w:rPr>
          <w:szCs w:val="20"/>
        </w:rPr>
      </w:pPr>
      <w:r w:rsidRPr="00DC5BB6">
        <w:t>През декември 2014 г. беше постигнат окончателен компромис с Европейския парламент и по регламента, и по директивата, което даде възможност за приключване на преговорите по двете досиета. По време на тристранната среща от 16 декември 2014 г. беше постигнато предварително споразумение между двата законодателни органа с оглед на постигането на бързо споразумение на второ четене.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>На 27 януари 2015 г. комисиите на Европейския парламент по икономически и парични въпроси (ECON) и по граждански свободи, правосъдие и вътрешни работи (LIBE) одобриха резултата, постигнат в рамките на тристранните преговори. На 29 януари 2015 г. председателите на посочените комисии изпратиха писмо до председателството, в което се посочва, че ако Съветът предаде официално на Парламента своята позиция във вида, в който е представена в приложението към това писмо, председателите ще препоръчат позицията на Съвета да бъде приета без изменения на пленарното заседание</w:t>
      </w:r>
      <w:r w:rsidRPr="00DC5BB6">
        <w:rPr>
          <w:rStyle w:val="FootnoteReference"/>
        </w:rPr>
        <w:footnoteReference w:id="3"/>
      </w:r>
      <w:r w:rsidRPr="00DC5BB6">
        <w:t>.</w:t>
      </w:r>
    </w:p>
    <w:p w:rsidR="00651E76" w:rsidRPr="00DC5BB6" w:rsidRDefault="0076613A" w:rsidP="009F76F5">
      <w:pPr>
        <w:widowControl w:val="0"/>
        <w:spacing w:line="340" w:lineRule="exact"/>
        <w:rPr>
          <w:szCs w:val="20"/>
        </w:rPr>
      </w:pPr>
      <w:r w:rsidRPr="00DC5BB6">
        <w:br w:type="page"/>
      </w:r>
      <w:r w:rsidRPr="00DC5BB6">
        <w:lastRenderedPageBreak/>
        <w:t xml:space="preserve">На 10 февруари 2015 г. </w:t>
      </w:r>
      <w:r w:rsidRPr="00DC5BB6">
        <w:rPr>
          <w:u w:val="single"/>
        </w:rPr>
        <w:t>Съветът</w:t>
      </w:r>
      <w:r w:rsidRPr="00DC5BB6">
        <w:t xml:space="preserve"> постигна политическо споразумение по преработените текстове.</w:t>
      </w:r>
    </w:p>
    <w:p w:rsidR="00F17170" w:rsidRPr="00DC5BB6" w:rsidRDefault="00651E76" w:rsidP="009F76F5">
      <w:pPr>
        <w:spacing w:line="340" w:lineRule="exact"/>
        <w:rPr>
          <w:szCs w:val="20"/>
        </w:rPr>
      </w:pPr>
      <w:r w:rsidRPr="00DC5BB6">
        <w:t>Като взе предвид посоченото по-горе споразумение и след редакция на текстовете от юрист-лингвистите, Съветът прие позицията си на първо четене на 20 април 2015 г. в съответствие с обикновената законодателна процедура, предвидена в член 294 от Договора за функционирането на Европейския съюз (ДФЕС).</w:t>
      </w:r>
    </w:p>
    <w:p w:rsidR="00651E76" w:rsidRPr="00DC5BB6" w:rsidRDefault="00651E76" w:rsidP="009F76F5">
      <w:pPr>
        <w:spacing w:line="340" w:lineRule="exact"/>
        <w:rPr>
          <w:bCs/>
        </w:rPr>
      </w:pPr>
      <w:r w:rsidRPr="00DC5BB6">
        <w:t>Директивата и регламентът срещу изпирането на пари бяха разглеждани като единен пакет и от трите институции. Поради тази причина Съветът прие едно и също изложение на мотивите за двата акта.</w:t>
      </w:r>
    </w:p>
    <w:p w:rsidR="00651E76" w:rsidRPr="00DC5BB6" w:rsidRDefault="00651E76" w:rsidP="009F76F5">
      <w:pPr>
        <w:widowControl w:val="0"/>
        <w:spacing w:line="340" w:lineRule="exact"/>
        <w:rPr>
          <w:szCs w:val="20"/>
        </w:rPr>
      </w:pPr>
    </w:p>
    <w:p w:rsidR="00651E76" w:rsidRPr="00DC5BB6" w:rsidRDefault="00D337DF" w:rsidP="009F76F5">
      <w:pPr>
        <w:pStyle w:val="HeadingIVX"/>
        <w:spacing w:before="0" w:after="0" w:line="340" w:lineRule="exact"/>
      </w:pPr>
      <w:r w:rsidRPr="00DC5BB6">
        <w:t>ЦЕЛ</w:t>
      </w:r>
    </w:p>
    <w:p w:rsidR="00651E76" w:rsidRPr="00DC5BB6" w:rsidRDefault="00651E76" w:rsidP="009F76F5">
      <w:pPr>
        <w:widowControl w:val="0"/>
        <w:spacing w:line="340" w:lineRule="exact"/>
        <w:rPr>
          <w:szCs w:val="20"/>
        </w:rPr>
      </w:pPr>
      <w:r w:rsidRPr="00DC5BB6">
        <w:t>Предложението за директива срещу изпирането на пари беше прието от Комисията, за да актуализира и подобри действащата трета директива срещу изпирането на пари, с цел да се засили защитата на ЕС срещу изпирането на пари и финансирането на тероризма и да се гарантират надеждността, целостта и стабилността на финансовата система. Основните цели на предложените мерки са: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защита на интересите на обществеността от престъпна дейност и терористични актове;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подпомагане на финансовата стабилност чрез защитата на надеждността, правилното функциониране и целостта на финансовата система;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запазване на икономическия просперитет на Европейския съюз чрез осигуряване на ефикасна стопанска среда; както и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укрепване на вътрешния пазар чрез опростяване на процедурите при трансгранични операции.</w:t>
      </w:r>
    </w:p>
    <w:p w:rsidR="00651E76" w:rsidRPr="00DC5BB6" w:rsidRDefault="00651E76" w:rsidP="009F76F5">
      <w:pPr>
        <w:widowControl w:val="0"/>
        <w:spacing w:line="340" w:lineRule="exact"/>
        <w:rPr>
          <w:szCs w:val="20"/>
        </w:rPr>
      </w:pPr>
      <w:r w:rsidRPr="00DC5BB6">
        <w:t>Тези цели ще бъдат постигнати чрез: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осигуряване на съгласуваност между подходите, прилагани на европейско и международно равнище — по-специално постигане на съответствие с последните препоръки (от февруари 2012 г) на Специалната група за финансови действия (FATF);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осигуряване на съгласуваност между националните правила, както и гъвкавост при прилагането им; и</w:t>
      </w:r>
    </w:p>
    <w:p w:rsidR="00651E76" w:rsidRPr="00DC5BB6" w:rsidRDefault="00651E76" w:rsidP="009F76F5">
      <w:pPr>
        <w:widowControl w:val="0"/>
        <w:numPr>
          <w:ilvl w:val="0"/>
          <w:numId w:val="21"/>
        </w:numPr>
        <w:tabs>
          <w:tab w:val="left" w:pos="851"/>
        </w:tabs>
        <w:spacing w:before="0" w:line="340" w:lineRule="exact"/>
        <w:ind w:left="851" w:hanging="284"/>
        <w:rPr>
          <w:szCs w:val="20"/>
        </w:rPr>
      </w:pPr>
      <w:r w:rsidRPr="00DC5BB6">
        <w:t>гарантиране, че правилата отчитат риска и са съобразени с нововъзникващите заплахи.</w:t>
      </w:r>
    </w:p>
    <w:p w:rsidR="00651E76" w:rsidRPr="00DC5BB6" w:rsidRDefault="0076613A" w:rsidP="00BD00D6">
      <w:pPr>
        <w:widowControl w:val="0"/>
        <w:tabs>
          <w:tab w:val="left" w:pos="851"/>
        </w:tabs>
        <w:rPr>
          <w:szCs w:val="20"/>
        </w:rPr>
      </w:pPr>
      <w:r w:rsidRPr="00DC5BB6">
        <w:br w:type="page"/>
      </w:r>
      <w:r w:rsidRPr="00DC5BB6">
        <w:lastRenderedPageBreak/>
        <w:t>Целта на регламента срещу изпирането на пари, който беше приет едновременно с директивата срещу изпирането на пари, е да се актуализира и преработи действащият регламент срещу изпирането на пари така, че да се увеличи проследимостта на плащанията и да се гарантира, че рамката на ЕС остава в пълно съответствие с международните стандарти (препоръките на FATF).</w:t>
      </w:r>
    </w:p>
    <w:p w:rsidR="00651E76" w:rsidRPr="00DC5BB6" w:rsidRDefault="00651E76" w:rsidP="00BD00D6">
      <w:pPr>
        <w:widowControl w:val="0"/>
        <w:tabs>
          <w:tab w:val="left" w:pos="851"/>
        </w:tabs>
        <w:rPr>
          <w:szCs w:val="20"/>
        </w:rPr>
      </w:pPr>
    </w:p>
    <w:p w:rsidR="00651E76" w:rsidRPr="00DC5BB6" w:rsidRDefault="00D337DF" w:rsidP="00D337DF">
      <w:pPr>
        <w:pStyle w:val="HeadingIVX"/>
        <w:spacing w:before="0" w:after="0"/>
      </w:pPr>
      <w:r w:rsidRPr="00DC5BB6">
        <w:t>АНАЛИЗ НА ПОЗИЦИЯТА НА СЪВЕТА НА ПЪРВО ЧЕТЕНЕ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>Внесените от Съвета изменения имат за цел да засилят защитата на ЕС срещу изпирането на пари и финансирането на тероризма, като същевременно се осигури съгласуваност с подхода, прилаган на национално равнище, по-специално с препоръките на FATF. По някои въпроси новите правила на ЕС отиват по-далеч от изискванията на FATF и предоставят допълнителни гаранции.</w:t>
      </w:r>
    </w:p>
    <w:p w:rsidR="00651E76" w:rsidRPr="00DC5BB6" w:rsidRDefault="00651E76" w:rsidP="006063B8">
      <w:pPr>
        <w:widowControl w:val="0"/>
      </w:pPr>
      <w:r w:rsidRPr="00DC5BB6">
        <w:t>По отношение на хазартните услуги, които пораждат по-високи рискове, в директивата се предвижда изискването при сделки на стойност 2000 или повече евро доставчиците на услуги да извършват комплексна проверка. Държавите членки ще имат право да освобождават хазартните услуги, с изключение на казината, от някои или всички изисквания, при строго ограничени и обосновани обстоятелства. Такова освобождаване ще подлежи на подходяща оценка на риска.</w:t>
      </w:r>
    </w:p>
    <w:p w:rsidR="00651E76" w:rsidRPr="00DC5BB6" w:rsidRDefault="00651E76" w:rsidP="00BD00D6">
      <w:pPr>
        <w:widowControl w:val="0"/>
      </w:pPr>
      <w:r w:rsidRPr="00DC5BB6">
        <w:t>Освен това при някои доказани нискорискови обстоятелства и при строги условия за намаляване на риска, държавите членки ще имат право да освобождават продуктите, представляващи електронни пари, от определени мерки за комплексна проверка на клиента.</w:t>
      </w:r>
    </w:p>
    <w:p w:rsidR="00651E76" w:rsidRPr="00DC5BB6" w:rsidRDefault="00651E76" w:rsidP="007309B5">
      <w:pPr>
        <w:widowControl w:val="0"/>
      </w:pPr>
      <w:r w:rsidRPr="00DC5BB6">
        <w:t>В директивата се прилага основан на риска подход с оглед на по-доброто установяване на рисковете. Значението на наднационалния подход към оценката на риска е признато на международно равнище. Поради възможностите на Комисията да направи успешен преглед на конкретни трансгранични заплахи ѝ беше възложена отговорността да координира оценката на рисковете, свързани с изпирането на пари и финансирането на тероризма, които засягат вътрешния пазар и се отнасят до трансграничната дейност.</w:t>
      </w:r>
    </w:p>
    <w:p w:rsidR="00651E76" w:rsidRPr="00DC5BB6" w:rsidRDefault="0076613A" w:rsidP="009F76F5">
      <w:pPr>
        <w:widowControl w:val="0"/>
        <w:spacing w:line="400" w:lineRule="exact"/>
      </w:pPr>
      <w:r w:rsidRPr="00DC5BB6">
        <w:br w:type="page"/>
        <w:t>По отношение на третирането на политически значимите лица в директивата не се прави разграничение между лицата, които изпълняват или са изпълнявали важни функции в страната или в чужбина.</w:t>
      </w:r>
    </w:p>
    <w:p w:rsidR="00651E76" w:rsidRPr="00DC5BB6" w:rsidRDefault="00651E76" w:rsidP="009F76F5">
      <w:pPr>
        <w:widowControl w:val="0"/>
        <w:spacing w:line="400" w:lineRule="exact"/>
        <w:rPr>
          <w:szCs w:val="20"/>
        </w:rPr>
      </w:pPr>
      <w:r w:rsidRPr="00DC5BB6">
        <w:t>В директивата се предвижда информацията относно действителните собственици на корпоративни и други правни субекти да се съхранява в централен регистър във всяка държава членка. Държавите членки, които желаят, могат да използват публичен регистър. Достъп до информацията относно действителните собственици ще се предоставя на компетентните органи и звената за финансово разузнаване, както и на задължените субекти в рамките на извършването на необходимите комплексни проверки. Освен това в директивата се предвижда лицата и организациите, които са в състояние да докажат законен интерес, да получат достъп до следните данни относно действителните собственици: име, месец и година на раждане, гражданство и държава на пребиваване, естество и мащаби на притежаваните права. Що се отнася до компаниите на доверително управление, информацията относно действителните собственици ще се съхранява в централен регистър, когато доверителното управление поражда данъчни последици.</w:t>
      </w:r>
    </w:p>
    <w:p w:rsidR="00651E76" w:rsidRPr="00DC5BB6" w:rsidRDefault="00651E76" w:rsidP="009F76F5">
      <w:pPr>
        <w:widowControl w:val="0"/>
        <w:spacing w:line="400" w:lineRule="exact"/>
      </w:pPr>
      <w:r w:rsidRPr="00DC5BB6">
        <w:t>По отношение на санкциите текстът предвижда максимални административни имуществени санкции на стойност най-малко двойния размер на ползата, извлечена вследствие на нарушението, когато размерът на тази полза може да бъде определен, или най-малко 1 млн. евро. При нарушения с участието на кредитни или финансови институции се предвижда:</w:t>
      </w:r>
    </w:p>
    <w:p w:rsidR="00651E76" w:rsidRPr="00DC5BB6" w:rsidRDefault="00651E76" w:rsidP="009F76F5">
      <w:pPr>
        <w:widowControl w:val="0"/>
        <w:spacing w:before="0" w:line="400" w:lineRule="exact"/>
        <w:ind w:left="567" w:hanging="567"/>
      </w:pPr>
      <w:r w:rsidRPr="00DC5BB6">
        <w:t>—</w:t>
      </w:r>
      <w:r w:rsidRPr="00DC5BB6">
        <w:tab/>
        <w:t>максимална имуществена санкция в размер на най-малко 5 млн. евро или 10% от общия годишен оборот, ако става въпрос за юридическо лице;</w:t>
      </w:r>
    </w:p>
    <w:p w:rsidR="00651E76" w:rsidRPr="00DC5BB6" w:rsidRDefault="00651E76" w:rsidP="009F76F5">
      <w:pPr>
        <w:widowControl w:val="0"/>
        <w:spacing w:before="0" w:line="400" w:lineRule="exact"/>
        <w:ind w:left="567" w:hanging="567"/>
      </w:pPr>
      <w:r w:rsidRPr="00DC5BB6">
        <w:t>—</w:t>
      </w:r>
      <w:r w:rsidRPr="00DC5BB6">
        <w:tab/>
        <w:t>максимална имуществена санкция в размер на най-малко 5 млн. евро, ако става въпрос за физическо лице.</w:t>
      </w:r>
    </w:p>
    <w:p w:rsidR="00651E76" w:rsidRPr="00DC5BB6" w:rsidRDefault="00651E76" w:rsidP="009F76F5">
      <w:pPr>
        <w:widowControl w:val="0"/>
        <w:spacing w:line="400" w:lineRule="exact"/>
      </w:pPr>
      <w:r w:rsidRPr="00DC5BB6">
        <w:t>Разпоредбите на регламента относно санкциите са приведени в съответствие с тези на директивата.</w:t>
      </w:r>
    </w:p>
    <w:p w:rsidR="00651E76" w:rsidRPr="00DC5BB6" w:rsidRDefault="00651E76" w:rsidP="009F76F5">
      <w:pPr>
        <w:widowControl w:val="0"/>
        <w:spacing w:line="400" w:lineRule="exact"/>
      </w:pPr>
      <w:r w:rsidRPr="00DC5BB6">
        <w:t>С цел защита на нормалното функциониране на финансовата система в ЕС и на вътрешния пазар от изпиране на пари и финансиране на тероризма Комисията чрез делегирани актове ще набележи юрисдикциите на трети държави, които имат стратегически слабости в национална си уредба в областта на борбата с изпирането на пари и финансирането на тероризма.</w:t>
      </w:r>
    </w:p>
    <w:p w:rsidR="00651E76" w:rsidRPr="00DC5BB6" w:rsidRDefault="0076613A" w:rsidP="00F43875">
      <w:pPr>
        <w:widowControl w:val="0"/>
      </w:pPr>
      <w:r w:rsidRPr="00DC5BB6">
        <w:br w:type="page"/>
        <w:t>Пълната проследимост на паричните преводи може да се окаже особено важно и ценно средство за предотвратяване, разследване и установяване на изпиране на пари и финансиране на тероризма. Поради това е предвидено изискването паричният превод да се придружава от информация относно получателя.  Съгласно регламента Европейският банков орган, Европейският орган за застраховане и професионално пенсионно осигуряване и Европейският орган за ценни книжа и пазари издават насоки, адресирани до компетентните органи и доставчиците на платежни услуги, относно мерките, които да се предприемат съобразно регламента, в частност по отношение на парични преводи с липсваща или непълна информация за платеца или получателя.</w:t>
      </w:r>
    </w:p>
    <w:p w:rsidR="00651E76" w:rsidRPr="00DC5BB6" w:rsidRDefault="00651E76" w:rsidP="007309B5">
      <w:pPr>
        <w:widowControl w:val="0"/>
      </w:pPr>
      <w:r w:rsidRPr="00DC5BB6">
        <w:t>Освен това и в директивата, и в регламента бяха внесени изменения, които да гарантират, че привеждането в съответствие с препоръките на FATF се извършва при пълно спазване на правото на Съюза, по-специално правото на Съюза в областта на защитата на данните и защитата на основните права.</w:t>
      </w:r>
    </w:p>
    <w:p w:rsidR="00F17170" w:rsidRPr="00DC5BB6" w:rsidRDefault="00651E76" w:rsidP="00BD00D6">
      <w:pPr>
        <w:widowControl w:val="0"/>
        <w:rPr>
          <w:szCs w:val="20"/>
        </w:rPr>
      </w:pPr>
      <w:r w:rsidRPr="00DC5BB6">
        <w:t>Европейският парламент би могъл да приеме тези промени.</w:t>
      </w:r>
    </w:p>
    <w:p w:rsidR="00651E76" w:rsidRPr="00DC5BB6" w:rsidRDefault="00651E76" w:rsidP="00BD00D6">
      <w:pPr>
        <w:widowControl w:val="0"/>
        <w:rPr>
          <w:szCs w:val="20"/>
        </w:rPr>
      </w:pPr>
    </w:p>
    <w:p w:rsidR="00651E76" w:rsidRPr="00DC5BB6" w:rsidRDefault="00D337DF" w:rsidP="00D337DF">
      <w:pPr>
        <w:pStyle w:val="HeadingIVX"/>
        <w:spacing w:before="0" w:after="0"/>
      </w:pPr>
      <w:r w:rsidRPr="00DC5BB6">
        <w:t>ЗАКЛЮЧЕНИЕ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>Позицията на Съвета на първо четене отразява компромиса, постигнат при преговорите между Съвета и Европейския парламент със съдействието на Комисията.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>Този компромис беше потвърден с писмо до председателството от 29 януари 2015 г. от председателите на комисиите на Европейския парламент по икономически и парични въпроси и по граждански свободи, правосъдие и вътрешни работи. Впоследствие компромисът беше одобрен на заседанието на Съвета по общи въпроси от 10 февруари 2015 г. посредством постигането на политическо споразумение.</w:t>
      </w:r>
    </w:p>
    <w:p w:rsidR="00651E76" w:rsidRPr="00DC5BB6" w:rsidRDefault="00651E76" w:rsidP="00BD00D6">
      <w:pPr>
        <w:widowControl w:val="0"/>
        <w:rPr>
          <w:szCs w:val="20"/>
        </w:rPr>
      </w:pPr>
      <w:r w:rsidRPr="00DC5BB6">
        <w:t>Съветът смята, че позицията му на първо четене представлява балансиран пакет, както и че след като бъдат приети, новите директива и регламент ще допринесат значително за борбата срещу изпирането на пари и финансирането на тероризма в Съюза.</w:t>
      </w:r>
    </w:p>
    <w:p w:rsidR="00651E76" w:rsidRPr="00DC5BB6" w:rsidRDefault="00651E76" w:rsidP="00CE72EC">
      <w:pPr>
        <w:pStyle w:val="FinalLine"/>
        <w:spacing w:before="0" w:after="0"/>
      </w:pPr>
    </w:p>
    <w:p w:rsidR="00651E76" w:rsidRPr="00D337DF" w:rsidRDefault="00651E76">
      <w:pPr>
        <w:pStyle w:val="FinalLine"/>
        <w:spacing w:before="0" w:after="0"/>
      </w:pPr>
    </w:p>
    <w:sectPr w:rsidR="00651E76" w:rsidRPr="00D337DF" w:rsidSect="00C96075">
      <w:headerReference w:type="even" r:id="rId12"/>
      <w:headerReference w:type="default" r:id="rId13"/>
      <w:footerReference w:type="even" r:id="rId14"/>
      <w:headerReference w:type="first" r:id="rId15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endnote>
  <w:end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6075" w:rsidRPr="00D94637" w:rsidTr="00C960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6075" w:rsidRPr="00D94637" w:rsidRDefault="00C960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C96075" w:rsidRPr="00B310DC" w:rsidTr="00C960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6075" w:rsidRPr="00AD7BF2" w:rsidRDefault="00C96075" w:rsidP="004F54B2">
          <w:pPr>
            <w:pStyle w:val="FooterText"/>
          </w:pPr>
          <w:r>
            <w:t>5932/2/15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6075" w:rsidRPr="00AD7BF2" w:rsidRDefault="00C960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6075" w:rsidRPr="002511D8" w:rsidRDefault="00C96075" w:rsidP="00D94637">
          <w:pPr>
            <w:pStyle w:val="FooterText"/>
            <w:jc w:val="center"/>
          </w:pPr>
          <w:r>
            <w:t>vb/tg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6075" w:rsidRPr="00B310DC" w:rsidRDefault="00C960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C96075" w:rsidRPr="00D94637" w:rsidTr="00C96075">
      <w:trPr>
        <w:jc w:val="center"/>
      </w:trPr>
      <w:tc>
        <w:tcPr>
          <w:tcW w:w="1774" w:type="pct"/>
          <w:shd w:val="clear" w:color="auto" w:fill="auto"/>
        </w:tcPr>
        <w:p w:rsidR="00C96075" w:rsidRPr="00AD7BF2" w:rsidRDefault="00C960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6075" w:rsidRPr="00AD7BF2" w:rsidRDefault="00C960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96075" w:rsidRPr="00D94637" w:rsidRDefault="00C960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6075" w:rsidRPr="00D94637" w:rsidRDefault="00C960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467531" w:rsidRPr="00C96075" w:rsidRDefault="00C96075" w:rsidP="00C9607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96075" w:rsidRPr="00D94637" w:rsidTr="00C9607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96075" w:rsidRPr="00D94637" w:rsidRDefault="00C9607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96075" w:rsidRPr="00B310DC" w:rsidTr="00C9607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96075" w:rsidRPr="00AD7BF2" w:rsidRDefault="00C96075" w:rsidP="004F54B2">
          <w:pPr>
            <w:pStyle w:val="FooterText"/>
          </w:pPr>
          <w:r>
            <w:t>5932/2/15</w:t>
          </w:r>
          <w:r w:rsidRPr="002511D8">
            <w:t xml:space="preserve"> </w:t>
          </w:r>
          <w:r>
            <w:t>REV 2 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96075" w:rsidRPr="00AD7BF2" w:rsidRDefault="00C9607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96075" w:rsidRPr="002511D8" w:rsidRDefault="00C96075" w:rsidP="00D94637">
          <w:pPr>
            <w:pStyle w:val="FooterText"/>
            <w:jc w:val="center"/>
          </w:pPr>
          <w:r>
            <w:t>vb/tg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96075" w:rsidRPr="00B310DC" w:rsidRDefault="00C9607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C96075" w:rsidRPr="00D94637" w:rsidTr="00C96075">
      <w:trPr>
        <w:jc w:val="center"/>
      </w:trPr>
      <w:tc>
        <w:tcPr>
          <w:tcW w:w="1774" w:type="pct"/>
          <w:shd w:val="clear" w:color="auto" w:fill="auto"/>
        </w:tcPr>
        <w:p w:rsidR="00C96075" w:rsidRPr="00AD7BF2" w:rsidRDefault="00C9607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96075" w:rsidRPr="00AD7BF2" w:rsidRDefault="00C96075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C96075" w:rsidRPr="00D94637" w:rsidRDefault="00C9607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96075" w:rsidRPr="00D94637" w:rsidRDefault="00C9607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00693" w:rsidRPr="00C96075" w:rsidRDefault="00B00693" w:rsidP="00C96075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D" w:rsidRPr="00C96075" w:rsidRDefault="00C96075" w:rsidP="00C9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FE" w:rsidRDefault="008A3BFE" w:rsidP="008A3BFE">
      <w:pPr>
        <w:spacing w:before="0" w:after="0" w:line="240" w:lineRule="auto"/>
      </w:pPr>
      <w:r>
        <w:separator/>
      </w:r>
    </w:p>
  </w:footnote>
  <w:footnote w:type="continuationSeparator" w:id="0">
    <w:p w:rsidR="008A3BFE" w:rsidRDefault="008A3BFE" w:rsidP="008A3BFE">
      <w:pPr>
        <w:spacing w:before="0" w:after="0" w:line="240" w:lineRule="auto"/>
      </w:pPr>
      <w:r>
        <w:continuationSeparator/>
      </w:r>
    </w:p>
  </w:footnote>
  <w:footnote w:id="1">
    <w:p w:rsidR="00651E76" w:rsidRPr="00540440" w:rsidRDefault="00651E76" w:rsidP="00BD00D6">
      <w:pPr>
        <w:pStyle w:val="FootnoteText"/>
      </w:pPr>
      <w:r>
        <w:rPr>
          <w:rStyle w:val="FootnoteReference"/>
        </w:rPr>
        <w:footnoteRef/>
      </w:r>
      <w:r>
        <w:tab/>
        <w:t>Док. 6231/13</w:t>
      </w:r>
    </w:p>
  </w:footnote>
  <w:footnote w:id="2">
    <w:p w:rsidR="00651E76" w:rsidRPr="00540440" w:rsidRDefault="00651E76" w:rsidP="00BD00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Док. 6230/13</w:t>
      </w:r>
    </w:p>
  </w:footnote>
  <w:footnote w:id="3">
    <w:p w:rsidR="00651E76" w:rsidRDefault="00651E76" w:rsidP="00BD00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Док. 5748/15 ADD1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D" w:rsidRPr="00C96075" w:rsidRDefault="00C96075" w:rsidP="00C960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D" w:rsidRPr="00C96075" w:rsidRDefault="00C96075" w:rsidP="00C960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9D" w:rsidRPr="00C96075" w:rsidRDefault="00C96075" w:rsidP="00C960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2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6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7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9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0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2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3">
    <w:nsid w:val="505E7A4A"/>
    <w:multiLevelType w:val="hybridMultilevel"/>
    <w:tmpl w:val="5CBE3A58"/>
    <w:lvl w:ilvl="0" w:tplc="CDA25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6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8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9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20"/>
  </w:num>
  <w:num w:numId="14">
    <w:abstractNumId w:val="16"/>
  </w:num>
  <w:num w:numId="15">
    <w:abstractNumId w:val="12"/>
  </w:num>
  <w:num w:numId="16">
    <w:abstractNumId w:val="8"/>
  </w:num>
  <w:num w:numId="17">
    <w:abstractNumId w:val="14"/>
  </w:num>
  <w:num w:numId="18">
    <w:abstractNumId w:val="2"/>
  </w:num>
  <w:num w:numId="19">
    <w:abstractNumId w:val="19"/>
  </w:num>
  <w:num w:numId="20">
    <w:abstractNumId w:val="4"/>
  </w:num>
  <w:num w:numId="21">
    <w:abstractNumId w:val="13"/>
  </w:num>
  <w:num w:numId="22">
    <w:abstractNumId w:val="15"/>
  </w:num>
  <w:num w:numId="23">
    <w:abstractNumId w:val="10"/>
  </w:num>
  <w:num w:numId="24">
    <w:abstractNumId w:val="9"/>
  </w:num>
  <w:num w:numId="25">
    <w:abstractNumId w:val="11"/>
  </w:num>
  <w:num w:numId="26">
    <w:abstractNumId w:val="7"/>
  </w:num>
  <w:num w:numId="27">
    <w:abstractNumId w:val="1"/>
  </w:num>
  <w:num w:numId="28">
    <w:abstractNumId w:val="6"/>
  </w:num>
  <w:num w:numId="29">
    <w:abstractNumId w:val="5"/>
  </w:num>
  <w:num w:numId="30">
    <w:abstractNumId w:val="3"/>
  </w:num>
  <w:num w:numId="31">
    <w:abstractNumId w:val="17"/>
  </w:num>
  <w:num w:numId="32">
    <w:abstractNumId w:val="18"/>
  </w:num>
  <w:num w:numId="33">
    <w:abstractNumId w:val="0"/>
  </w:num>
  <w:num w:numId="34">
    <w:abstractNumId w:val="20"/>
  </w:num>
  <w:num w:numId="35">
    <w:abstractNumId w:val="16"/>
  </w:num>
  <w:num w:numId="36">
    <w:abstractNumId w:val="12"/>
  </w:num>
  <w:num w:numId="37">
    <w:abstractNumId w:val="8"/>
  </w:num>
  <w:num w:numId="38">
    <w:abstractNumId w:val="14"/>
  </w:num>
  <w:num w:numId="39">
    <w:abstractNumId w:val="2"/>
  </w:num>
  <w:num w:numId="40">
    <w:abstractNumId w:val="19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5a33849e-cb8c-43ad-895a-1a5f5b69eb1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60&quot;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 /&gt;_x000d__x000a_    &lt;/basicdatatype&gt;_x000d__x000a_  &lt;/metadata&gt;_x000d__x000a_  &lt;metadata key=&quot;md_HeadingText&quot; translate=&quot;false&quot;&gt;_x000d__x000a_    &lt;headingtext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_x000d__x000a_      &lt;formattedtext&gt;_x000d__x000a_        &lt;xaml text=&quo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quot;&gt;&amp;lt;FlowDocument xmlns=&quot;http://schemas.microsoft.com/winfx/2006/xaml/presentation&quot;&amp;gt;&amp;lt;Paragraph&amp;gt;&amp;#1048;&amp;#1047;&amp;#1051;&amp;#1054;&amp;#1046;&amp;#1045;&amp;#1053;&amp;#1048;&amp;#1045; &amp;#1053;&amp;#1040; &amp;#1052;&amp;#1054;&amp;#1058;&amp;#1048;&amp;#1042;&amp;#1048;&amp;#1058;&amp;#1045; &amp;#1053;&amp;#1040; &amp;#1057;&amp;#1066;&amp;#1042;&amp;#1045;&amp;#1058;&amp;#1040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10&quot; text=&quot;Statement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21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932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REV 2 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2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EF 25&lt;/text&gt;_x000d__x000a_      &lt;text&gt;ECOFIN 69&lt;/text&gt;_x000d__x000a_      &lt;text&gt;DROIPEN 13&lt;/text&gt;_x000d__x000a_      &lt;text&gt;CRIMORG 15&lt;/text&gt;_x000d__x000a_      &lt;text&gt;CODEC 141&lt;/text&gt;_x000d__x000a_      &lt;text&gt;PARLNAT 30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&gt;_x000d__x000a_      &lt;text&gt;2013/0024 (COD)&lt;/text&gt;_x000d__x000a_    &lt;/textlist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86;&amp;#1090;&amp;#1085;&amp;#1086;&amp;#1089;&amp;#1085;&amp;#1086; &amp;#1080;&amp;#1085;&amp;#1092;&amp;#1086;&amp;#1088;&amp;#1084;&amp;#1072;&amp;#1094;&amp;#1080;&amp;#1103;&amp;#1090;&amp;#1072;, &amp;#1087;&amp;#1088;&amp;#1080;&amp;#1076;&amp;#1088;&amp;#1091;&amp;#1078;&amp;#1072;&amp;#1074;&amp;#1072;&amp;#1097;&amp;#1072; &amp;#1087;&amp;#1072;&amp;#1088;&amp;#1080;&amp;#1095;&amp;#1085;&amp;#1080;&amp;#1090;&amp;#1077; &amp;#1087;&amp;#1088;&amp;#1077;&amp;#1074;&amp;#1086;&amp;#1076;&amp;#1080;, &amp;#1080; &amp;#1079;&amp;#1072; &amp;#1086;&amp;#1090;&amp;#1084;&amp;#1103;&amp;#1085;&amp;#1072; &amp;#1085;&amp;#1072; &amp;#1056;&amp;#1077;&amp;#1075;&amp;#1083;&amp;#1072;&amp;#1084;&amp;#1077;&amp;#1085;&amp;#1090; (&amp;#1045;&amp;#1054;) &amp;#8470; 1781/2006 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 &amp;#8212; &amp;#1055;&amp;#1088;&amp;#1080;&amp;#1077;&amp;#1090;&amp;#1086; &amp;#1086;&amp;#1090; &amp;#1057;&amp;#1098;&amp;#1074;&amp;#1077;&amp;#1090;&amp;#1072; &amp;#1085;&amp;#1072; 20 &amp;#1072;&amp;#1087;&amp;#1088;&amp;#1080;&amp;#1083; 2015 &amp;#1075;.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#1055;&amp;#1086;&amp;#1079;&amp;#1080;&amp;#1094;&amp;#1080;&amp;#1103; &amp;#1085;&amp;#1072; &amp;#1057;&amp;#1098;&amp;#1074;&amp;#1077;&amp;#1090;&amp;#1072; &amp;#1085;&amp;#1072; &amp;#1087;&amp;#1098;&amp;#1088;&amp;#1074;&amp;#1086; &amp;#1095;&amp;#1077;&amp;#1090;&amp;#1077;&amp;#1085;&amp;#1077; &amp;#1089; &amp;#1086;&amp;#1075;&amp;#1083;&amp;#1077;&amp;#1076; &amp;#1085;&amp;#1072; &amp;#1087;&amp;#1088;&amp;#1080;&amp;#1077;&amp;#1084;&amp;#1072;&amp;#1085;&amp;#1077;&amp;#1090;&amp;#1086; &amp;#1085;&amp;#1072; &amp;#1056;&amp;#1045;&amp;#1043;&amp;#1051;&amp;#1040;&amp;#1052;&amp;#1045;&amp;#1053;&amp;#1058; &amp;#1053;&amp;#1040; &amp;#1045;&amp;#1042;&amp;#1056;&amp;#1054;&amp;#1055;&amp;#1045;&amp;#1049;&amp;#1057;&amp;#1050;&amp;#1048;&amp;#1071; &amp;#1055;&amp;#1040;&amp;#1056;&amp;#1051;&amp;#1040;&amp;#1052;&amp;#1045;&amp;#1053;&amp;#1058; &amp;#1048; &amp;#1053;&amp;#1040; &amp;#1057;&amp;#1066;&amp;#1042;&amp;#1045;&amp;#1058;&amp;#1040; &amp;#1086;&amp;#1090;&amp;#1085;&amp;#1086;&amp;#1089;&amp;#1085;&amp;#1086; &amp;#1080;&amp;#1085;&amp;#1092;&amp;#1086;&amp;#1088;&amp;#1084;&amp;#1072;&amp;#1094;&amp;#1080;&amp;#1103;&amp;#1090;&amp;#1072;, &amp;#1087;&amp;#1088;&amp;#1080;&amp;#1076;&amp;#1088;&amp;#1091;&amp;#1078;&amp;#1072;&amp;#1074;&amp;#1072;&amp;#1097;&amp;#1072; &amp;#1087;&amp;#1072;&amp;#1088;&amp;#1080;&amp;#1095;&amp;#1085;&amp;#1080;&amp;#1090;&amp;#1077; &amp;#1087;&amp;#1088;&amp;#1077;&amp;#1074;&amp;#1086;&amp;#1076;&amp;#1080;, &amp;#1080; &amp;#1079;&amp;#1072; &amp;#1086;&amp;#1090;&amp;#1084;&amp;#1103;&amp;#1085;&amp;#1072; &amp;#1085;&amp;#1072; &amp;#1056;&amp;#1077;&amp;#1075;&amp;#1083;&amp;#1072;&amp;#1084;&amp;#1077;&amp;#1085;&amp;#1090; (&amp;#1045;&amp;#1054;) &amp;#8470; 1781/2006&amp;lt;/Paragraph&amp;gt;&amp;lt;Paragraph&amp;gt;&amp;#8212; &amp;#1048;&amp;#1079;&amp;#1083;&amp;#1086;&amp;#1078;&amp;#1077;&amp;#1085;&amp;#1080;&amp;#1077; &amp;#1085;&amp;#1072; &amp;#1084;&amp;#1086;&amp;#1090;&amp;#1080;&amp;#1074;&amp;#1080;&amp;#1090;&amp;#1077; &amp;#1085;&amp;#1072; &amp;#1057;&amp;#1098;&amp;#1074;&amp;#1077;&amp;#1090;&amp;#1072;&amp;lt;LineBreak /&amp;gt;&amp;#8212; &amp;#1055;&amp;#1088;&amp;#1080;&amp;#1077;&amp;#1090;&amp;#1086; &amp;#1086;&amp;#1090; &amp;#1057;&amp;#1098;&amp;#1074;&amp;#1077;&amp;#1090;&amp;#1072; &amp;#1085;&amp;#1072; 20 &amp;#1072;&amp;#1087;&amp;#1088;&amp;#1080;&amp;#1083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b/t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4&quot; technicalblockguid=&quot;6404b6d9-7f23-4f43-8d70-627a8c75ff6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59&quot; text=&quot;DRAFT STATEMENT OF THE COUNCIL'S REASONS&quot; /&gt;_x000d__x000a_    &lt;/basicdatatype&gt;_x000d__x000a_  &lt;/metadata&gt;_x000d__x000a_  &lt;metadata key=&quot;md_HeadingText&quot;&gt;_x000d__x000a_    &lt;headingtext text=&quot;DRAFT STATEMENT OF THE COUNCIL'S REASONS&quot;&gt;_x000d__x000a_      &lt;formattedtext&gt;_x000d__x000a_        &lt;xaml text=&quot;DRAFT STATEMENT OF THE COUNCIL'S REASONS&quot;&gt;&amp;lt;FlowDocument xmlns=&quot;http://schemas.microsoft.com/winfx/2006/xaml/presentation&quot;&amp;gt;&amp;lt;Paragraph&amp;gt;DRAFT STATEMENT OF THE COUNCIL'S REASON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0&quot; text=&quot;Statement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27&lt;/text&gt;_x000d__x000a_  &lt;/metadata&gt;_x000d__x000a_  &lt;metadata key=&quot;md_Prefix&quot;&gt;_x000d__x000a_    &lt;text&gt;&lt;/text&gt;_x000d__x000a_  &lt;/metadata&gt;_x000d__x000a_  &lt;metadata key=&quot;md_DocumentNumber&quot;&gt;_x000d__x000a_    &lt;text&gt;5932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ADD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F 25&lt;/text&gt;_x000d__x000a_      &lt;text&gt;ECOFIN 69&lt;/text&gt;_x000d__x000a_      &lt;text&gt;DROIPEN 13&lt;/text&gt;_x000d__x000a_      &lt;text&gt;CRIMORG 15&lt;/text&gt;_x000d__x000a_      &lt;text&gt;CODEC 14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3/0024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osition of the Council at first reading with a view to the adoption of a REGULATION OF THE EUROPEAN PARLIAMENT AND OF THE COUNCIL on information accompanying transfers of funds  &amp;#8211; Draft Statement of the Council's reasons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 FontFamily=&quot;Georgia&quot;&amp;gt;&amp;lt;Run FontFamily=&quot;Times New Roman&quot; xml:space=&quot;preserve&quot;&amp;gt;Position of the Council at first reading with a view to the adoption of a REGULATION OF THE EUROPEAN PARLIAMENT AND OF THE COUNCIL on information accompanying transfers of funds &amp;lt;/Run&amp;gt;&amp;lt;/Paragraph&amp;gt;&amp;lt;Paragraph FontFamily=&quot;Georgia&quot;&amp;gt;&amp;#8211; Draft Statement of the Council's reasons&amp;lt;/Paragraph&amp;gt;&amp;lt;/FlowDocument&amp;gt;&lt;/xaml&gt;_x000d__x000a_  &lt;/metadata&gt;_x000d__x000a_  &lt;metadata key=&quot;md_SubjectFootnote&quot; /&gt;_x000d__x000a_  &lt;metadata key=&quot;md_DG&quot;&gt;_x000d__x000a_    &lt;text&gt;DGG 1B&lt;/text&gt;_x000d__x000a_  &lt;/metadata&gt;_x000d__x000a_  &lt;metadata key=&quot;md_Initials&quot;&gt;_x000d__x000a_    &lt;text&gt;SS/mm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8A3BFE"/>
    <w:rsid w:val="00035B95"/>
    <w:rsid w:val="00096B04"/>
    <w:rsid w:val="00130CD9"/>
    <w:rsid w:val="00160D86"/>
    <w:rsid w:val="00182F2F"/>
    <w:rsid w:val="00204186"/>
    <w:rsid w:val="00356F5F"/>
    <w:rsid w:val="00412725"/>
    <w:rsid w:val="00414945"/>
    <w:rsid w:val="004A5CE6"/>
    <w:rsid w:val="004F4BDD"/>
    <w:rsid w:val="00545335"/>
    <w:rsid w:val="005911D6"/>
    <w:rsid w:val="005B6963"/>
    <w:rsid w:val="005F0C4F"/>
    <w:rsid w:val="00625999"/>
    <w:rsid w:val="006351BB"/>
    <w:rsid w:val="00651E76"/>
    <w:rsid w:val="007046BF"/>
    <w:rsid w:val="007161AD"/>
    <w:rsid w:val="007561DE"/>
    <w:rsid w:val="0076613A"/>
    <w:rsid w:val="00787851"/>
    <w:rsid w:val="008738AD"/>
    <w:rsid w:val="00874895"/>
    <w:rsid w:val="008A3BFE"/>
    <w:rsid w:val="008B69E4"/>
    <w:rsid w:val="00901450"/>
    <w:rsid w:val="009B07D1"/>
    <w:rsid w:val="009F76F5"/>
    <w:rsid w:val="00A30641"/>
    <w:rsid w:val="00A47C16"/>
    <w:rsid w:val="00A7778D"/>
    <w:rsid w:val="00A93207"/>
    <w:rsid w:val="00AF3113"/>
    <w:rsid w:val="00B00693"/>
    <w:rsid w:val="00B54F86"/>
    <w:rsid w:val="00BC3F70"/>
    <w:rsid w:val="00BE6E3D"/>
    <w:rsid w:val="00C96075"/>
    <w:rsid w:val="00D13316"/>
    <w:rsid w:val="00D337DF"/>
    <w:rsid w:val="00DC5BB6"/>
    <w:rsid w:val="00E5767B"/>
    <w:rsid w:val="00E80814"/>
    <w:rsid w:val="00E810D5"/>
    <w:rsid w:val="00E901CF"/>
    <w:rsid w:val="00EC0613"/>
    <w:rsid w:val="00F04F51"/>
    <w:rsid w:val="00F17170"/>
    <w:rsid w:val="00F36022"/>
    <w:rsid w:val="00F86DEA"/>
    <w:rsid w:val="00FA145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FA145F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A3BFE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A3BFE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8A3BFE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8A3BFE"/>
    <w:pPr>
      <w:spacing w:before="0" w:after="0" w:line="240" w:lineRule="auto"/>
    </w:pPr>
  </w:style>
  <w:style w:type="character" w:customStyle="1" w:styleId="FootnoteTextChar">
    <w:name w:val="Footnote Text Char"/>
    <w:aliases w:val="Schriftart: 9 pt Char,Schriftart: 10 pt Char,Schriftart: 8 pt Char,WB-Fußnotentext Char,Reference Char,Fußnote Char,fn Char,Footnote Text Char2 Char,Footnote Text Char Char1 Char,Footnote Text Char1 Char Char Char,Ch Char,Char Char"/>
    <w:hidden/>
    <w:rsid w:val="00FA145F"/>
    <w:rPr>
      <w:sz w:val="24"/>
      <w:lang w:val="bg-BG" w:eastAsia="bg-BG"/>
    </w:rPr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37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37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37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37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37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37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37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37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37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38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38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38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38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38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32"/>
      </w:numPr>
    </w:pPr>
  </w:style>
  <w:style w:type="paragraph" w:customStyle="1" w:styleId="Bullet1">
    <w:name w:val="Bullet 1"/>
    <w:basedOn w:val="Normal"/>
    <w:rsid w:val="00F86DEA"/>
    <w:pPr>
      <w:numPr>
        <w:numId w:val="33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34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35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36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22"/>
      </w:numPr>
    </w:pPr>
  </w:style>
  <w:style w:type="paragraph" w:customStyle="1" w:styleId="Dash1">
    <w:name w:val="Dash 1"/>
    <w:basedOn w:val="Normal"/>
    <w:rsid w:val="00F86DEA"/>
    <w:pPr>
      <w:numPr>
        <w:numId w:val="23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24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25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26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27"/>
      </w:numPr>
    </w:pPr>
  </w:style>
  <w:style w:type="paragraph" w:customStyle="1" w:styleId="DashEqual1">
    <w:name w:val="Dash Equal 1"/>
    <w:basedOn w:val="Dash1"/>
    <w:rsid w:val="00F86DEA"/>
    <w:pPr>
      <w:numPr>
        <w:numId w:val="28"/>
      </w:numPr>
    </w:pPr>
  </w:style>
  <w:style w:type="paragraph" w:customStyle="1" w:styleId="DashEqual2">
    <w:name w:val="Dash Equal 2"/>
    <w:basedOn w:val="Dash2"/>
    <w:rsid w:val="00F86DEA"/>
    <w:pPr>
      <w:numPr>
        <w:numId w:val="29"/>
      </w:numPr>
    </w:pPr>
  </w:style>
  <w:style w:type="paragraph" w:customStyle="1" w:styleId="DashEqual3">
    <w:name w:val="Dash Equal 3"/>
    <w:basedOn w:val="Dash3"/>
    <w:rsid w:val="00F86DEA"/>
    <w:pPr>
      <w:numPr>
        <w:numId w:val="30"/>
      </w:numPr>
    </w:pPr>
  </w:style>
  <w:style w:type="paragraph" w:customStyle="1" w:styleId="DashEqual4">
    <w:name w:val="Dash Equal 4"/>
    <w:basedOn w:val="Dash4"/>
    <w:rsid w:val="00F86DEA"/>
    <w:pPr>
      <w:numPr>
        <w:numId w:val="31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41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40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39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TE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0320-26DB-4626-97D4-8B73BFAE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9</TotalTime>
  <Pages>4</Pages>
  <Words>1358</Words>
  <Characters>8129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FRACZEK Monika</dc:creator>
  <cp:lastModifiedBy>GEORGIEVA Teodora</cp:lastModifiedBy>
  <cp:revision>9</cp:revision>
  <cp:lastPrinted>2015-04-21T08:58:00Z</cp:lastPrinted>
  <dcterms:created xsi:type="dcterms:W3CDTF">2015-04-21T10:03:00Z</dcterms:created>
  <dcterms:modified xsi:type="dcterms:W3CDTF">2015-04-21T14:47:00Z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