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02" w:rsidRPr="00A75F1A" w:rsidRDefault="00520474" w:rsidP="00A75F1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b3075b9-4ca1-4dfa-8c92-3f47a02b191d" style="width:568.5pt;height:396pt">
            <v:imagedata r:id="rId9" o:title=""/>
          </v:shape>
        </w:pict>
      </w:r>
      <w:bookmarkEnd w:id="0"/>
    </w:p>
    <w:p w:rsidR="00D22ED8" w:rsidRPr="00FC7B64" w:rsidRDefault="00D22ED8">
      <w:pPr>
        <w:sectPr w:rsidR="00D22ED8" w:rsidRPr="00FC7B64" w:rsidSect="007B02E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1F17B8" w:rsidRPr="00A41661" w:rsidRDefault="001F17B8" w:rsidP="001F17B8">
      <w:pPr>
        <w:pStyle w:val="Typedudocument"/>
      </w:pPr>
      <w:r w:rsidRPr="00A41661">
        <w:lastRenderedPageBreak/>
        <w:t xml:space="preserve">DIRECTIVE </w:t>
      </w:r>
      <w:r w:rsidR="0014698F" w:rsidRPr="00A41661">
        <w:t xml:space="preserve">(UE) 2015/… </w:t>
      </w:r>
      <w:r w:rsidR="00274539" w:rsidRPr="00A41661">
        <w:br/>
      </w:r>
      <w:r w:rsidRPr="00A41661">
        <w:t>DU PARLEMENT EUROPÉEN ET DU CONSEIL</w:t>
      </w:r>
    </w:p>
    <w:p w:rsidR="001F17B8" w:rsidRPr="00A41661" w:rsidRDefault="001F17B8" w:rsidP="009670B6">
      <w:pPr>
        <w:pStyle w:val="Datedadoption"/>
      </w:pPr>
      <w:r w:rsidRPr="00A41661">
        <w:t>du …</w:t>
      </w:r>
    </w:p>
    <w:p w:rsidR="00414DF0" w:rsidRDefault="001F17B8" w:rsidP="00746943">
      <w:pPr>
        <w:pStyle w:val="Titreobjet"/>
      </w:pPr>
      <w:r w:rsidRPr="001F17B8">
        <w:t>relative à la prévention de l'u</w:t>
      </w:r>
      <w:r w:rsidR="00A41661">
        <w:t>tilisation du système financier</w:t>
      </w:r>
      <w:r w:rsidR="00746943">
        <w:br/>
      </w:r>
      <w:r w:rsidRPr="001F17B8">
        <w:t xml:space="preserve">aux fins du blanchiment de capitaux </w:t>
      </w:r>
      <w:r w:rsidR="00284CB7">
        <w:t>ou</w:t>
      </w:r>
      <w:r w:rsidRPr="001F17B8">
        <w:t xml:space="preserve"> du financement du terrorisme</w:t>
      </w:r>
      <w:r w:rsidR="00746943">
        <w:t>,</w:t>
      </w:r>
      <w:r w:rsidR="00746943">
        <w:br/>
        <w:t>modifiant le règlement (UE) n° </w:t>
      </w:r>
      <w:r w:rsidR="005946BC">
        <w:t xml:space="preserve">648/2012 </w:t>
      </w:r>
      <w:r w:rsidR="00284CB7">
        <w:t>du P</w:t>
      </w:r>
      <w:r w:rsidR="00746943">
        <w:t>arlement européen et du Conseil</w:t>
      </w:r>
      <w:r w:rsidR="00746943">
        <w:br/>
      </w:r>
      <w:r w:rsidR="005946BC">
        <w:t xml:space="preserve">et abrogeant la directive 2005/60/CE </w:t>
      </w:r>
      <w:r w:rsidR="00284CB7">
        <w:t>du P</w:t>
      </w:r>
      <w:r w:rsidR="00746943">
        <w:t>arlement européen et du Conseil</w:t>
      </w:r>
      <w:r w:rsidR="00746943">
        <w:br/>
      </w:r>
      <w:r w:rsidR="005946BC">
        <w:t>et la directive 2006/70/CE de la Commission</w:t>
      </w:r>
    </w:p>
    <w:p w:rsidR="001F17B8" w:rsidRPr="00A41661" w:rsidRDefault="00414DF0" w:rsidP="00320A3E">
      <w:pPr>
        <w:pStyle w:val="Sous-titreobjet"/>
      </w:pPr>
      <w:r w:rsidRPr="00A41661">
        <w:t>(Texte présen</w:t>
      </w:r>
      <w:bookmarkStart w:id="2" w:name="_GoBack"/>
      <w:bookmarkEnd w:id="2"/>
      <w:r w:rsidRPr="00A41661">
        <w:t>tant de l'intérêt pour l'EEE)</w:t>
      </w:r>
    </w:p>
    <w:p w:rsidR="001F17B8" w:rsidRPr="00A41661" w:rsidRDefault="001F17B8" w:rsidP="001F17B8">
      <w:pPr>
        <w:pStyle w:val="Institutionquiagit"/>
      </w:pPr>
      <w:r w:rsidRPr="00A41661">
        <w:t>LE PARLEMENT EUROPÉEN ET LE CONSEIL DE L'UNION EUROPÉENNE,</w:t>
      </w:r>
    </w:p>
    <w:p w:rsidR="001F17B8" w:rsidRPr="00A41661" w:rsidRDefault="001F17B8" w:rsidP="001F17B8">
      <w:r w:rsidRPr="00A41661">
        <w:t>vu le traité sur le fonctionnement de l'Union européenne, et notamment son article 114,</w:t>
      </w:r>
    </w:p>
    <w:p w:rsidR="001F17B8" w:rsidRPr="00A41661" w:rsidRDefault="001F17B8" w:rsidP="001F17B8">
      <w:r w:rsidRPr="00A41661">
        <w:t>vu la proposition de la Commission européenne,</w:t>
      </w:r>
    </w:p>
    <w:p w:rsidR="001F17B8" w:rsidRPr="00A41661" w:rsidRDefault="001F17B8" w:rsidP="001F17B8">
      <w:r w:rsidRPr="00A41661">
        <w:t>après transmission du projet d'acte législatif aux parlements nationaux,</w:t>
      </w:r>
    </w:p>
    <w:p w:rsidR="001F17B8" w:rsidRPr="00A41661" w:rsidRDefault="001F17B8" w:rsidP="007E1EBF">
      <w:r w:rsidRPr="00A41661">
        <w:t>vu l'avis de la Banque centrale européenne</w:t>
      </w:r>
      <w:r w:rsidR="005946BC" w:rsidRPr="007E1EBF">
        <w:rPr>
          <w:rStyle w:val="FootnoteReference"/>
        </w:rPr>
        <w:footnoteReference w:id="1"/>
      </w:r>
      <w:r w:rsidRPr="00A41661">
        <w:t>,</w:t>
      </w:r>
    </w:p>
    <w:p w:rsidR="001F17B8" w:rsidRPr="00A41661" w:rsidRDefault="001F17B8" w:rsidP="007E1EBF">
      <w:r w:rsidRPr="00A41661">
        <w:t>vu l'avis du Comité économique et social européen</w:t>
      </w:r>
      <w:r w:rsidR="005946BC" w:rsidRPr="007E1EBF">
        <w:rPr>
          <w:rStyle w:val="FootnoteReference"/>
        </w:rPr>
        <w:footnoteReference w:id="2"/>
      </w:r>
      <w:r w:rsidRPr="00A41661">
        <w:t>,</w:t>
      </w:r>
    </w:p>
    <w:p w:rsidR="001F17B8" w:rsidRPr="00A41661" w:rsidRDefault="001F17B8" w:rsidP="007E1EBF">
      <w:pPr>
        <w:spacing w:line="276" w:lineRule="auto"/>
      </w:pPr>
      <w:r w:rsidRPr="00A41661">
        <w:t>statuant conformément à la procédure législative ordinaire</w:t>
      </w:r>
      <w:r w:rsidR="006C28EC" w:rsidRPr="007E1EBF">
        <w:rPr>
          <w:rStyle w:val="FootnoteReference"/>
        </w:rPr>
        <w:footnoteReference w:id="3"/>
      </w:r>
      <w:r w:rsidRPr="00A41661">
        <w:t>,</w:t>
      </w:r>
    </w:p>
    <w:p w:rsidR="001F17B8" w:rsidRPr="00A41661" w:rsidRDefault="001F17B8" w:rsidP="001F17B8">
      <w:r w:rsidRPr="00A41661">
        <w:br w:type="page"/>
      </w:r>
      <w:r w:rsidRPr="00A41661">
        <w:lastRenderedPageBreak/>
        <w:t>considérant ce qui suit:</w:t>
      </w:r>
    </w:p>
    <w:p w:rsidR="001F17B8" w:rsidRPr="001F17B8" w:rsidRDefault="001F17B8" w:rsidP="00284CB7">
      <w:pPr>
        <w:pStyle w:val="ManualConsidrant"/>
      </w:pPr>
      <w:r w:rsidRPr="001F17B8">
        <w:t>(1)</w:t>
      </w:r>
      <w:r w:rsidRPr="001F17B8">
        <w:tab/>
        <w:t xml:space="preserve">Les flux d'argent illicite peuvent nuire à </w:t>
      </w:r>
      <w:r w:rsidR="00284CB7">
        <w:t xml:space="preserve">l'intégrité, à </w:t>
      </w:r>
      <w:r w:rsidRPr="001F17B8">
        <w:t>la stabilité et à la réputation du secteur financier et menacer le marché intérieur</w:t>
      </w:r>
      <w:r>
        <w:t xml:space="preserve"> de l'Union</w:t>
      </w:r>
      <w:r w:rsidRPr="001F17B8">
        <w:t xml:space="preserve">, ainsi que le développement international. </w:t>
      </w:r>
      <w:r w:rsidR="00284CB7">
        <w:t>Le blanchiment de capitaux, le financement du terrorisme et la criminalité organisée demeurent des problèmes majeurs auxquels il convient de trouver une réponse au niveau de l</w:t>
      </w:r>
      <w:r w:rsidR="00746943">
        <w:t>'</w:t>
      </w:r>
      <w:r w:rsidR="00284CB7">
        <w:t xml:space="preserve">Union. </w:t>
      </w:r>
      <w:r w:rsidRPr="001F17B8">
        <w:t xml:space="preserve">En plus de continuer à développer l'approche pénale au niveau de l'Union, il est indispensable de s'attacher à la prévention </w:t>
      </w:r>
      <w:r w:rsidR="006C28EC">
        <w:t>ciblée et proportionnée de l'utilisation</w:t>
      </w:r>
      <w:r w:rsidRPr="001F17B8">
        <w:t xml:space="preserve"> du système financier</w:t>
      </w:r>
      <w:r w:rsidR="006C28EC">
        <w:t xml:space="preserve"> aux fins de blanchiment des capitaux et de financement du terrorisme</w:t>
      </w:r>
      <w:r w:rsidRPr="001F17B8">
        <w:t>, qui peut produire des résultats complémentaires.</w:t>
      </w:r>
    </w:p>
    <w:p w:rsidR="001F17B8" w:rsidRPr="001F17B8" w:rsidRDefault="001F17B8" w:rsidP="00746943">
      <w:pPr>
        <w:pStyle w:val="ManualConsidrant"/>
      </w:pPr>
      <w:r w:rsidRPr="001F17B8">
        <w:t>(2)</w:t>
      </w:r>
      <w:r w:rsidRPr="001F17B8">
        <w:tab/>
        <w:t xml:space="preserve">La solidité, l'intégrité et la stabilité des établissements de crédit et des établissements financiers, ainsi que la confiance dans l'ensemble du système financier, pourraient être gravement compromises par les tentatives des criminels et de leurs complices de masquer l'origine des produits du crime ou d'alimenter le terrorisme par des flux d'argent licite ou illicite. Pour </w:t>
      </w:r>
      <w:r w:rsidR="00816B54">
        <w:t>faciliter l</w:t>
      </w:r>
      <w:r w:rsidR="00746943">
        <w:t>'</w:t>
      </w:r>
      <w:r w:rsidR="00816B54">
        <w:t>exercice</w:t>
      </w:r>
      <w:r w:rsidRPr="001F17B8">
        <w:t xml:space="preserve"> </w:t>
      </w:r>
      <w:r w:rsidR="00816B54">
        <w:t xml:space="preserve">de </w:t>
      </w:r>
      <w:r w:rsidRPr="001F17B8">
        <w:t xml:space="preserve">leurs activités criminelles, les criminels qui blanchissent des capitaux et </w:t>
      </w:r>
      <w:r w:rsidR="00D3330A">
        <w:t>ceux</w:t>
      </w:r>
      <w:r w:rsidRPr="001F17B8">
        <w:t xml:space="preserve"> qui financent le terrorisme pourraient essayer de profiter de la libre circulation des capitaux et de la libre prestation des services financiers que suppose l'intégration de l'espace financier</w:t>
      </w:r>
      <w:r w:rsidR="0014698F">
        <w:t xml:space="preserve"> de l'Union</w:t>
      </w:r>
      <w:r w:rsidRPr="001F17B8">
        <w:t>. Dès lors, certaines mesures de coordination sont nécessaires au niveau de l'Union. Dans le même temps, un</w:t>
      </w:r>
      <w:r w:rsidR="00746943">
        <w:t xml:space="preserve"> </w:t>
      </w:r>
      <w:r w:rsidRPr="001F17B8">
        <w:t>équilibre devrait être recherché entre, d'une part, les objectifs visant à protéger la société contre l</w:t>
      </w:r>
      <w:r w:rsidR="00284CB7">
        <w:t>a</w:t>
      </w:r>
      <w:r w:rsidRPr="001F17B8">
        <w:t xml:space="preserve"> crimin</w:t>
      </w:r>
      <w:r w:rsidR="00284CB7">
        <w:t>alité</w:t>
      </w:r>
      <w:r w:rsidRPr="001F17B8">
        <w:t xml:space="preserve"> et à sauvegarder la stabilité et l'intégrité du système financier </w:t>
      </w:r>
      <w:r w:rsidR="006724E0">
        <w:t>de l'Union</w:t>
      </w:r>
      <w:r w:rsidR="006724E0" w:rsidRPr="001F17B8">
        <w:t xml:space="preserve"> </w:t>
      </w:r>
      <w:r w:rsidRPr="001F17B8">
        <w:t>et, d'autre part, la nécessité de créer un environnement réglementaire qui permette aux entreprises de développer leurs activités sans avoir à encourir des coûts disproportionnés pour se conformer aux normes.</w:t>
      </w:r>
    </w:p>
    <w:p w:rsidR="001F17B8" w:rsidRPr="001F17B8" w:rsidRDefault="001F17B8" w:rsidP="00746943">
      <w:pPr>
        <w:pStyle w:val="ManualConsidrant"/>
      </w:pPr>
      <w:r w:rsidRPr="001F17B8">
        <w:br w:type="page"/>
      </w:r>
      <w:r w:rsidRPr="001F17B8">
        <w:lastRenderedPageBreak/>
        <w:t>(3)</w:t>
      </w:r>
      <w:r w:rsidRPr="001F17B8">
        <w:tab/>
        <w:t xml:space="preserve">La présente </w:t>
      </w:r>
      <w:r>
        <w:t>directive</w:t>
      </w:r>
      <w:r w:rsidRPr="001F17B8">
        <w:t xml:space="preserve"> constitue la quatrième directive </w:t>
      </w:r>
      <w:r w:rsidR="00816B54">
        <w:t>visant à répondre à</w:t>
      </w:r>
      <w:r w:rsidR="00C87A20">
        <w:t xml:space="preserve"> la menace que représente le </w:t>
      </w:r>
      <w:r w:rsidRPr="001F17B8">
        <w:t>blanchiment</w:t>
      </w:r>
      <w:r w:rsidR="00C87A20">
        <w:t xml:space="preserve"> des capitaux</w:t>
      </w:r>
      <w:r w:rsidRPr="001F17B8">
        <w:t>. La directive 91/308/CEE du Conseil</w:t>
      </w:r>
      <w:r w:rsidRPr="007F21D3">
        <w:rPr>
          <w:rStyle w:val="FootnoteReference"/>
        </w:rPr>
        <w:footnoteReference w:id="4"/>
      </w:r>
      <w:r w:rsidRPr="001F17B8">
        <w:t xml:space="preserve"> définissait le blanchiment de capitaux en termes d'infractions liées au trafic de stupéfiants et n'imposait d'obligations qu'au secteur financier. La directive 2001/97/CE du Parlement européen et du Conseil</w:t>
      </w:r>
      <w:r w:rsidRPr="007F21D3">
        <w:rPr>
          <w:rStyle w:val="FootnoteReference"/>
        </w:rPr>
        <w:footnoteReference w:id="5"/>
      </w:r>
      <w:r w:rsidRPr="001F17B8">
        <w:t xml:space="preserve"> </w:t>
      </w:r>
      <w:r w:rsidR="00284CB7">
        <w:t xml:space="preserve">a </w:t>
      </w:r>
      <w:r w:rsidRPr="001F17B8">
        <w:t>étend</w:t>
      </w:r>
      <w:r w:rsidR="00284CB7">
        <w:t>u</w:t>
      </w:r>
      <w:r w:rsidRPr="001F17B8">
        <w:t xml:space="preserve"> le champ d'application de la directive</w:t>
      </w:r>
      <w:r>
        <w:t xml:space="preserve"> 91/308/CEE</w:t>
      </w:r>
      <w:r w:rsidR="00284CB7">
        <w:t>, à la fois</w:t>
      </w:r>
      <w:r w:rsidRPr="001F17B8">
        <w:t xml:space="preserve"> pour ce qui </w:t>
      </w:r>
      <w:r w:rsidR="00284CB7">
        <w:t>est</w:t>
      </w:r>
      <w:r w:rsidRPr="001F17B8">
        <w:t xml:space="preserve"> des </w:t>
      </w:r>
      <w:r w:rsidRPr="00940613">
        <w:t>délits</w:t>
      </w:r>
      <w:r w:rsidRPr="001F17B8">
        <w:t xml:space="preserve"> et de l'éventail des professions et des activités couvertes. En juin 2003, le Groupe d'action financière internationale (GAFI) a revu ses recommandations pour les étendre au financement du terrorisme et il a fixé des exigences plus détaillées concernant l'identification des clients et la vérification de leur identité, les situations dans lesquelles un risque plus élevé de blanchiment de capitaux </w:t>
      </w:r>
      <w:r w:rsidR="00D3330A">
        <w:t xml:space="preserve">ou </w:t>
      </w:r>
      <w:r w:rsidR="009670B6">
        <w:t xml:space="preserve">de </w:t>
      </w:r>
      <w:r w:rsidR="00D3330A">
        <w:t xml:space="preserve">financement du terrorisme </w:t>
      </w:r>
      <w:r w:rsidRPr="001F17B8">
        <w:t>peut justifier l'application de mesures renforcées, mais aussi les situations dans lesquelles un risque réduit peut justifier la mise en œuvre de contrôles moins rigoureux. Ces modifications ont été prises en compte dans la directive 2005/60/CE du Parlement européen et du Conseil</w:t>
      </w:r>
      <w:r w:rsidRPr="009670B6">
        <w:rPr>
          <w:rStyle w:val="FootnoteReference"/>
        </w:rPr>
        <w:footnoteReference w:id="6"/>
      </w:r>
      <w:r w:rsidRPr="001F17B8">
        <w:t xml:space="preserve"> et dans la directive 2006/70/CE de la Commission</w:t>
      </w:r>
      <w:r w:rsidR="00746943">
        <w:rPr>
          <w:rStyle w:val="FootnoteReference"/>
        </w:rPr>
        <w:footnoteReference w:id="7"/>
      </w:r>
      <w:r w:rsidRPr="001F17B8">
        <w:t>.</w:t>
      </w:r>
    </w:p>
    <w:p w:rsidR="001F17B8" w:rsidRPr="001F17B8" w:rsidRDefault="001F17B8" w:rsidP="00284CB7">
      <w:pPr>
        <w:pStyle w:val="ManualConsidrant"/>
      </w:pPr>
      <w:r w:rsidRPr="001F17B8">
        <w:br w:type="page"/>
        <w:t>(4)</w:t>
      </w:r>
      <w:r w:rsidRPr="001F17B8">
        <w:tab/>
        <w:t>Le blanchiment de capitaux et le financement du terrorisme s'</w:t>
      </w:r>
      <w:r w:rsidR="00746943">
        <w:t xml:space="preserve">inscrivent souvent dans un </w:t>
      </w:r>
      <w:r w:rsidRPr="001F17B8">
        <w:t xml:space="preserve">contexte international. Des mesures adoptées au seul niveau national ou même de l'Union, sans </w:t>
      </w:r>
      <w:r w:rsidR="00284CB7">
        <w:t xml:space="preserve">tenir compte de la </w:t>
      </w:r>
      <w:r w:rsidRPr="001F17B8">
        <w:t xml:space="preserve">coordination </w:t>
      </w:r>
      <w:r w:rsidR="00284CB7">
        <w:t>et de la</w:t>
      </w:r>
      <w:r w:rsidRPr="001F17B8">
        <w:t xml:space="preserve"> coopération internationales, auraient donc des effets très limités. Par conséquent, les mesures arrêtées par l'Union en la matière devraient être compatibles avec </w:t>
      </w:r>
      <w:r w:rsidR="00284CB7">
        <w:t>d'</w:t>
      </w:r>
      <w:r w:rsidRPr="001F17B8">
        <w:t xml:space="preserve">autres actions entreprises dans </w:t>
      </w:r>
      <w:r w:rsidR="002F675B">
        <w:t>d</w:t>
      </w:r>
      <w:r w:rsidRPr="001F17B8">
        <w:t>es enceintes internationales et être au moins aussi rigoureuses. L'</w:t>
      </w:r>
      <w:r w:rsidR="00284CB7">
        <w:t>action de l'</w:t>
      </w:r>
      <w:r w:rsidRPr="001F17B8">
        <w:t>Union devrait continuer à tenir tout particulièrement compte des recommandations du GAFI et des instruments d'autres organismes internationaux actifs dans la lutte contre l</w:t>
      </w:r>
      <w:r w:rsidR="00746943">
        <w:t xml:space="preserve">e blanchiment de capitaux et le </w:t>
      </w:r>
      <w:r w:rsidRPr="001F17B8">
        <w:t xml:space="preserve">financement du terrorisme. En vue de renforcer l'efficacité de la lutte contre le blanchiment de capitaux et le financement du terrorisme, </w:t>
      </w:r>
      <w:r>
        <w:t xml:space="preserve">les actes </w:t>
      </w:r>
      <w:r w:rsidR="00284CB7">
        <w:t>juridiques</w:t>
      </w:r>
      <w:r>
        <w:t xml:space="preserve"> </w:t>
      </w:r>
      <w:r w:rsidR="002F675B">
        <w:t>pertinents</w:t>
      </w:r>
      <w:r>
        <w:t xml:space="preserve"> de l'Union</w:t>
      </w:r>
      <w:r w:rsidRPr="001F17B8">
        <w:t xml:space="preserve"> devraient, le cas échéant, être alignés sur les </w:t>
      </w:r>
      <w:r w:rsidR="003E6DFA" w:rsidRPr="006D4F73">
        <w:t>normes internationales sur la</w:t>
      </w:r>
      <w:r w:rsidR="00746943">
        <w:t xml:space="preserve"> lutte contre le blanchiment de </w:t>
      </w:r>
      <w:r w:rsidR="003E6DFA" w:rsidRPr="006D4F73">
        <w:t>capitaux et le financement du terrorisme et de la prolifération</w:t>
      </w:r>
      <w:r w:rsidR="003E6DFA">
        <w:t xml:space="preserve"> adoptées par le GAFI en février 2012 (ci-après dénommées "recommandations révisées du GAFI")</w:t>
      </w:r>
      <w:r w:rsidRPr="001F17B8">
        <w:t>.</w:t>
      </w:r>
    </w:p>
    <w:p w:rsidR="001F17B8" w:rsidRPr="001F17B8" w:rsidRDefault="001F17B8" w:rsidP="00284CB7">
      <w:pPr>
        <w:pStyle w:val="ManualConsidrant"/>
      </w:pPr>
      <w:r w:rsidRPr="001F17B8">
        <w:t>(5)</w:t>
      </w:r>
      <w:r w:rsidRPr="001F17B8">
        <w:tab/>
        <w:t xml:space="preserve">En outre, le détournement du système financier pour </w:t>
      </w:r>
      <w:r w:rsidR="00284CB7">
        <w:t>acheminer</w:t>
      </w:r>
      <w:r w:rsidRPr="001F17B8">
        <w:t xml:space="preserve"> des fonds </w:t>
      </w:r>
      <w:r w:rsidR="002F675B">
        <w:t>illicites</w:t>
      </w:r>
      <w:r w:rsidRPr="001F17B8">
        <w:t xml:space="preserve"> ou même licite</w:t>
      </w:r>
      <w:r w:rsidR="003E6DFA">
        <w:t>s</w:t>
      </w:r>
      <w:r w:rsidRPr="001F17B8">
        <w:t xml:space="preserve"> destinés à des fins terroristes menace clairement son intégrité, son bon fonctionnement, sa réputation et sa stabilité. En conséquence, les mesures préventives </w:t>
      </w:r>
      <w:r w:rsidR="003E6DFA">
        <w:t>figurant</w:t>
      </w:r>
      <w:r w:rsidR="002F675B">
        <w:t xml:space="preserve"> </w:t>
      </w:r>
      <w:r w:rsidRPr="001F17B8">
        <w:t xml:space="preserve">dans la présente directive devraient </w:t>
      </w:r>
      <w:r w:rsidR="00284CB7">
        <w:t>porter sur</w:t>
      </w:r>
      <w:r w:rsidR="00284CB7" w:rsidRPr="001F17B8">
        <w:t xml:space="preserve"> </w:t>
      </w:r>
      <w:r w:rsidRPr="001F17B8">
        <w:t xml:space="preserve">la manipulation des fonds tirés de la grande criminalité et </w:t>
      </w:r>
      <w:r w:rsidR="00C87A20">
        <w:t xml:space="preserve">la collecte </w:t>
      </w:r>
      <w:r w:rsidR="002F675B" w:rsidRPr="001F17B8">
        <w:t xml:space="preserve">d'argent </w:t>
      </w:r>
      <w:r w:rsidRPr="001F17B8">
        <w:t xml:space="preserve">ou </w:t>
      </w:r>
      <w:r w:rsidR="002F675B" w:rsidRPr="001F17B8">
        <w:t>de biens</w:t>
      </w:r>
      <w:r w:rsidRPr="001F17B8">
        <w:t xml:space="preserve"> à des fins terroristes.</w:t>
      </w:r>
    </w:p>
    <w:p w:rsidR="001F17B8" w:rsidRPr="001F17B8" w:rsidRDefault="001F17B8" w:rsidP="00284CB7">
      <w:pPr>
        <w:pStyle w:val="ManualConsidrant"/>
      </w:pPr>
      <w:r w:rsidRPr="001F17B8">
        <w:t>(6)</w:t>
      </w:r>
      <w:r w:rsidRPr="001F17B8">
        <w:tab/>
        <w:t>Le</w:t>
      </w:r>
      <w:r w:rsidR="00284CB7">
        <w:t xml:space="preserve"> recours à de</w:t>
      </w:r>
      <w:r w:rsidRPr="001F17B8">
        <w:t xml:space="preserve">s paiements en espèces d'un montant élevé peut </w:t>
      </w:r>
      <w:r w:rsidR="00C87A20" w:rsidRPr="001F17B8">
        <w:t xml:space="preserve">être </w:t>
      </w:r>
      <w:r w:rsidRPr="001F17B8">
        <w:t xml:space="preserve">extrêmement facilement exploité à des fins de blanchiment de capitaux et de financement du terrorisme. Afin d'accroître la vigilance à cet égard et d'atténuer les risques inhérents </w:t>
      </w:r>
      <w:r w:rsidR="002F675B">
        <w:t>à de tels</w:t>
      </w:r>
      <w:r w:rsidR="002F675B" w:rsidRPr="001F17B8">
        <w:t xml:space="preserve"> </w:t>
      </w:r>
      <w:r w:rsidRPr="001F17B8">
        <w:t>paiements en espèces, les personnes qui négocient des biens devraient relever de la présente directive dès lors qu'elles effectuent ou reçoivent des paiements en espèces d'un montant égal ou supérieur à 10 000 EUR. Les États membres devraient pouvoir adopter des seuils plus bas, des limitations générales supplémentaires pour le</w:t>
      </w:r>
      <w:r w:rsidR="00284CB7">
        <w:t xml:space="preserve"> recours à de</w:t>
      </w:r>
      <w:r w:rsidRPr="001F17B8">
        <w:t>s paiements en espèces et d'autres dispositions plus strictes.</w:t>
      </w:r>
    </w:p>
    <w:p w:rsidR="001F17B8" w:rsidRPr="001F17B8" w:rsidRDefault="001F17B8" w:rsidP="00B03F7F">
      <w:pPr>
        <w:pStyle w:val="ManualConsidrant"/>
      </w:pPr>
      <w:r w:rsidRPr="001F17B8">
        <w:br w:type="page"/>
        <w:t>(</w:t>
      </w:r>
      <w:r w:rsidR="003E6DFA">
        <w:t>7</w:t>
      </w:r>
      <w:r w:rsidRPr="001F17B8">
        <w:t>)</w:t>
      </w:r>
      <w:r w:rsidRPr="001F17B8">
        <w:tab/>
      </w:r>
      <w:r w:rsidRPr="00DB2DA4">
        <w:t xml:space="preserve">Le recours à des produits de monnaie électronique est de plus en plus considéré comme un </w:t>
      </w:r>
      <w:r w:rsidR="00BF1E34" w:rsidRPr="00DB2DA4">
        <w:t>substitut aux</w:t>
      </w:r>
      <w:r w:rsidRPr="00DB2DA4">
        <w:t xml:space="preserve"> comptes bancaires, ce qui justifie</w:t>
      </w:r>
      <w:r w:rsidR="00827839" w:rsidRPr="00DB2DA4">
        <w:t>, outre les mesure</w:t>
      </w:r>
      <w:r w:rsidR="00883A1B" w:rsidRPr="00DB2DA4">
        <w:t>s</w:t>
      </w:r>
      <w:r w:rsidR="00827839" w:rsidRPr="00DB2DA4">
        <w:t xml:space="preserve"> figurant dans</w:t>
      </w:r>
      <w:r w:rsidRPr="00DB2DA4">
        <w:t xml:space="preserve"> la directive 2009/110/CE du Parlement européen et du Conseil</w:t>
      </w:r>
      <w:r w:rsidRPr="00B772CF">
        <w:rPr>
          <w:rStyle w:val="FootnoteReference"/>
        </w:rPr>
        <w:footnoteReference w:id="8"/>
      </w:r>
      <w:r w:rsidRPr="00DB2DA4">
        <w:t xml:space="preserve">, </w:t>
      </w:r>
      <w:r w:rsidR="00816B54">
        <w:t xml:space="preserve">le fait </w:t>
      </w:r>
      <w:r w:rsidR="00827839" w:rsidRPr="00DB2DA4">
        <w:t xml:space="preserve">que </w:t>
      </w:r>
      <w:r w:rsidRPr="00DB2DA4">
        <w:t>ces produits soient soumis</w:t>
      </w:r>
      <w:r w:rsidR="00816B54">
        <w:t xml:space="preserve"> </w:t>
      </w:r>
      <w:r w:rsidRPr="00DB2DA4">
        <w:t>aux obligations découlant de la lutte contre le blanchiment de capitaux et le financement</w:t>
      </w:r>
      <w:r w:rsidRPr="001F17B8">
        <w:t xml:space="preserve"> du terrorisme. Cependant, en cas de faiblesse avérée du risque et sous réserve de strictes conditions d'atténuation du risque, les États membres devraient être autorisés à exempter les produits de monnaie électronique de certaines mesures de vigilance à l'égard de la clientèle, comme l'identification du client et du </w:t>
      </w:r>
      <w:r w:rsidRPr="003C797F">
        <w:t>bénéficiaire effectif</w:t>
      </w:r>
      <w:r w:rsidRPr="001F17B8">
        <w:t xml:space="preserve"> ainsi que la vérification de leur identité, mais pas d</w:t>
      </w:r>
      <w:r w:rsidR="003A6F51">
        <w:t>u</w:t>
      </w:r>
      <w:r w:rsidR="00E359B3">
        <w:t xml:space="preserve"> </w:t>
      </w:r>
      <w:r w:rsidR="003A6F51">
        <w:t>contrôle</w:t>
      </w:r>
      <w:r w:rsidRPr="001F17B8">
        <w:t xml:space="preserve"> des transactions ou de</w:t>
      </w:r>
      <w:r w:rsidR="00827839">
        <w:t>s</w:t>
      </w:r>
      <w:r w:rsidRPr="001F17B8">
        <w:t xml:space="preserve"> relation</w:t>
      </w:r>
      <w:r w:rsidR="00827839">
        <w:t>s</w:t>
      </w:r>
      <w:r w:rsidRPr="001F17B8">
        <w:t xml:space="preserve"> d'affaires. Les conditions d'atténuation du risque devraient notamment imposer que les produits de monnaie électronique </w:t>
      </w:r>
      <w:r w:rsidR="00311801">
        <w:t xml:space="preserve">exemptés </w:t>
      </w:r>
      <w:r w:rsidR="00C87A20">
        <w:t>sont</w:t>
      </w:r>
      <w:r w:rsidR="00C87A20" w:rsidRPr="001F17B8">
        <w:t xml:space="preserve"> </w:t>
      </w:r>
      <w:r w:rsidRPr="001F17B8">
        <w:t>exclusivement</w:t>
      </w:r>
      <w:r w:rsidR="00C87A20">
        <w:t xml:space="preserve"> utilisés pour</w:t>
      </w:r>
      <w:r w:rsidRPr="001F17B8">
        <w:t xml:space="preserve"> acheter des biens ou des services et que le montant stocké sur un support électronique soit suffisamment faible pour éviter un contournement des règles en matière de lutte contre le blanchiment de capitaux et le financement du terrorisme. </w:t>
      </w:r>
      <w:r w:rsidR="006B0DED">
        <w:t>Une telle</w:t>
      </w:r>
      <w:r w:rsidR="006B0DED" w:rsidRPr="001F17B8">
        <w:t xml:space="preserve"> </w:t>
      </w:r>
      <w:r w:rsidRPr="001F17B8">
        <w:t>exemption</w:t>
      </w:r>
      <w:r w:rsidR="006B0DED">
        <w:t xml:space="preserve"> devrait être sans préjudice de</w:t>
      </w:r>
      <w:r w:rsidRPr="001F17B8">
        <w:t xml:space="preserve"> la faculté des États membres d'autoriser les </w:t>
      </w:r>
      <w:r w:rsidR="00870FFE">
        <w:t>entités assujettie</w:t>
      </w:r>
      <w:r w:rsidRPr="001F17B8">
        <w:t>s à appliquer des mesures simplifiées de vigilance à l'égard de la clientèle pour d'autres produits de monnaie électronique présentant des risques moins élevés</w:t>
      </w:r>
      <w:r w:rsidR="00A51BE1">
        <w:t>, conformément à l</w:t>
      </w:r>
      <w:r w:rsidR="00746943">
        <w:t>'</w:t>
      </w:r>
      <w:r w:rsidR="00A51BE1">
        <w:t>article 1</w:t>
      </w:r>
      <w:r w:rsidR="00DB2DA4">
        <w:t>5</w:t>
      </w:r>
      <w:r w:rsidRPr="001F17B8">
        <w:t>.</w:t>
      </w:r>
    </w:p>
    <w:p w:rsidR="001F17B8" w:rsidRPr="001F17B8" w:rsidRDefault="006B0DED">
      <w:pPr>
        <w:pStyle w:val="ManualConsidrant"/>
      </w:pPr>
      <w:r>
        <w:t>(</w:t>
      </w:r>
      <w:r w:rsidR="00827839">
        <w:t>8</w:t>
      </w:r>
      <w:r>
        <w:t>)</w:t>
      </w:r>
      <w:r>
        <w:tab/>
        <w:t xml:space="preserve">S'agissant des </w:t>
      </w:r>
      <w:r w:rsidR="00870FFE">
        <w:t>entités assujetties</w:t>
      </w:r>
      <w:r>
        <w:t xml:space="preserve"> qui sont soumises à la présente directive, l</w:t>
      </w:r>
      <w:r w:rsidR="001F17B8" w:rsidRPr="001F17B8">
        <w:t>es agents immobiliers pourraient s'entendre comme incluant les agents de location, le cas échéant.</w:t>
      </w:r>
    </w:p>
    <w:p w:rsidR="007E794E" w:rsidRDefault="00274539" w:rsidP="00746943">
      <w:pPr>
        <w:pStyle w:val="ManualConsidrant"/>
      </w:pPr>
      <w:r>
        <w:br w:type="page"/>
      </w:r>
      <w:r w:rsidR="001F17B8" w:rsidRPr="001F17B8">
        <w:t>(</w:t>
      </w:r>
      <w:r w:rsidR="004E68CF">
        <w:t>9</w:t>
      </w:r>
      <w:r w:rsidR="001F17B8" w:rsidRPr="001F17B8">
        <w:t>)</w:t>
      </w:r>
      <w:r w:rsidR="001F17B8" w:rsidRPr="001F17B8">
        <w:tab/>
      </w:r>
      <w:r w:rsidR="001F17B8" w:rsidRPr="00D46885">
        <w:t xml:space="preserve">Les membres des professions juridiques, telles qu'elles sont définies par les États membres, devraient être soumis </w:t>
      </w:r>
      <w:r w:rsidR="00A37F91" w:rsidRPr="00D46885">
        <w:t>à</w:t>
      </w:r>
      <w:r w:rsidR="001F17B8" w:rsidRPr="00D46885">
        <w:t xml:space="preserve"> la présente directive lorsqu'ils participent à des transactions de nature financière ou pour le compte de sociétés, notamment lorsqu'ils </w:t>
      </w:r>
      <w:r w:rsidR="00E70769" w:rsidRPr="00D46885">
        <w:t>fournissent des</w:t>
      </w:r>
      <w:r w:rsidR="001F17B8" w:rsidRPr="00D46885">
        <w:t xml:space="preserve"> conseil</w:t>
      </w:r>
      <w:r w:rsidR="00E70769" w:rsidRPr="00D46885">
        <w:t>s en matière</w:t>
      </w:r>
      <w:r w:rsidR="001F17B8" w:rsidRPr="00D46885">
        <w:t xml:space="preserve"> fiscal</w:t>
      </w:r>
      <w:r w:rsidR="00E70769" w:rsidRPr="00D46885">
        <w:t>e</w:t>
      </w:r>
      <w:r w:rsidR="001F17B8" w:rsidRPr="00D46885">
        <w:t>, car c'est là que le risque de détournement de leurs services à des fins de blanchiment des produits du crime ou de financement du terrorisme est le plus élevé. Il conviendrait toutefois de soustraire à toute obligation de déclaration les informations obtenues avant, pendant ou après une procédure judiciaire ou lors de l'évaluation de la situation juridique d'u</w:t>
      </w:r>
      <w:r w:rsidR="001F17B8" w:rsidRPr="001F17B8">
        <w:t>n client. Par conséquent, le</w:t>
      </w:r>
      <w:r w:rsidR="00746943">
        <w:t xml:space="preserve"> </w:t>
      </w:r>
      <w:r w:rsidR="001F17B8" w:rsidRPr="001F17B8">
        <w:t xml:space="preserve">conseil juridique devrait rester soumis à l'obligation de secret professionnel, sauf si le </w:t>
      </w:r>
      <w:r w:rsidR="00A37F91">
        <w:t>membre d</w:t>
      </w:r>
      <w:r w:rsidR="00C87A20">
        <w:t>'un</w:t>
      </w:r>
      <w:r w:rsidR="00A37F91">
        <w:t>e profession juridique</w:t>
      </w:r>
      <w:r w:rsidR="001F17B8" w:rsidRPr="001F17B8">
        <w:t xml:space="preserve"> prend part à des activités de blanchiment de capitaux ou de financement du terrorisme, fournit </w:t>
      </w:r>
      <w:r w:rsidR="00816B54">
        <w:t>des</w:t>
      </w:r>
      <w:r w:rsidR="001F17B8" w:rsidRPr="001F17B8">
        <w:t xml:space="preserve"> conseil</w:t>
      </w:r>
      <w:r w:rsidR="00816B54">
        <w:t>s</w:t>
      </w:r>
      <w:r w:rsidR="001F17B8" w:rsidRPr="001F17B8">
        <w:t xml:space="preserve"> juridique</w:t>
      </w:r>
      <w:r w:rsidR="00816B54">
        <w:t>s</w:t>
      </w:r>
      <w:r w:rsidR="001F17B8" w:rsidRPr="001F17B8">
        <w:t xml:space="preserve"> à des fins de blanchiment de capitaux ou de financement du terrorisme ou sait que son client le sollicite à de telles fins.</w:t>
      </w:r>
    </w:p>
    <w:p w:rsidR="001F17B8" w:rsidRPr="001F17B8" w:rsidRDefault="001F17B8" w:rsidP="00204AB4">
      <w:pPr>
        <w:pStyle w:val="ManualConsidrant"/>
      </w:pPr>
      <w:r w:rsidRPr="001F17B8">
        <w:t>(</w:t>
      </w:r>
      <w:r w:rsidR="004E68CF">
        <w:t>10</w:t>
      </w:r>
      <w:r w:rsidRPr="001F17B8">
        <w:t>)</w:t>
      </w:r>
      <w:r w:rsidRPr="001F17B8">
        <w:tab/>
        <w:t xml:space="preserve">Des services directement comparables devraient être traités de la même manière lorsqu'ils sont fournis par l'une des professions </w:t>
      </w:r>
      <w:r w:rsidR="00E70769">
        <w:t>relevant de</w:t>
      </w:r>
      <w:r w:rsidRPr="001F17B8">
        <w:t xml:space="preserve"> la présente directive. Afin de garantir le respect des droits consacrés par la </w:t>
      </w:r>
      <w:r w:rsidR="00A37F91">
        <w:t>c</w:t>
      </w:r>
      <w:r w:rsidRPr="001F17B8">
        <w:t>harte</w:t>
      </w:r>
      <w:r>
        <w:t xml:space="preserve"> des droits fondamentaux de l'Union européenne (ci-après dénommée "charte")</w:t>
      </w:r>
      <w:r w:rsidRPr="001F17B8">
        <w:t xml:space="preserve">, les auditeurs, les experts-comptables externes et les conseillers fiscaux, qui, dans certains États membres, </w:t>
      </w:r>
      <w:r w:rsidR="004E68CF">
        <w:t>ont le droit de</w:t>
      </w:r>
      <w:r w:rsidRPr="001F17B8">
        <w:t xml:space="preserve"> défendre ou </w:t>
      </w:r>
      <w:r w:rsidR="004E68CF">
        <w:t xml:space="preserve">de </w:t>
      </w:r>
      <w:r w:rsidRPr="001F17B8">
        <w:t xml:space="preserve">représenter un client dans une procédure judiciaire ou </w:t>
      </w:r>
      <w:r w:rsidR="004E68CF">
        <w:t>d'</w:t>
      </w:r>
      <w:r w:rsidRPr="001F17B8">
        <w:t xml:space="preserve">évaluer la situation juridique d'un client, ne devraient pas être soumis aux obligations de déclaration </w:t>
      </w:r>
      <w:r w:rsidR="0049460A">
        <w:t>définies dans</w:t>
      </w:r>
      <w:r w:rsidRPr="001F17B8">
        <w:t xml:space="preserve"> la présente directive pour les informations obtenues dans l'exercice de telles fonctions.</w:t>
      </w:r>
    </w:p>
    <w:p w:rsidR="001F17B8" w:rsidRPr="001F17B8" w:rsidRDefault="00274539" w:rsidP="00FC0A38">
      <w:pPr>
        <w:pStyle w:val="ManualConsidrant"/>
      </w:pPr>
      <w:r>
        <w:br w:type="page"/>
      </w:r>
      <w:r w:rsidR="001F17B8" w:rsidRPr="001F17B8">
        <w:t>(</w:t>
      </w:r>
      <w:r w:rsidR="004E68CF">
        <w:t>11</w:t>
      </w:r>
      <w:r w:rsidR="001F17B8" w:rsidRPr="001F17B8">
        <w:t>)</w:t>
      </w:r>
      <w:r w:rsidR="001F17B8" w:rsidRPr="001F17B8">
        <w:tab/>
        <w:t xml:space="preserve">Il importe </w:t>
      </w:r>
      <w:r w:rsidR="00186E95">
        <w:t>de souligner</w:t>
      </w:r>
      <w:r w:rsidR="00186E95" w:rsidRPr="001F17B8">
        <w:t xml:space="preserve"> </w:t>
      </w:r>
      <w:r w:rsidR="001F17B8" w:rsidRPr="001F17B8">
        <w:t xml:space="preserve">expressément que les "infractions fiscales pénales" </w:t>
      </w:r>
      <w:r w:rsidR="00FC0A38">
        <w:t>liées</w:t>
      </w:r>
      <w:r w:rsidR="00CB373B" w:rsidRPr="001F17B8">
        <w:t xml:space="preserve"> </w:t>
      </w:r>
      <w:r w:rsidR="001F17B8" w:rsidRPr="001F17B8">
        <w:t>aux impôts directs et indirects sont incluses dans la définition large d'"activi</w:t>
      </w:r>
      <w:r w:rsidR="00746943">
        <w:t xml:space="preserve">té criminelle" contenue dans la </w:t>
      </w:r>
      <w:r w:rsidR="001F17B8" w:rsidRPr="001F17B8">
        <w:t>présente directive, conformément aux recommandations révisées du GAFI. Étant donné que les États membres peuvent désigner des infractions fiscales différentes comme constitu</w:t>
      </w:r>
      <w:r w:rsidR="00E70769">
        <w:t>ant</w:t>
      </w:r>
      <w:r w:rsidR="00A41661">
        <w:t xml:space="preserve"> une </w:t>
      </w:r>
      <w:r w:rsidR="001F17B8" w:rsidRPr="001F17B8">
        <w:t xml:space="preserve">"activité criminelle" </w:t>
      </w:r>
      <w:r w:rsidR="003A6F51">
        <w:t>punissable</w:t>
      </w:r>
      <w:r w:rsidR="001F17B8" w:rsidRPr="001F17B8">
        <w:t xml:space="preserve"> des sanctions </w:t>
      </w:r>
      <w:r w:rsidR="00186E95">
        <w:t>visées à l'article 3, point 4) f), de</w:t>
      </w:r>
      <w:r w:rsidR="00746943">
        <w:t xml:space="preserve"> </w:t>
      </w:r>
      <w:r w:rsidR="001F17B8" w:rsidRPr="001F17B8">
        <w:t>la</w:t>
      </w:r>
      <w:r w:rsidR="00746943">
        <w:t xml:space="preserve"> </w:t>
      </w:r>
      <w:r w:rsidR="001F17B8" w:rsidRPr="001F17B8">
        <w:t xml:space="preserve">présente directive, les définitions des infractions fiscales pénales peuvent différer d'un </w:t>
      </w:r>
      <w:r w:rsidR="00422A34">
        <w:t>droit</w:t>
      </w:r>
      <w:r w:rsidR="001F17B8" w:rsidRPr="001F17B8">
        <w:t xml:space="preserve"> </w:t>
      </w:r>
      <w:r w:rsidR="00422A34">
        <w:t xml:space="preserve">national </w:t>
      </w:r>
      <w:r w:rsidR="001F17B8" w:rsidRPr="001F17B8">
        <w:t xml:space="preserve">à l'autre. </w:t>
      </w:r>
      <w:r w:rsidR="00816B54">
        <w:t>Même s</w:t>
      </w:r>
      <w:r w:rsidR="00732117">
        <w:t>i</w:t>
      </w:r>
      <w:r w:rsidR="001F17B8" w:rsidRPr="001F17B8">
        <w:t xml:space="preserve"> l'objectif visé n</w:t>
      </w:r>
      <w:r w:rsidR="00D46885">
        <w:t>'</w:t>
      </w:r>
      <w:r w:rsidR="00732117">
        <w:t>est</w:t>
      </w:r>
      <w:r w:rsidR="001F17B8" w:rsidRPr="001F17B8">
        <w:t xml:space="preserve"> pas une harmonisation des définitions des infractions fiscales pénales dans les </w:t>
      </w:r>
      <w:r w:rsidR="00422A34">
        <w:t xml:space="preserve">droits </w:t>
      </w:r>
      <w:r w:rsidR="001F17B8" w:rsidRPr="001F17B8">
        <w:t xml:space="preserve">des États membres, ces derniers devraient, dans la </w:t>
      </w:r>
      <w:r w:rsidR="00186E95">
        <w:t xml:space="preserve">plus grande </w:t>
      </w:r>
      <w:r w:rsidR="001F17B8" w:rsidRPr="001F17B8">
        <w:t xml:space="preserve">mesure </w:t>
      </w:r>
      <w:r w:rsidR="00DC2C36">
        <w:t>possible en vertu de</w:t>
      </w:r>
      <w:r w:rsidR="001F17B8" w:rsidRPr="001F17B8">
        <w:t xml:space="preserve"> leur </w:t>
      </w:r>
      <w:r w:rsidR="00422A34">
        <w:t>droit</w:t>
      </w:r>
      <w:r w:rsidR="001F17B8" w:rsidRPr="001F17B8">
        <w:t xml:space="preserve"> national, autoriser l'échange d'informations ou la fourniture d'une assistance entre les cellules de renseignement financier (CRF) de l'U</w:t>
      </w:r>
      <w:r w:rsidR="00E70769">
        <w:t>nion</w:t>
      </w:r>
      <w:r w:rsidR="001F17B8" w:rsidRPr="001F17B8">
        <w:t>.</w:t>
      </w:r>
    </w:p>
    <w:p w:rsidR="001F17B8" w:rsidRPr="001F17B8" w:rsidRDefault="001F17B8" w:rsidP="00E70769">
      <w:pPr>
        <w:pStyle w:val="ManualConsidrant"/>
      </w:pPr>
      <w:r w:rsidRPr="001F17B8">
        <w:t>(</w:t>
      </w:r>
      <w:r w:rsidR="004E68CF">
        <w:t>12</w:t>
      </w:r>
      <w:r w:rsidRPr="001F17B8">
        <w:t>)</w:t>
      </w:r>
      <w:r w:rsidRPr="001F17B8">
        <w:tab/>
        <w:t xml:space="preserve">Il est nécessaire d'identifier toute personne physique qui possède une entité juridique ou exerce le contrôle sur celle-ci. Pour garantir une transparence effective, les États membres devraient </w:t>
      </w:r>
      <w:r w:rsidR="00E70769">
        <w:t>veiller à ce</w:t>
      </w:r>
      <w:r w:rsidRPr="001F17B8">
        <w:t xml:space="preserve"> que cela s'applique à l'éventail le plus large possible d'entités juridiques constituées ou créées par tout autre mécanisme sur leur territoire. Si un pourcentage </w:t>
      </w:r>
      <w:r w:rsidR="00E70769">
        <w:t xml:space="preserve">déterminé </w:t>
      </w:r>
      <w:r w:rsidRPr="001F17B8">
        <w:t xml:space="preserve">de participation ou </w:t>
      </w:r>
      <w:r w:rsidR="00E70769">
        <w:t>de</w:t>
      </w:r>
      <w:r w:rsidRPr="001F17B8">
        <w:t xml:space="preserve"> participation au capital ne permet pas d'identifier </w:t>
      </w:r>
      <w:r w:rsidR="00DC2C36" w:rsidRPr="001F17B8">
        <w:t xml:space="preserve">automatiquement </w:t>
      </w:r>
      <w:r w:rsidRPr="001F17B8">
        <w:t xml:space="preserve">le bénéficiaire effectif, il </w:t>
      </w:r>
      <w:r w:rsidR="00AA7F02">
        <w:t xml:space="preserve">devrait </w:t>
      </w:r>
      <w:r w:rsidRPr="001F17B8">
        <w:t>s'agi</w:t>
      </w:r>
      <w:r w:rsidR="00AA7F02">
        <w:t>r</w:t>
      </w:r>
      <w:r w:rsidRPr="001F17B8">
        <w:t xml:space="preserve"> d'un élément de preuve parmi d'autres à prendre en considération. Les États membres </w:t>
      </w:r>
      <w:r w:rsidR="00AA7F02">
        <w:t>devraient toutefois pouvoir</w:t>
      </w:r>
      <w:r w:rsidRPr="001F17B8">
        <w:t xml:space="preserve"> décider qu'un pourcentage plus faible peut constituer un signe de propriété ou de contrôle.</w:t>
      </w:r>
    </w:p>
    <w:p w:rsidR="001F17B8" w:rsidRPr="001F17B8" w:rsidRDefault="001F17B8" w:rsidP="00746943">
      <w:pPr>
        <w:pStyle w:val="ManualConsidrant"/>
      </w:pPr>
      <w:r w:rsidRPr="001F17B8">
        <w:br w:type="page"/>
      </w:r>
      <w:r w:rsidR="004E68CF">
        <w:t>(13)</w:t>
      </w:r>
      <w:r w:rsidR="004E68CF">
        <w:tab/>
      </w:r>
      <w:r w:rsidRPr="001F17B8">
        <w:t>L'identification du bénéficiaire effectif et la vérification de son identité devraient, s'il y a lieu, s'étendre aux entités juridiques qui possèdent d'autres entités juridiques</w:t>
      </w:r>
      <w:r w:rsidR="00883A1B">
        <w:t>,</w:t>
      </w:r>
      <w:r w:rsidRPr="001F17B8">
        <w:t xml:space="preserve"> et les </w:t>
      </w:r>
      <w:r w:rsidR="00870FFE">
        <w:t>entités assujetties</w:t>
      </w:r>
      <w:r w:rsidRPr="001F17B8">
        <w:t xml:space="preserve"> devraient rechercher la ou les personnes physiques qui exercent en </w:t>
      </w:r>
      <w:r w:rsidR="00883A1B">
        <w:t>dernier ressort</w:t>
      </w:r>
      <w:r w:rsidR="00883A1B" w:rsidRPr="001F17B8">
        <w:t xml:space="preserve"> </w:t>
      </w:r>
      <w:r w:rsidRPr="001F17B8">
        <w:t xml:space="preserve">le contrôle du fait qu'elles possèdent ou contrôlent par d'autres moyens l'entité juridique qui est le client. Le contrôle par d'autres moyens peut, notamment, comprendre les critères de contrôle retenus aux fins de l'établissement des états financiers consolidés, tel que le pacte d'actionnaires, l'exercice d'une influence dominante ou le pouvoir de nommer </w:t>
      </w:r>
      <w:r w:rsidR="0053161A" w:rsidRPr="004142DD">
        <w:t xml:space="preserve">les membres </w:t>
      </w:r>
      <w:r w:rsidR="004142DD" w:rsidRPr="00A41661">
        <w:t>d'un niveau élevé de la hiérarchie</w:t>
      </w:r>
      <w:r w:rsidRPr="004142DD">
        <w:t>.</w:t>
      </w:r>
      <w:r w:rsidRPr="001F17B8">
        <w:t xml:space="preserve"> Dans certains cas, il peut s'avérer impossible d'identifier la personne physique qui</w:t>
      </w:r>
      <w:r w:rsidR="00E70769">
        <w:t>,</w:t>
      </w:r>
      <w:r w:rsidRPr="001F17B8">
        <w:t xml:space="preserve"> en dernier ressort</w:t>
      </w:r>
      <w:r w:rsidR="00E70769">
        <w:t>, possède ou exerce un contrôle sur</w:t>
      </w:r>
      <w:r w:rsidRPr="001F17B8">
        <w:t xml:space="preserve"> l'entité juridique. Dans ces cas exceptionnels, les </w:t>
      </w:r>
      <w:r w:rsidR="00870FFE">
        <w:t>entités assujetties</w:t>
      </w:r>
      <w:r w:rsidR="00883A1B" w:rsidRPr="00883A1B">
        <w:t xml:space="preserve"> </w:t>
      </w:r>
      <w:r w:rsidR="00F00614">
        <w:t>peuvent</w:t>
      </w:r>
      <w:r w:rsidR="00883A1B">
        <w:t xml:space="preserve"> </w:t>
      </w:r>
      <w:r w:rsidR="00883A1B" w:rsidRPr="001F17B8">
        <w:t>considérer</w:t>
      </w:r>
      <w:r w:rsidRPr="001F17B8">
        <w:t xml:space="preserve">, après avoir épuisé tous les autres moyens d'identification, et pour autant qu'il n'y ait pas de motif de suspicion, que </w:t>
      </w:r>
      <w:r w:rsidRPr="004142DD">
        <w:t xml:space="preserve">le ou les </w:t>
      </w:r>
      <w:r w:rsidR="00DC2C36" w:rsidRPr="004142DD">
        <w:t>dirigeants principaux</w:t>
      </w:r>
      <w:r w:rsidRPr="004142DD">
        <w:t xml:space="preserve"> s</w:t>
      </w:r>
      <w:r w:rsidRPr="001F17B8">
        <w:t>ont le</w:t>
      </w:r>
      <w:r w:rsidR="00AD7BD8">
        <w:t>s</w:t>
      </w:r>
      <w:r w:rsidRPr="001F17B8">
        <w:t xml:space="preserve"> bénéficiaire</w:t>
      </w:r>
      <w:r w:rsidR="00AD7BD8">
        <w:t>s</w:t>
      </w:r>
      <w:r w:rsidRPr="001F17B8">
        <w:t xml:space="preserve"> effectif</w:t>
      </w:r>
      <w:r w:rsidR="00AD7BD8">
        <w:t>s</w:t>
      </w:r>
      <w:r w:rsidRPr="001F17B8">
        <w:t>.</w:t>
      </w:r>
    </w:p>
    <w:p w:rsidR="001F17B8" w:rsidRPr="001F17B8" w:rsidRDefault="00274539" w:rsidP="004142DD">
      <w:pPr>
        <w:pStyle w:val="ManualConsidrant"/>
      </w:pPr>
      <w:r>
        <w:br w:type="page"/>
      </w:r>
      <w:r w:rsidR="001F17B8" w:rsidRPr="001F17B8">
        <w:t>(1</w:t>
      </w:r>
      <w:r w:rsidR="004E68CF">
        <w:t>4</w:t>
      </w:r>
      <w:r w:rsidR="001F17B8" w:rsidRPr="001F17B8">
        <w:t>)</w:t>
      </w:r>
      <w:r w:rsidR="001F17B8" w:rsidRPr="001F17B8">
        <w:tab/>
        <w:t>L</w:t>
      </w:r>
      <w:r w:rsidR="00E70769">
        <w:t>a</w:t>
      </w:r>
      <w:r w:rsidR="001F17B8" w:rsidRPr="001F17B8">
        <w:t xml:space="preserve"> </w:t>
      </w:r>
      <w:r w:rsidR="00E70769">
        <w:t>nécessité</w:t>
      </w:r>
      <w:r w:rsidR="001F17B8" w:rsidRPr="001F17B8">
        <w:t xml:space="preserve"> de disposer d'informations exactes et actualisées sur le bénéficiaire effectif joue un rôle déterminant pour remonter jusqu'aux criminels, qui pourraient autrement </w:t>
      </w:r>
      <w:r w:rsidR="007121E3">
        <w:t>masquer leur identité</w:t>
      </w:r>
      <w:r w:rsidR="001F17B8" w:rsidRPr="001F17B8">
        <w:t xml:space="preserve"> derrière une </w:t>
      </w:r>
      <w:r w:rsidR="001F17B8" w:rsidRPr="007E794E">
        <w:t xml:space="preserve">structure de société. Les États membres devraient donc veiller à ce que les entités constituées </w:t>
      </w:r>
      <w:r w:rsidR="00AA7F02">
        <w:t xml:space="preserve">sur leur territoire </w:t>
      </w:r>
      <w:r w:rsidR="001F17B8" w:rsidRPr="007E794E">
        <w:t>conformément au</w:t>
      </w:r>
      <w:r w:rsidR="001F17B8" w:rsidRPr="003152F8">
        <w:t xml:space="preserve"> droit national recueillent et conservent</w:t>
      </w:r>
      <w:r w:rsidR="00AA7F02" w:rsidRPr="00AA7F02">
        <w:t xml:space="preserve"> </w:t>
      </w:r>
      <w:r w:rsidR="00AA7F02" w:rsidRPr="001F17B8">
        <w:t xml:space="preserve">des informations suffisantes, exactes et </w:t>
      </w:r>
      <w:r w:rsidR="00AD7BD8" w:rsidRPr="00AD7BD8">
        <w:t>actuelles</w:t>
      </w:r>
      <w:r w:rsidR="00AA7F02" w:rsidRPr="001F17B8">
        <w:t xml:space="preserve"> sur leur</w:t>
      </w:r>
      <w:r w:rsidR="00D46885">
        <w:t>s</w:t>
      </w:r>
      <w:r w:rsidR="00AA7F02" w:rsidRPr="001F17B8">
        <w:t xml:space="preserve"> bénéficiaire</w:t>
      </w:r>
      <w:r w:rsidR="00D46885">
        <w:t>s</w:t>
      </w:r>
      <w:r w:rsidR="00AA7F02" w:rsidRPr="001F17B8">
        <w:t xml:space="preserve"> effectif</w:t>
      </w:r>
      <w:r w:rsidR="00D46885">
        <w:t>s</w:t>
      </w:r>
      <w:r w:rsidR="001F17B8" w:rsidRPr="007E794E">
        <w:t>, outre les informations de base</w:t>
      </w:r>
      <w:r w:rsidR="001F17B8" w:rsidRPr="001F17B8">
        <w:t xml:space="preserve"> telles que le nom et l'adresse de la société, </w:t>
      </w:r>
      <w:r w:rsidR="00E70769">
        <w:t xml:space="preserve">et </w:t>
      </w:r>
      <w:r w:rsidR="001F17B8" w:rsidRPr="001F17B8">
        <w:t>la preuve de constitution et de propriété légale. En vue de renforcer la transparence afin de lutter contre le détournement d'entités juridiques, les États membres devraient veiller à ce que les informations sur le</w:t>
      </w:r>
      <w:r w:rsidR="00D46885">
        <w:t>s</w:t>
      </w:r>
      <w:r w:rsidR="001F17B8" w:rsidRPr="001F17B8">
        <w:t xml:space="preserve"> bénéficiaire</w:t>
      </w:r>
      <w:r w:rsidR="00D46885">
        <w:t>s</w:t>
      </w:r>
      <w:r w:rsidR="001F17B8" w:rsidRPr="001F17B8">
        <w:t xml:space="preserve"> effectif</w:t>
      </w:r>
      <w:r w:rsidR="00D46885">
        <w:t>s</w:t>
      </w:r>
      <w:r w:rsidR="001F17B8" w:rsidRPr="001F17B8">
        <w:t xml:space="preserve"> soient conservées dans un registre central </w:t>
      </w:r>
      <w:r w:rsidR="007121E3">
        <w:t>tenu</w:t>
      </w:r>
      <w:r w:rsidR="001F17B8" w:rsidRPr="001F17B8">
        <w:t xml:space="preserve"> en dehors de la société, dans le plein respect du droit de l'Union. Les États membres peuvent utiliser à cet effet une base de données centrale qui collecte les informations sur le</w:t>
      </w:r>
      <w:r w:rsidR="00D46885">
        <w:t>s</w:t>
      </w:r>
      <w:r w:rsidR="001F17B8" w:rsidRPr="001F17B8">
        <w:t xml:space="preserve"> bénéficiaire</w:t>
      </w:r>
      <w:r w:rsidR="00D46885">
        <w:t>s</w:t>
      </w:r>
      <w:r w:rsidR="001F17B8" w:rsidRPr="001F17B8">
        <w:t xml:space="preserve"> effectif</w:t>
      </w:r>
      <w:r w:rsidR="00D46885">
        <w:t>s</w:t>
      </w:r>
      <w:r w:rsidR="008F6877">
        <w:t>,</w:t>
      </w:r>
      <w:r w:rsidR="001F17B8" w:rsidRPr="001F17B8">
        <w:t xml:space="preserve"> ou le registre </w:t>
      </w:r>
      <w:r w:rsidR="003A6F51">
        <w:t xml:space="preserve">du commerce et </w:t>
      </w:r>
      <w:r w:rsidR="001F17B8" w:rsidRPr="001F17B8">
        <w:t xml:space="preserve">des </w:t>
      </w:r>
      <w:r w:rsidR="003A6F51">
        <w:t>sociétés</w:t>
      </w:r>
      <w:r w:rsidR="001F17B8" w:rsidRPr="001F17B8">
        <w:t xml:space="preserve"> ou un autre registre central. Les États membres </w:t>
      </w:r>
      <w:r w:rsidR="007D01E8">
        <w:t>peuvent</w:t>
      </w:r>
      <w:r w:rsidR="001F17B8" w:rsidRPr="001F17B8">
        <w:t xml:space="preserve"> décider que les </w:t>
      </w:r>
      <w:r w:rsidR="00870FFE">
        <w:t>entités assujetties</w:t>
      </w:r>
      <w:r w:rsidR="001F17B8" w:rsidRPr="001F17B8">
        <w:t xml:space="preserve"> sont chargé</w:t>
      </w:r>
      <w:r w:rsidR="008F6877">
        <w:t>e</w:t>
      </w:r>
      <w:r w:rsidR="001F17B8" w:rsidRPr="001F17B8">
        <w:t xml:space="preserve">s de remplir le registre. Les États membres devraient s'assurer que, dans tous les cas, ces informations sont mises à la disposition des autorités compétentes et des CRF et sont communiquées aux </w:t>
      </w:r>
      <w:r w:rsidR="00870FFE">
        <w:t>entités assujetties</w:t>
      </w:r>
      <w:r w:rsidR="001F17B8" w:rsidRPr="001F17B8">
        <w:t xml:space="preserve"> lorsque ces dernières prennent des mesures de vigilance à l'égard de la clientèle. Les États membres devraient également s'assurer que l'accès aux informations sur le</w:t>
      </w:r>
      <w:r w:rsidR="00D46885">
        <w:t>s</w:t>
      </w:r>
      <w:r w:rsidR="001F17B8" w:rsidRPr="001F17B8">
        <w:t xml:space="preserve"> bénéficiaire</w:t>
      </w:r>
      <w:r w:rsidR="00D46885">
        <w:t>s</w:t>
      </w:r>
      <w:r w:rsidR="001F17B8" w:rsidRPr="001F17B8">
        <w:t xml:space="preserve"> effectif</w:t>
      </w:r>
      <w:r w:rsidR="00D46885">
        <w:t>s</w:t>
      </w:r>
      <w:r w:rsidR="001F17B8" w:rsidRPr="001F17B8">
        <w:t xml:space="preserve"> </w:t>
      </w:r>
      <w:r w:rsidR="008F6877">
        <w:t xml:space="preserve">est </w:t>
      </w:r>
      <w:r w:rsidR="003A6F51">
        <w:t>accordé</w:t>
      </w:r>
      <w:r w:rsidR="001F17B8" w:rsidRPr="001F17B8">
        <w:t xml:space="preserve">, conformément aux règles en matière de protection des données, </w:t>
      </w:r>
      <w:r w:rsidR="008F6877">
        <w:t>à</w:t>
      </w:r>
      <w:r w:rsidR="001F17B8" w:rsidRPr="001F17B8">
        <w:t xml:space="preserve"> </w:t>
      </w:r>
      <w:r w:rsidR="008F6877">
        <w:t>d'</w:t>
      </w:r>
      <w:r w:rsidR="001F17B8" w:rsidRPr="001F17B8">
        <w:t xml:space="preserve">autres personnes </w:t>
      </w:r>
      <w:r w:rsidR="008F6877">
        <w:t xml:space="preserve">pouvant </w:t>
      </w:r>
      <w:r w:rsidR="001F17B8" w:rsidRPr="001F17B8">
        <w:t>justifi</w:t>
      </w:r>
      <w:r w:rsidR="008F6877">
        <w:t>er</w:t>
      </w:r>
      <w:r w:rsidR="001F17B8" w:rsidRPr="001F17B8">
        <w:t xml:space="preserve"> d'un intérêt légitime en ce qui concerne le blanchiment de capitaux, le financement du terrorisme et les infractions </w:t>
      </w:r>
      <w:r w:rsidR="00500C3C">
        <w:t>sous-jacentes associées</w:t>
      </w:r>
      <w:r w:rsidR="001F17B8" w:rsidRPr="001F17B8">
        <w:t xml:space="preserve"> comme la corruption, les infractions fiscales pénales et la fraude. Les personnes justifiant d'un intérêt légitime devraient avoir accès aux informations concernant la nature et l'ampleur des intérêts </w:t>
      </w:r>
      <w:r w:rsidR="004142DD">
        <w:t xml:space="preserve">effectifs </w:t>
      </w:r>
      <w:r w:rsidR="001F17B8" w:rsidRPr="001F17B8">
        <w:t>détenus</w:t>
      </w:r>
      <w:r w:rsidR="00D46885">
        <w:t xml:space="preserve"> </w:t>
      </w:r>
      <w:r w:rsidR="001F17B8" w:rsidRPr="001F17B8">
        <w:t>sous la forme de leur poids approximatif.</w:t>
      </w:r>
    </w:p>
    <w:p w:rsidR="007D01E8" w:rsidRDefault="007468C2" w:rsidP="00746943">
      <w:pPr>
        <w:pStyle w:val="ManualConsidrant"/>
      </w:pPr>
      <w:r>
        <w:t>(15)</w:t>
      </w:r>
      <w:r>
        <w:tab/>
      </w:r>
      <w:r w:rsidR="001F17B8" w:rsidRPr="001F17B8">
        <w:t xml:space="preserve">À cet effet, les États membres </w:t>
      </w:r>
      <w:r>
        <w:t>devraient pouvoir</w:t>
      </w:r>
      <w:r w:rsidRPr="001F17B8">
        <w:t xml:space="preserve"> </w:t>
      </w:r>
      <w:r w:rsidR="001F17B8" w:rsidRPr="001F17B8">
        <w:t xml:space="preserve">autoriser au titre de leur droit national un accès plus large que celui </w:t>
      </w:r>
      <w:r w:rsidR="00732117">
        <w:t>prévu par</w:t>
      </w:r>
      <w:r w:rsidR="001F17B8" w:rsidRPr="001F17B8">
        <w:t xml:space="preserve"> la présente directive.</w:t>
      </w:r>
    </w:p>
    <w:p w:rsidR="001F17B8" w:rsidRPr="001F17B8" w:rsidRDefault="00746943" w:rsidP="00746943">
      <w:pPr>
        <w:pStyle w:val="ManualConsidrant"/>
      </w:pPr>
      <w:r>
        <w:br w:type="page"/>
      </w:r>
      <w:r w:rsidR="007D01E8">
        <w:t>(1</w:t>
      </w:r>
      <w:r w:rsidR="009670B6">
        <w:t>6</w:t>
      </w:r>
      <w:r>
        <w:t>)</w:t>
      </w:r>
      <w:r w:rsidR="000924BE">
        <w:tab/>
      </w:r>
      <w:r w:rsidR="001F17B8" w:rsidRPr="001F17B8">
        <w:t xml:space="preserve">Il convient d'assurer un accès </w:t>
      </w:r>
      <w:r w:rsidR="00C73A6E">
        <w:t>en temps utile</w:t>
      </w:r>
      <w:r w:rsidR="00C73A6E" w:rsidRPr="001F17B8">
        <w:t xml:space="preserve"> </w:t>
      </w:r>
      <w:r w:rsidR="001F17B8" w:rsidRPr="001F17B8">
        <w:t>aux informations relatives au</w:t>
      </w:r>
      <w:r w:rsidR="00D46885">
        <w:t>x</w:t>
      </w:r>
      <w:r w:rsidR="001F17B8" w:rsidRPr="001F17B8">
        <w:t xml:space="preserve"> bénéficiaire</w:t>
      </w:r>
      <w:r w:rsidR="00D46885">
        <w:t>s</w:t>
      </w:r>
      <w:r w:rsidR="001F17B8" w:rsidRPr="001F17B8">
        <w:t xml:space="preserve"> effectif</w:t>
      </w:r>
      <w:r w:rsidR="00D46885">
        <w:t>s</w:t>
      </w:r>
      <w:r w:rsidR="001F17B8" w:rsidRPr="001F17B8">
        <w:t xml:space="preserve"> selon des modalités permettant d'éviter tout risque d'alerte</w:t>
      </w:r>
      <w:r w:rsidR="00C73A6E">
        <w:t>r</w:t>
      </w:r>
      <w:r w:rsidR="001F17B8" w:rsidRPr="001F17B8">
        <w:t xml:space="preserve"> la société concernée.</w:t>
      </w:r>
    </w:p>
    <w:p w:rsidR="001F17B8" w:rsidRPr="001F17B8" w:rsidRDefault="007468C2" w:rsidP="00746943">
      <w:pPr>
        <w:pStyle w:val="ManualConsidrant"/>
      </w:pPr>
      <w:r>
        <w:t>(1</w:t>
      </w:r>
      <w:r w:rsidR="009670B6">
        <w:t>7</w:t>
      </w:r>
      <w:r>
        <w:t>)</w:t>
      </w:r>
      <w:r>
        <w:tab/>
      </w:r>
      <w:r w:rsidR="001F17B8" w:rsidRPr="00727BE8">
        <w:t>Afin d'assurer des condition</w:t>
      </w:r>
      <w:r w:rsidR="001F17B8" w:rsidRPr="00940613">
        <w:t>s égales pour les différents types de structure juridique, les fiduciaires</w:t>
      </w:r>
      <w:r w:rsidR="00870FFE">
        <w:t>/trustees</w:t>
      </w:r>
      <w:r w:rsidR="001F17B8" w:rsidRPr="00940613">
        <w:t xml:space="preserve"> devraient également être tenus de collecter et de conserver des informations sur le</w:t>
      </w:r>
      <w:r w:rsidR="00D46885">
        <w:t>s</w:t>
      </w:r>
      <w:r w:rsidR="001F17B8" w:rsidRPr="00940613">
        <w:t xml:space="preserve"> bénéficiaire</w:t>
      </w:r>
      <w:r w:rsidR="00D46885">
        <w:t>s</w:t>
      </w:r>
      <w:r w:rsidR="001F17B8" w:rsidRPr="00940613">
        <w:t xml:space="preserve"> effectif</w:t>
      </w:r>
      <w:r w:rsidR="00D46885">
        <w:t>s</w:t>
      </w:r>
      <w:r w:rsidR="001F17B8" w:rsidRPr="00940613">
        <w:t xml:space="preserve">, de les communiquer aux </w:t>
      </w:r>
      <w:r w:rsidR="00870FFE">
        <w:t>entités assujetties</w:t>
      </w:r>
      <w:r w:rsidR="001F17B8" w:rsidRPr="00940613">
        <w:t xml:space="preserve"> prenant des mesures de vigilance à</w:t>
      </w:r>
      <w:r w:rsidR="00746943">
        <w:t xml:space="preserve"> </w:t>
      </w:r>
      <w:r w:rsidR="001F17B8" w:rsidRPr="00940613">
        <w:t>l'égard de la clientèle et de les transmettre à un registre central ou à une base de données centrale</w:t>
      </w:r>
      <w:r w:rsidR="0006277C" w:rsidRPr="00940613">
        <w:t xml:space="preserve"> et</w:t>
      </w:r>
      <w:r w:rsidR="001F17B8" w:rsidRPr="00940613">
        <w:t xml:space="preserve"> </w:t>
      </w:r>
      <w:r w:rsidR="00AD7BD8">
        <w:t>ils</w:t>
      </w:r>
      <w:r w:rsidR="001F17B8" w:rsidRPr="00727BE8">
        <w:t xml:space="preserve"> devraient </w:t>
      </w:r>
      <w:r w:rsidR="0006277C" w:rsidRPr="00940613">
        <w:t>divulguer</w:t>
      </w:r>
      <w:r w:rsidR="001F17B8" w:rsidRPr="00940613">
        <w:t xml:space="preserve"> leur statut aux </w:t>
      </w:r>
      <w:r w:rsidR="00870FFE">
        <w:t>entités assujetties</w:t>
      </w:r>
      <w:r w:rsidR="001F17B8" w:rsidRPr="00940613">
        <w:t>. Les entités juridiques comme les fondations et les constructions juridiques similaires aux fiducies</w:t>
      </w:r>
      <w:r w:rsidR="00870FFE">
        <w:t>/trusts</w:t>
      </w:r>
      <w:r w:rsidR="001F17B8" w:rsidRPr="00940613">
        <w:t xml:space="preserve"> devraient être soumises à des obligations équivalentes.</w:t>
      </w:r>
    </w:p>
    <w:p w:rsidR="00940613" w:rsidRDefault="001F17B8" w:rsidP="009670B6">
      <w:pPr>
        <w:pStyle w:val="ManualConsidrant"/>
      </w:pPr>
      <w:r w:rsidRPr="001F17B8">
        <w:t>(1</w:t>
      </w:r>
      <w:r w:rsidR="009670B6">
        <w:t>8</w:t>
      </w:r>
      <w:r w:rsidRPr="001F17B8">
        <w:t>)</w:t>
      </w:r>
      <w:r w:rsidRPr="001F17B8">
        <w:tab/>
        <w:t xml:space="preserve">La présente directive devrait également s'appliquer aux activités des </w:t>
      </w:r>
      <w:r w:rsidR="00870FFE">
        <w:t>entités assujetties</w:t>
      </w:r>
      <w:r w:rsidRPr="001F17B8">
        <w:t xml:space="preserve"> lorsque ces activités sont exercées sur l'internet.</w:t>
      </w:r>
    </w:p>
    <w:p w:rsidR="001F17B8" w:rsidRPr="001F17B8" w:rsidRDefault="00940613" w:rsidP="009670B6">
      <w:pPr>
        <w:pStyle w:val="ManualConsidrant"/>
      </w:pPr>
      <w:r>
        <w:t>(1</w:t>
      </w:r>
      <w:r w:rsidR="009670B6">
        <w:t>9</w:t>
      </w:r>
      <w:r>
        <w:t>)</w:t>
      </w:r>
      <w:r>
        <w:tab/>
      </w:r>
      <w:r w:rsidRPr="001F17B8">
        <w:t>Les nouvelles technologies offrent aux entreprises et aux cli</w:t>
      </w:r>
      <w:r w:rsidR="00746943">
        <w:t xml:space="preserve">ents des solutions rentables et </w:t>
      </w:r>
      <w:r w:rsidR="00C73A6E">
        <w:t>efficaces en termes de</w:t>
      </w:r>
      <w:r w:rsidRPr="001F17B8">
        <w:t xml:space="preserve"> temps et devraient dès lors être prises en compte au moment de l'évaluation des risques. Les autorités compétentes </w:t>
      </w:r>
      <w:r w:rsidR="00C73A6E">
        <w:t>et</w:t>
      </w:r>
      <w:r w:rsidRPr="001F17B8">
        <w:t xml:space="preserve"> les </w:t>
      </w:r>
      <w:r w:rsidR="00870FFE">
        <w:t>entités assujetties</w:t>
      </w:r>
      <w:r w:rsidRPr="001F17B8">
        <w:t xml:space="preserve"> devraient faire preuve d'initiative dans la lutte contre les mé</w:t>
      </w:r>
      <w:r w:rsidR="00746943">
        <w:t xml:space="preserve">thodes nouvelles et inédites de </w:t>
      </w:r>
      <w:r w:rsidRPr="001F17B8">
        <w:t>blanchiment des capitaux.</w:t>
      </w:r>
    </w:p>
    <w:p w:rsidR="001F17B8" w:rsidRPr="001F17B8" w:rsidRDefault="001F17B8" w:rsidP="00B03F7F">
      <w:pPr>
        <w:pStyle w:val="ManualConsidrant"/>
      </w:pPr>
      <w:r w:rsidRPr="001F17B8">
        <w:t>(</w:t>
      </w:r>
      <w:r w:rsidR="009670B6">
        <w:t>20</w:t>
      </w:r>
      <w:r w:rsidRPr="001F17B8">
        <w:t>)</w:t>
      </w:r>
      <w:r w:rsidRPr="001F17B8">
        <w:tab/>
        <w:t xml:space="preserve">Les représentants de l'Union au sein des organes directeurs de la Banque européenne pour la reconstruction et le développement </w:t>
      </w:r>
      <w:r w:rsidR="00A41661">
        <w:t xml:space="preserve">sont encouragés à </w:t>
      </w:r>
      <w:r w:rsidRPr="001F17B8">
        <w:t xml:space="preserve">appliquer la présente directive et à publier sur </w:t>
      </w:r>
      <w:r w:rsidR="00A74CFF">
        <w:t>le</w:t>
      </w:r>
      <w:r w:rsidRPr="001F17B8">
        <w:t xml:space="preserve"> site internet </w:t>
      </w:r>
      <w:r w:rsidR="00A74CFF">
        <w:t>de celle-ci la</w:t>
      </w:r>
      <w:r w:rsidRPr="001F17B8">
        <w:t xml:space="preserve"> politique </w:t>
      </w:r>
      <w:r w:rsidR="00094A27">
        <w:t xml:space="preserve">de lutte contre le </w:t>
      </w:r>
      <w:r w:rsidRPr="001F17B8">
        <w:t>blanchiment</w:t>
      </w:r>
      <w:r w:rsidR="007D01E8">
        <w:t xml:space="preserve"> </w:t>
      </w:r>
      <w:r w:rsidR="00094A27">
        <w:t xml:space="preserve">de capitaux </w:t>
      </w:r>
      <w:r w:rsidR="007D01E8">
        <w:t>et le financement du terrorisme</w:t>
      </w:r>
      <w:r w:rsidRPr="001F17B8">
        <w:t xml:space="preserve">, comportant des procédures détaillées </w:t>
      </w:r>
      <w:r w:rsidR="00C73A6E">
        <w:t>donnant effet à</w:t>
      </w:r>
      <w:r w:rsidRPr="001F17B8">
        <w:t xml:space="preserve"> la présente directive.</w:t>
      </w:r>
    </w:p>
    <w:p w:rsidR="001F17B8" w:rsidRPr="001F17B8" w:rsidRDefault="00274539" w:rsidP="00B03F7F">
      <w:pPr>
        <w:pStyle w:val="ManualConsidrant"/>
      </w:pPr>
      <w:r>
        <w:br w:type="page"/>
      </w:r>
      <w:r w:rsidR="001F17B8" w:rsidRPr="001F17B8">
        <w:t>(</w:t>
      </w:r>
      <w:r w:rsidR="00940613">
        <w:t>2</w:t>
      </w:r>
      <w:r w:rsidR="0013376A">
        <w:t>1</w:t>
      </w:r>
      <w:r w:rsidR="001F17B8" w:rsidRPr="001F17B8">
        <w:t>)</w:t>
      </w:r>
      <w:r w:rsidR="001F17B8" w:rsidRPr="001F17B8">
        <w:tab/>
        <w:t xml:space="preserve">L'utilisation du secteur des jeux d'argent et de hasard pour blanchir le produit d'activités criminelles est préoccupante. Afin d'atténuer les risques liés à ce secteur, </w:t>
      </w:r>
      <w:r w:rsidR="00940613">
        <w:t xml:space="preserve">la présente directive devrait prévoir </w:t>
      </w:r>
      <w:r w:rsidR="001F17B8" w:rsidRPr="001F17B8">
        <w:t xml:space="preserve">d'obliger les prestataires de services de jeux d'argent et de hasard présentant des risques plus élevés à appliquer des mesures de vigilance à l'égard de la clientèle pour </w:t>
      </w:r>
      <w:r w:rsidR="00C73A6E">
        <w:t>chaque</w:t>
      </w:r>
      <w:r w:rsidR="001F17B8" w:rsidRPr="001F17B8">
        <w:t xml:space="preserve"> transaction d'un montant égal ou supérieur à 2 000 EUR. Les États membres devraient</w:t>
      </w:r>
      <w:r w:rsidR="004C2B55">
        <w:t xml:space="preserve"> s'assurer que les </w:t>
      </w:r>
      <w:r w:rsidR="00870FFE">
        <w:t>entités assujetties</w:t>
      </w:r>
      <w:r w:rsidR="004C2B55">
        <w:t xml:space="preserve"> </w:t>
      </w:r>
      <w:r w:rsidR="001F17B8" w:rsidRPr="001F17B8">
        <w:t>applique</w:t>
      </w:r>
      <w:r w:rsidR="004C2B55">
        <w:t>nt</w:t>
      </w:r>
      <w:r w:rsidR="00940613">
        <w:t xml:space="preserve"> le même</w:t>
      </w:r>
      <w:r w:rsidR="001F17B8" w:rsidRPr="001F17B8">
        <w:t xml:space="preserve"> seuil à la perception de gains</w:t>
      </w:r>
      <w:r w:rsidR="00940613">
        <w:t>,</w:t>
      </w:r>
      <w:r w:rsidR="001F17B8" w:rsidRPr="001F17B8">
        <w:t xml:space="preserve"> aux mises, y compris par l'achat et l'échange de plaques ou de jetons</w:t>
      </w:r>
      <w:r w:rsidR="00C73A6E">
        <w:t>, ou aux deux</w:t>
      </w:r>
      <w:r w:rsidR="001F17B8" w:rsidRPr="001F17B8">
        <w:t xml:space="preserve">. Les prestataires de services de jeux d'argent et de hasard possédant des locaux </w:t>
      </w:r>
      <w:r w:rsidR="00C73A6E" w:rsidRPr="001F17B8">
        <w:t>physiques</w:t>
      </w:r>
      <w:r w:rsidR="00C73A6E">
        <w:t>, tels que</w:t>
      </w:r>
      <w:r w:rsidR="001F17B8" w:rsidRPr="001F17B8">
        <w:t xml:space="preserve"> les casinos et les maisons de jeu</w:t>
      </w:r>
      <w:r w:rsidR="00C73A6E">
        <w:t>,</w:t>
      </w:r>
      <w:r w:rsidR="001F17B8" w:rsidRPr="001F17B8">
        <w:t xml:space="preserve"> devraient veiller à pouvoir lier les mesures de vigilance qu'ils appliquent à </w:t>
      </w:r>
      <w:r w:rsidR="00C73A6E">
        <w:t>l'égard de leur clientèle</w:t>
      </w:r>
      <w:r w:rsidR="001F17B8" w:rsidRPr="001F17B8">
        <w:t xml:space="preserve">, si ces mesures sont mises en œuvre à l'entrée de leurs locaux, aux transactions effectuées par le client concerné dans les locaux en question. Cependant, en cas de faible risque avéré, les États membres devraient être autorisés à exempter certains services de jeux d'argent et de hasard de certaines ou de toutes les obligations </w:t>
      </w:r>
      <w:r w:rsidR="00C73A6E">
        <w:t>prévues par</w:t>
      </w:r>
      <w:r w:rsidR="001F17B8" w:rsidRPr="001F17B8">
        <w:t xml:space="preserve"> la </w:t>
      </w:r>
      <w:r w:rsidR="001F17B8">
        <w:t xml:space="preserve">présente </w:t>
      </w:r>
      <w:r w:rsidR="001F17B8" w:rsidRPr="001F17B8">
        <w:t xml:space="preserve">directive. Un État membre ne devrait envisager une exemption que dans des circonstances strictement limitées et justifiées et lorsque les risques de blanchiment de capitaux ou de financement du terrorisme sont </w:t>
      </w:r>
      <w:r w:rsidR="00094A27">
        <w:t>faibles</w:t>
      </w:r>
      <w:r w:rsidR="001F17B8" w:rsidRPr="001F17B8">
        <w:t xml:space="preserve">. Ces exemptions devraient faire l'objet d'une évaluation spécifique des risques qui tienne également compte du degré de vulnérabilité des transactions applicables. </w:t>
      </w:r>
      <w:r w:rsidR="00C73A6E">
        <w:t>Elles</w:t>
      </w:r>
      <w:r w:rsidR="001F17B8" w:rsidRPr="001F17B8">
        <w:t xml:space="preserve"> devraient être notifiées à la Commission. Dans l'évaluation des risques, les États membres devraient indiquer comment ils ont pris en compte les conclusions pertinentes </w:t>
      </w:r>
      <w:r w:rsidR="00C73A6E">
        <w:t xml:space="preserve">éventuelles </w:t>
      </w:r>
      <w:r w:rsidR="001F17B8" w:rsidRPr="001F17B8">
        <w:t>figurant dans les rapports publiés par la Commission dans le cadre de l'évaluation supranationale des risques.</w:t>
      </w:r>
    </w:p>
    <w:p w:rsidR="001F17B8" w:rsidRPr="001F17B8" w:rsidRDefault="001F17B8">
      <w:pPr>
        <w:pStyle w:val="ManualConsidrant"/>
      </w:pPr>
      <w:r w:rsidRPr="001F17B8">
        <w:t>(</w:t>
      </w:r>
      <w:r w:rsidR="00940613">
        <w:t>2</w:t>
      </w:r>
      <w:r w:rsidR="009F2699">
        <w:t>2</w:t>
      </w:r>
      <w:r w:rsidRPr="001F17B8">
        <w:t>)</w:t>
      </w:r>
      <w:r w:rsidRPr="001F17B8">
        <w:tab/>
      </w:r>
      <w:r w:rsidRPr="00BB28E7">
        <w:t>Le risque de blanchiment de capitaux et de financement du terrorisme n'est pas toujours le même</w:t>
      </w:r>
      <w:r w:rsidR="00C73A6E">
        <w:t xml:space="preserve"> dans chaque cas</w:t>
      </w:r>
      <w:r w:rsidRPr="00BB28E7">
        <w:t xml:space="preserve">. Il conviendrait, en conséquence, d'appliquer une approche fondée sur les risques qui soit globale. </w:t>
      </w:r>
      <w:r w:rsidR="00BB28E7">
        <w:t>L'</w:t>
      </w:r>
      <w:r w:rsidRPr="00BB28E7">
        <w:t>approche</w:t>
      </w:r>
      <w:r w:rsidR="00BB28E7">
        <w:t xml:space="preserve"> fondée sur les risques</w:t>
      </w:r>
      <w:r w:rsidRPr="00BB28E7">
        <w:t xml:space="preserve"> ne constitue pas une option indûment permissive pour les États membres et les </w:t>
      </w:r>
      <w:r w:rsidR="00870FFE">
        <w:t>entités assujetties</w:t>
      </w:r>
      <w:r w:rsidRPr="00BB28E7">
        <w:t>. Elle suppose</w:t>
      </w:r>
      <w:r w:rsidRPr="001F17B8">
        <w:t xml:space="preserve"> </w:t>
      </w:r>
      <w:r w:rsidR="00C73A6E">
        <w:t xml:space="preserve">le recours à </w:t>
      </w:r>
      <w:r w:rsidRPr="001F17B8">
        <w:t xml:space="preserve">la prise de décisions fondées sur des preuves, de façon à cibler </w:t>
      </w:r>
      <w:r w:rsidR="00940613">
        <w:t xml:space="preserve">de façon plus effective </w:t>
      </w:r>
      <w:r w:rsidRPr="001F17B8">
        <w:t>les risques de blanchiment de capitaux et de financement du terrorisme menaçant l'Union et les acteurs qui opèrent en son sein.</w:t>
      </w:r>
    </w:p>
    <w:p w:rsidR="001F17B8" w:rsidRPr="001F17B8" w:rsidRDefault="00274539" w:rsidP="007E1EBF">
      <w:pPr>
        <w:pStyle w:val="ManualConsidrant"/>
      </w:pPr>
      <w:r>
        <w:br w:type="page"/>
      </w:r>
      <w:r w:rsidR="001F17B8" w:rsidRPr="001F17B8">
        <w:t>(</w:t>
      </w:r>
      <w:r w:rsidR="00940613">
        <w:t>2</w:t>
      </w:r>
      <w:r w:rsidR="0013376A">
        <w:t>3</w:t>
      </w:r>
      <w:r w:rsidR="001F17B8" w:rsidRPr="001F17B8">
        <w:t>)</w:t>
      </w:r>
      <w:r w:rsidR="001F17B8" w:rsidRPr="001F17B8">
        <w:tab/>
      </w:r>
      <w:r w:rsidR="00C73A6E">
        <w:t xml:space="preserve">À la base de </w:t>
      </w:r>
      <w:r w:rsidR="001F17B8" w:rsidRPr="001F17B8">
        <w:t xml:space="preserve">l'approche fondée sur les risques </w:t>
      </w:r>
      <w:r w:rsidR="00C73A6E">
        <w:t>se trouve la</w:t>
      </w:r>
      <w:r w:rsidR="001F17B8" w:rsidRPr="001F17B8">
        <w:t xml:space="preserve"> nécessité pour </w:t>
      </w:r>
      <w:r w:rsidR="00C73A6E">
        <w:t>les</w:t>
      </w:r>
      <w:r w:rsidR="001F17B8" w:rsidRPr="001F17B8">
        <w:t xml:space="preserve"> États membres et l'Union d'identifier, de comprendre et d'atténuer les risques de blanchiment de capitaux et de financement du terrorisme auxquels ils sont exposés. L'importance d'une approche supranationale en matière d'identificatio</w:t>
      </w:r>
      <w:r w:rsidR="00746943">
        <w:t xml:space="preserve">n des risques a été reconnue au niveau </w:t>
      </w:r>
      <w:r w:rsidR="001F17B8" w:rsidRPr="001F17B8">
        <w:t xml:space="preserve">international, </w:t>
      </w:r>
      <w:r w:rsidR="00C73A6E">
        <w:t xml:space="preserve">et </w:t>
      </w:r>
      <w:r w:rsidR="001F17B8" w:rsidRPr="001F17B8">
        <w:t>l'Autorité européenne de surveillance (Autorité bancaire européenne</w:t>
      </w:r>
      <w:r w:rsidR="00BB28E7">
        <w:t>) (</w:t>
      </w:r>
      <w:r w:rsidR="001F17B8" w:rsidRPr="001F17B8">
        <w:t>A</w:t>
      </w:r>
      <w:r w:rsidR="00746943">
        <w:t xml:space="preserve">BE), instituée par le règlement </w:t>
      </w:r>
      <w:r w:rsidR="001F17B8" w:rsidRPr="001F17B8">
        <w:t>(UE) n° 1093/2</w:t>
      </w:r>
      <w:r w:rsidR="00746943">
        <w:t xml:space="preserve">010 du Parlement européen et du </w:t>
      </w:r>
      <w:r w:rsidR="001F17B8" w:rsidRPr="001F17B8">
        <w:t>Conseil</w:t>
      </w:r>
      <w:r w:rsidR="001F17B8" w:rsidRPr="007E1EBF">
        <w:rPr>
          <w:rStyle w:val="FootnoteReference"/>
        </w:rPr>
        <w:footnoteReference w:id="9"/>
      </w:r>
      <w:r w:rsidR="001F17B8" w:rsidRPr="001F17B8">
        <w:t>, l'Autorité européenne de surveillance (Autorité e</w:t>
      </w:r>
      <w:r w:rsidR="00746943">
        <w:t xml:space="preserve">uropéenne des assurances et des </w:t>
      </w:r>
      <w:r w:rsidR="001F17B8" w:rsidRPr="001F17B8">
        <w:t>pensions professionnelles</w:t>
      </w:r>
      <w:r w:rsidR="00BB28E7">
        <w:t>) (</w:t>
      </w:r>
      <w:r w:rsidR="001F17B8" w:rsidRPr="001F17B8">
        <w:t>AEAPP), instituée par le règlement (UE) n° 1094/2010 du Parlement européen et du Conseil</w:t>
      </w:r>
      <w:r w:rsidR="001F17B8" w:rsidRPr="007E1EBF">
        <w:rPr>
          <w:rStyle w:val="FootnoteReference"/>
        </w:rPr>
        <w:footnoteReference w:id="10"/>
      </w:r>
      <w:r w:rsidR="001F17B8" w:rsidRPr="001F17B8">
        <w:t>, et l'Autorité européenne de surveillance (Autorité européenne des marchés financiers</w:t>
      </w:r>
      <w:r w:rsidR="00BB28E7">
        <w:t>) (</w:t>
      </w:r>
      <w:r w:rsidR="001F17B8" w:rsidRPr="001F17B8">
        <w:t>AEMF), instituée par le règlement (UE) n° 1095/2</w:t>
      </w:r>
      <w:r w:rsidR="00746943">
        <w:t xml:space="preserve">010 du Parlement européen et du </w:t>
      </w:r>
      <w:r w:rsidR="001F17B8" w:rsidRPr="001F17B8">
        <w:t>Conseil</w:t>
      </w:r>
      <w:r w:rsidR="001F17B8" w:rsidRPr="007E1EBF">
        <w:rPr>
          <w:rStyle w:val="FootnoteReference"/>
        </w:rPr>
        <w:footnoteReference w:id="11"/>
      </w:r>
      <w:r w:rsidR="001F17B8" w:rsidRPr="001F17B8">
        <w:t>, devraient être chargées d'émettre un avis</w:t>
      </w:r>
      <w:r w:rsidR="00AB624E">
        <w:t xml:space="preserve">, par l'intermédiaire de </w:t>
      </w:r>
      <w:r w:rsidR="00AB624E" w:rsidRPr="00C27018">
        <w:t>leur comité mixte</w:t>
      </w:r>
      <w:r w:rsidR="00AB624E">
        <w:t>,</w:t>
      </w:r>
      <w:r w:rsidR="001F17B8" w:rsidRPr="001F17B8">
        <w:t xml:space="preserve"> sur les risques touchant le secteur financier de l'</w:t>
      </w:r>
      <w:r w:rsidR="001F17B8">
        <w:t>Union</w:t>
      </w:r>
      <w:r w:rsidR="001F17B8" w:rsidRPr="001F17B8">
        <w:t>.</w:t>
      </w:r>
    </w:p>
    <w:p w:rsidR="001F17B8" w:rsidRPr="001F17B8" w:rsidRDefault="001F17B8" w:rsidP="00B03F7F">
      <w:pPr>
        <w:pStyle w:val="ManualConsidrant"/>
      </w:pPr>
      <w:r w:rsidRPr="001F17B8">
        <w:br w:type="page"/>
        <w:t>(</w:t>
      </w:r>
      <w:r w:rsidR="00940613">
        <w:t>2</w:t>
      </w:r>
      <w:r w:rsidR="0013376A">
        <w:t>4</w:t>
      </w:r>
      <w:r w:rsidRPr="001F17B8">
        <w:t>)</w:t>
      </w:r>
      <w:r w:rsidRPr="001F17B8">
        <w:tab/>
        <w:t>La Commission est bien placée pour étudier les menaces transfront</w:t>
      </w:r>
      <w:r w:rsidR="00AB624E">
        <w:t>al</w:t>
      </w:r>
      <w:r w:rsidRPr="001F17B8">
        <w:t xml:space="preserve">ières spécifiques qui pourraient affecter le marché intérieur et qui ne peuvent être identifiées et combattues efficacement par les États membres isolément. C'est pourquoi il convient de lui confier la responsabilité de coordonner l'évaluation des risques liés à des </w:t>
      </w:r>
      <w:r w:rsidR="00940613">
        <w:t>activités</w:t>
      </w:r>
      <w:r w:rsidR="00940613" w:rsidRPr="001F17B8">
        <w:t xml:space="preserve"> </w:t>
      </w:r>
      <w:r w:rsidRPr="001F17B8">
        <w:t>transfront</w:t>
      </w:r>
      <w:r w:rsidR="00AB624E">
        <w:t>al</w:t>
      </w:r>
      <w:r w:rsidRPr="001F17B8">
        <w:t>ières. Pour que ce processus soit efficace, il est indispensable d'y associer les experts concernés, tels que le groupe d'experts en matière de lutte contre le blanchiment de capitaux et le financement du terrorisme et les représentants des CRF, ainsi que</w:t>
      </w:r>
      <w:r w:rsidR="00AB624E">
        <w:t>,</w:t>
      </w:r>
      <w:r w:rsidRPr="001F17B8">
        <w:t xml:space="preserve"> le cas échéant</w:t>
      </w:r>
      <w:r w:rsidR="00AB624E">
        <w:t>,</w:t>
      </w:r>
      <w:r w:rsidRPr="001F17B8">
        <w:t xml:space="preserve"> d'autres organismes au niveau de l'</w:t>
      </w:r>
      <w:r>
        <w:t>Union</w:t>
      </w:r>
      <w:r w:rsidRPr="001F17B8">
        <w:t xml:space="preserve">. Les évaluations </w:t>
      </w:r>
      <w:r w:rsidR="00BB28E7">
        <w:t xml:space="preserve">nationales </w:t>
      </w:r>
      <w:r w:rsidRPr="001F17B8">
        <w:t>des risques et l'expérience</w:t>
      </w:r>
      <w:r w:rsidR="00BB28E7">
        <w:t xml:space="preserve"> nationale</w:t>
      </w:r>
      <w:r w:rsidRPr="001F17B8">
        <w:t xml:space="preserve"> en la matière constituent aussi une source d'informations importante pour alimenter ce processus. </w:t>
      </w:r>
      <w:r w:rsidR="00AB624E">
        <w:t>Cette</w:t>
      </w:r>
      <w:r w:rsidRPr="001F17B8">
        <w:t xml:space="preserve"> évaluation des risques </w:t>
      </w:r>
      <w:r w:rsidR="00DF2E63">
        <w:t>transfront</w:t>
      </w:r>
      <w:r w:rsidR="00AB624E">
        <w:t>aliers</w:t>
      </w:r>
      <w:r w:rsidR="00DF2E63" w:rsidRPr="001F17B8">
        <w:t xml:space="preserve"> </w:t>
      </w:r>
      <w:r w:rsidRPr="001F17B8">
        <w:t>par la Commission ne devrait pas nécessiter le traitement de données à caractère personnel</w:t>
      </w:r>
      <w:r w:rsidR="00DF2E63">
        <w:t>. E</w:t>
      </w:r>
      <w:r w:rsidRPr="001F17B8">
        <w:t xml:space="preserve">n tout état de cause, les données devraient être rendues entièrement anonymes. Les autorités de contrôle nationales et </w:t>
      </w:r>
      <w:r w:rsidR="00BB28E7">
        <w:t>de l'Union</w:t>
      </w:r>
      <w:r w:rsidRPr="001F17B8">
        <w:t xml:space="preserve"> en matière de protection des données devraient être associées seulement si l'évaluation du risque de blanchiment de capitaux et de financement du terrorisme a une incidence sur la protection de la vie privée et des données des personnes.</w:t>
      </w:r>
    </w:p>
    <w:p w:rsidR="001F17B8" w:rsidRPr="001F17B8" w:rsidRDefault="001F17B8" w:rsidP="0013376A">
      <w:pPr>
        <w:pStyle w:val="ManualConsidrant"/>
      </w:pPr>
      <w:r w:rsidRPr="001F17B8">
        <w:t>(</w:t>
      </w:r>
      <w:r w:rsidR="00DF2E63">
        <w:t>2</w:t>
      </w:r>
      <w:r w:rsidR="0013376A">
        <w:t>5</w:t>
      </w:r>
      <w:r w:rsidRPr="001F17B8">
        <w:t>)</w:t>
      </w:r>
      <w:r w:rsidRPr="001F17B8">
        <w:tab/>
        <w:t xml:space="preserve">Les résultats des évaluations des risques devraient, s'il y a lieu, être mis </w:t>
      </w:r>
      <w:r w:rsidR="00AB624E">
        <w:t>en temps utile</w:t>
      </w:r>
      <w:r w:rsidR="00AB624E" w:rsidRPr="001F17B8">
        <w:t xml:space="preserve"> </w:t>
      </w:r>
      <w:r w:rsidRPr="001F17B8">
        <w:t xml:space="preserve">à la disposition des </w:t>
      </w:r>
      <w:r w:rsidR="00870FFE">
        <w:t>entités assujetties</w:t>
      </w:r>
      <w:r w:rsidRPr="001F17B8">
        <w:t xml:space="preserve"> pour leur permettre d'identifier, de </w:t>
      </w:r>
      <w:r w:rsidR="00C27018">
        <w:t>comprendre, de</w:t>
      </w:r>
      <w:r w:rsidR="00C27018" w:rsidRPr="001F17B8">
        <w:t xml:space="preserve"> </w:t>
      </w:r>
      <w:r w:rsidR="00FE4E32">
        <w:t>gérer</w:t>
      </w:r>
      <w:r w:rsidR="00FE4E32" w:rsidRPr="001F17B8">
        <w:t xml:space="preserve"> </w:t>
      </w:r>
      <w:r w:rsidRPr="001F17B8">
        <w:t>et d'atténuer leurs propres risques.</w:t>
      </w:r>
    </w:p>
    <w:p w:rsidR="001F17B8" w:rsidRPr="001F17B8" w:rsidRDefault="001F17B8" w:rsidP="0013376A">
      <w:pPr>
        <w:pStyle w:val="ManualConsidrant"/>
      </w:pPr>
      <w:r w:rsidRPr="001F17B8">
        <w:t>(</w:t>
      </w:r>
      <w:r w:rsidR="00DF2E63">
        <w:t>2</w:t>
      </w:r>
      <w:r w:rsidR="0013376A">
        <w:t>6</w:t>
      </w:r>
      <w:r w:rsidRPr="001F17B8">
        <w:t>)</w:t>
      </w:r>
      <w:r w:rsidRPr="001F17B8">
        <w:tab/>
        <w:t>De plus, afin d</w:t>
      </w:r>
      <w:r w:rsidR="0013376A">
        <w:t>'</w:t>
      </w:r>
      <w:r w:rsidR="007C1792">
        <w:t xml:space="preserve">identifier, </w:t>
      </w:r>
      <w:r w:rsidR="0013376A">
        <w:t xml:space="preserve">de </w:t>
      </w:r>
      <w:r w:rsidRPr="001F17B8">
        <w:t>comprendre</w:t>
      </w:r>
      <w:r w:rsidR="007C1792">
        <w:t xml:space="preserve">, </w:t>
      </w:r>
      <w:r w:rsidR="0013376A">
        <w:t xml:space="preserve">de </w:t>
      </w:r>
      <w:r w:rsidR="007C1792">
        <w:t>gérer</w:t>
      </w:r>
      <w:r w:rsidRPr="001F17B8">
        <w:t xml:space="preserve"> et d'atténuer encore </w:t>
      </w:r>
      <w:r w:rsidR="00DF2E63">
        <w:t xml:space="preserve">davantage </w:t>
      </w:r>
      <w:r w:rsidRPr="001F17B8">
        <w:t xml:space="preserve">les risques au niveau de l'Union, il convient que chaque État membre </w:t>
      </w:r>
      <w:r w:rsidR="00FE4E32">
        <w:t xml:space="preserve">mette </w:t>
      </w:r>
      <w:r w:rsidRPr="001F17B8">
        <w:t xml:space="preserve">les résultats de </w:t>
      </w:r>
      <w:r w:rsidR="00DE72D9">
        <w:t>leurs</w:t>
      </w:r>
      <w:r w:rsidRPr="001F17B8">
        <w:t xml:space="preserve"> évaluations des risques </w:t>
      </w:r>
      <w:r w:rsidR="00883A1B">
        <w:t>à la disposition des</w:t>
      </w:r>
      <w:r w:rsidRPr="001F17B8">
        <w:t xml:space="preserve"> autres États membres, </w:t>
      </w:r>
      <w:r w:rsidR="00883A1B">
        <w:t xml:space="preserve">de </w:t>
      </w:r>
      <w:r w:rsidRPr="001F17B8">
        <w:t xml:space="preserve">la Commission, </w:t>
      </w:r>
      <w:r w:rsidR="00883A1B">
        <w:t xml:space="preserve">de </w:t>
      </w:r>
      <w:r w:rsidRPr="001F17B8">
        <w:t xml:space="preserve">l'ABE, </w:t>
      </w:r>
      <w:r w:rsidR="00883A1B">
        <w:t xml:space="preserve">de </w:t>
      </w:r>
      <w:r w:rsidRPr="001F17B8">
        <w:t xml:space="preserve">l'AEAPP et </w:t>
      </w:r>
      <w:r w:rsidR="00883A1B">
        <w:t xml:space="preserve">de </w:t>
      </w:r>
      <w:r w:rsidRPr="001F17B8">
        <w:t>l'AEMF</w:t>
      </w:r>
      <w:r w:rsidR="00DF2E63">
        <w:t xml:space="preserve"> (ci-après dénommées "</w:t>
      </w:r>
      <w:r>
        <w:t>AES</w:t>
      </w:r>
      <w:r w:rsidR="00DF2E63">
        <w:t>")</w:t>
      </w:r>
      <w:r w:rsidRPr="001F17B8">
        <w:t>.</w:t>
      </w:r>
    </w:p>
    <w:p w:rsidR="001F17B8" w:rsidRPr="001F17B8" w:rsidRDefault="001F17B8" w:rsidP="00746943">
      <w:pPr>
        <w:pStyle w:val="ManualConsidrant"/>
      </w:pPr>
      <w:r w:rsidRPr="001F17B8">
        <w:t>(</w:t>
      </w:r>
      <w:r w:rsidR="00DF2E63">
        <w:t>2</w:t>
      </w:r>
      <w:r w:rsidR="0013376A">
        <w:t>7</w:t>
      </w:r>
      <w:r w:rsidRPr="001F17B8">
        <w:t>)</w:t>
      </w:r>
      <w:r w:rsidRPr="001F17B8">
        <w:tab/>
        <w:t xml:space="preserve">Il y a lieu de tenir compte, dans l'application de la présente directive, des caractéristiques et des besoins de </w:t>
      </w:r>
      <w:r w:rsidR="00DF2E63">
        <w:t xml:space="preserve">plus </w:t>
      </w:r>
      <w:r w:rsidRPr="001F17B8">
        <w:t xml:space="preserve">petites </w:t>
      </w:r>
      <w:r w:rsidR="00870FFE">
        <w:t>entités assujetties</w:t>
      </w:r>
      <w:r w:rsidRPr="001F17B8">
        <w:t xml:space="preserve"> qui entrent dans son champ d'application en leur garantissant un traitement adapté à leurs besoins spécifiques et à la nature de</w:t>
      </w:r>
      <w:r w:rsidR="00746943">
        <w:t xml:space="preserve"> </w:t>
      </w:r>
      <w:r w:rsidRPr="001F17B8">
        <w:t>leurs activités.</w:t>
      </w:r>
    </w:p>
    <w:p w:rsidR="001F17B8" w:rsidRPr="001F17B8" w:rsidRDefault="001F17B8" w:rsidP="0013376A">
      <w:pPr>
        <w:pStyle w:val="ManualConsidrant"/>
      </w:pPr>
      <w:r w:rsidRPr="001F17B8">
        <w:br w:type="page"/>
        <w:t>(</w:t>
      </w:r>
      <w:r w:rsidR="00DF2E63">
        <w:t>2</w:t>
      </w:r>
      <w:r w:rsidR="0013376A">
        <w:t>8</w:t>
      </w:r>
      <w:r w:rsidRPr="001F17B8">
        <w:t>)</w:t>
      </w:r>
      <w:r w:rsidRPr="001F17B8">
        <w:tab/>
        <w:t>Afin de protéger le bon fonctionnement du système financier de l'</w:t>
      </w:r>
      <w:r>
        <w:t>Union</w:t>
      </w:r>
      <w:r w:rsidRPr="001F17B8">
        <w:t xml:space="preserve"> et du marché intérieur </w:t>
      </w:r>
      <w:r w:rsidR="00AB624E">
        <w:t>contre le</w:t>
      </w:r>
      <w:r w:rsidRPr="001F17B8">
        <w:t xml:space="preserve"> risque de blanchiment de capitaux et de financement du terrorisme, il convient de déléguer à la Commission le pouvoir d'adopter des actes conformément à l'article 290 du traité sur le fonctionnement de l'Union européenne </w:t>
      </w:r>
      <w:r w:rsidR="00AB624E">
        <w:t>afin de</w:t>
      </w:r>
      <w:r w:rsidRPr="001F17B8">
        <w:t xml:space="preserve"> recenser les pays tiers dont les dispositifs nationaux de lutte contre le blanchiment de capitaux et le financement du terrorisme présentent des </w:t>
      </w:r>
      <w:r w:rsidR="00574121">
        <w:t>carences</w:t>
      </w:r>
      <w:r w:rsidRPr="001F17B8">
        <w:t xml:space="preserve"> stratégiques (ci-après </w:t>
      </w:r>
      <w:r w:rsidR="00FE4E32" w:rsidRPr="001F17B8">
        <w:t xml:space="preserve">dénommés </w:t>
      </w:r>
      <w:r w:rsidRPr="001F17B8">
        <w:t xml:space="preserve">"pays tiers à haut risque"). En raison de la nature fluctuante des menaces de blanchiment de capitaux et de financement du terrorisme, facilitée par l'évolution constante de la technologie et des moyens dont disposent les criminels, il est indispensable de procéder à des adaptations rapides et continues du cadre juridique par rapport aux pays tiers à haut risque afin de </w:t>
      </w:r>
      <w:r w:rsidR="00AB624E">
        <w:t>faire face</w:t>
      </w:r>
      <w:r w:rsidRPr="001F17B8">
        <w:t xml:space="preserve"> efficacement </w:t>
      </w:r>
      <w:r w:rsidR="00AB624E">
        <w:t>aux</w:t>
      </w:r>
      <w:r w:rsidRPr="001F17B8">
        <w:t xml:space="preserve"> risques existants et de prévenir l'apparition de nouveaux risques. La Commission devrait prendre en compte les informations communiquées par les organisations internationales et les instances normatives dans le domaine de la lutte contre le blanchiment de capitaux et le financement du terrorisme, telles que les déclarations publiques, les rapports d'évaluation mutuelle ou d'évaluation détaillée ou les rapports de suivi </w:t>
      </w:r>
      <w:r w:rsidR="00AB624E">
        <w:t xml:space="preserve">publiés </w:t>
      </w:r>
      <w:r w:rsidRPr="001F17B8">
        <w:t>du GAFI, et adapter au besoin ses propres évaluations aux changements y figurant.</w:t>
      </w:r>
    </w:p>
    <w:p w:rsidR="001F17B8" w:rsidRPr="001F17B8" w:rsidRDefault="001F17B8" w:rsidP="00B03F7F">
      <w:pPr>
        <w:pStyle w:val="ManualConsidrant"/>
      </w:pPr>
      <w:r w:rsidRPr="001F17B8">
        <w:t>(</w:t>
      </w:r>
      <w:r w:rsidR="00DF2E63">
        <w:t>2</w:t>
      </w:r>
      <w:r w:rsidR="0013376A">
        <w:t>9</w:t>
      </w:r>
      <w:r w:rsidRPr="001F17B8">
        <w:t>)</w:t>
      </w:r>
      <w:r w:rsidRPr="001F17B8">
        <w:tab/>
        <w:t xml:space="preserve">Les États membres devraient au moins prévoir </w:t>
      </w:r>
      <w:r w:rsidR="00DE72D9">
        <w:t xml:space="preserve">que les entités assujetties appliquent des </w:t>
      </w:r>
      <w:r w:rsidRPr="001F17B8">
        <w:t>mesures de vigilance renforcée à l'égard de la clientèle</w:t>
      </w:r>
      <w:r w:rsidR="00574121">
        <w:t xml:space="preserve"> </w:t>
      </w:r>
      <w:r w:rsidRPr="001F17B8">
        <w:t xml:space="preserve">lorsqu'elles traitent avec des personnes </w:t>
      </w:r>
      <w:r w:rsidR="004C2B55">
        <w:t xml:space="preserve">physiques </w:t>
      </w:r>
      <w:r w:rsidRPr="001F17B8">
        <w:t>ou des entités juridiques établies dans des pays tiers à haut risque</w:t>
      </w:r>
      <w:r w:rsidR="004C2B55">
        <w:t xml:space="preserve"> identifiés par la Commission</w:t>
      </w:r>
      <w:r w:rsidRPr="001F17B8">
        <w:t xml:space="preserve">. </w:t>
      </w:r>
      <w:r w:rsidR="00AB624E">
        <w:t>I</w:t>
      </w:r>
      <w:r w:rsidRPr="001F17B8">
        <w:t xml:space="preserve">l devrait </w:t>
      </w:r>
      <w:r w:rsidR="00DF2E63">
        <w:t xml:space="preserve">également </w:t>
      </w:r>
      <w:r w:rsidRPr="001F17B8">
        <w:t xml:space="preserve">être interdit de recourir à des tiers établis dans ces pays tiers à haut risque. </w:t>
      </w:r>
      <w:r w:rsidR="00574121">
        <w:t>L</w:t>
      </w:r>
      <w:r w:rsidRPr="001F17B8">
        <w:t xml:space="preserve">es pays ne figurant pas sur la liste </w:t>
      </w:r>
      <w:r w:rsidR="00574121">
        <w:t>ne devraient pas automatique</w:t>
      </w:r>
      <w:r w:rsidR="00094A27">
        <w:t>ment</w:t>
      </w:r>
      <w:r w:rsidR="00574121">
        <w:t xml:space="preserve"> être considérés comme </w:t>
      </w:r>
      <w:r w:rsidRPr="001F17B8">
        <w:t>dispos</w:t>
      </w:r>
      <w:r w:rsidR="00574121">
        <w:t>a</w:t>
      </w:r>
      <w:r w:rsidRPr="001F17B8">
        <w:t xml:space="preserve">nt de </w:t>
      </w:r>
      <w:r w:rsidRPr="0013376A">
        <w:t xml:space="preserve">dispositifs efficaces de lutte contre le blanchiment d'argent et le financement du terrorisme et </w:t>
      </w:r>
      <w:r w:rsidR="0013376A" w:rsidRPr="0013376A">
        <w:t>l</w:t>
      </w:r>
      <w:r w:rsidR="007C1792" w:rsidRPr="0013376A">
        <w:t xml:space="preserve">es personnes physiques ou </w:t>
      </w:r>
      <w:r w:rsidRPr="0013376A">
        <w:t>les entités</w:t>
      </w:r>
      <w:r w:rsidR="00094A27">
        <w:t xml:space="preserve"> </w:t>
      </w:r>
      <w:r w:rsidR="0013376A">
        <w:t xml:space="preserve">juridiques </w:t>
      </w:r>
      <w:r w:rsidR="00094A27">
        <w:t>établies dans ces pays</w:t>
      </w:r>
      <w:r w:rsidRPr="001F17B8">
        <w:t xml:space="preserve"> devraient être évaluées en fonction des risques.</w:t>
      </w:r>
    </w:p>
    <w:p w:rsidR="001F17B8" w:rsidRPr="001F17B8" w:rsidRDefault="00746943" w:rsidP="0013376A">
      <w:pPr>
        <w:pStyle w:val="ManualConsidrant"/>
      </w:pPr>
      <w:r>
        <w:br w:type="page"/>
      </w:r>
      <w:r w:rsidR="001F17B8" w:rsidRPr="001F17B8">
        <w:t>(</w:t>
      </w:r>
      <w:r w:rsidR="0013376A">
        <w:t>30</w:t>
      </w:r>
      <w:r w:rsidR="001F17B8" w:rsidRPr="001F17B8">
        <w:t>)</w:t>
      </w:r>
      <w:r w:rsidR="001F17B8" w:rsidRPr="001F17B8">
        <w:tab/>
        <w:t>Le risque</w:t>
      </w:r>
      <w:r w:rsidR="00AB624E">
        <w:t xml:space="preserve"> en soi</w:t>
      </w:r>
      <w:r w:rsidR="001F17B8" w:rsidRPr="001F17B8">
        <w:t xml:space="preserve"> est variable par nature, et les variables en jeu peuvent, soit isolément, soit ensemble, augmenter ou au contraire </w:t>
      </w:r>
      <w:r w:rsidR="00574121">
        <w:t xml:space="preserve">diminuer </w:t>
      </w:r>
      <w:r w:rsidR="001F17B8" w:rsidRPr="001F17B8">
        <w:t>le risque potentiel qui se pose et avoir ainsi une incidence sur le niveau approprié des mesures préventives à mettre en œuvre, telles que les mesures de vigilance à l'égard de la clientèle. Il existe donc des circonstances dans lesquelles des mesures de vigilance renforcée</w:t>
      </w:r>
      <w:r w:rsidR="00B03F7F">
        <w:t>s</w:t>
      </w:r>
      <w:r w:rsidR="001F17B8" w:rsidRPr="001F17B8">
        <w:t xml:space="preserve"> devraient être appliquées, et d'autres dans lesquelles des mesures simplifiées pourraient convenir.</w:t>
      </w:r>
    </w:p>
    <w:p w:rsidR="001F17B8" w:rsidRPr="001F17B8" w:rsidRDefault="001F17B8" w:rsidP="00B03F7F">
      <w:pPr>
        <w:pStyle w:val="ManualConsidrant"/>
      </w:pPr>
      <w:r w:rsidRPr="001F17B8">
        <w:t>(</w:t>
      </w:r>
      <w:r w:rsidR="00DF2E63">
        <w:t>3</w:t>
      </w:r>
      <w:r w:rsidR="0013376A">
        <w:t>1</w:t>
      </w:r>
      <w:r w:rsidRPr="001F17B8">
        <w:t>)</w:t>
      </w:r>
      <w:r w:rsidRPr="001F17B8">
        <w:tab/>
        <w:t xml:space="preserve">Il convient de reconnaître que certaines situations comportent un risque plus élevé de blanchiment de capitaux ou de financement du terrorisme. </w:t>
      </w:r>
      <w:r w:rsidR="00AB624E">
        <w:t>Bien que</w:t>
      </w:r>
      <w:r w:rsidR="00AB624E" w:rsidRPr="001F17B8">
        <w:t xml:space="preserve"> </w:t>
      </w:r>
      <w:r w:rsidRPr="001F17B8">
        <w:t xml:space="preserve">l'identité et le profil commercial de tous les clients devraient être établis, il est nécessaire, dans certains cas, que les procédures d'identification et de vérification de l'identité </w:t>
      </w:r>
      <w:r w:rsidR="00AB624E">
        <w:t xml:space="preserve">des clients </w:t>
      </w:r>
      <w:r w:rsidRPr="001F17B8">
        <w:t>soient particulièrement rigoureuses.</w:t>
      </w:r>
    </w:p>
    <w:p w:rsidR="001F17B8" w:rsidRPr="001F17B8" w:rsidRDefault="001F17B8" w:rsidP="0013376A">
      <w:pPr>
        <w:pStyle w:val="ManualConsidrant"/>
      </w:pPr>
      <w:r w:rsidRPr="001F17B8">
        <w:t>(</w:t>
      </w:r>
      <w:r w:rsidR="00DF2E63">
        <w:t>3</w:t>
      </w:r>
      <w:r w:rsidR="0013376A">
        <w:t>2</w:t>
      </w:r>
      <w:r w:rsidRPr="001F17B8">
        <w:t>)</w:t>
      </w:r>
      <w:r w:rsidRPr="001F17B8">
        <w:tab/>
        <w:t>Cela vaut tout particulièrement pour les relations nouées avec des personnes exerçant ou ayant exercé des fonctions publiques importantes</w:t>
      </w:r>
      <w:r w:rsidR="00FE4E32">
        <w:t>, dans l'Union ou au niveau international</w:t>
      </w:r>
      <w:r w:rsidRPr="001F17B8">
        <w:t>,</w:t>
      </w:r>
      <w:r w:rsidR="00FE4E32">
        <w:t xml:space="preserve"> et</w:t>
      </w:r>
      <w:r w:rsidRPr="001F17B8">
        <w:t xml:space="preserve"> </w:t>
      </w:r>
      <w:r w:rsidR="00574121">
        <w:t>particulièrement</w:t>
      </w:r>
      <w:r w:rsidR="00574121" w:rsidRPr="001F17B8">
        <w:t xml:space="preserve"> </w:t>
      </w:r>
      <w:r w:rsidRPr="001F17B8">
        <w:t>lorsqu</w:t>
      </w:r>
      <w:r w:rsidR="00574121">
        <w:t>e ces personnes</w:t>
      </w:r>
      <w:r w:rsidRPr="001F17B8">
        <w:t xml:space="preserve"> viennent de pays où la corruption est largement répandue. De telles relations peuvent en particulier exposer le secteur financier à des risques </w:t>
      </w:r>
      <w:r w:rsidR="00574121">
        <w:t>significatifs</w:t>
      </w:r>
      <w:r w:rsidR="00574121" w:rsidRPr="001F17B8">
        <w:t xml:space="preserve"> </w:t>
      </w:r>
      <w:r w:rsidRPr="001F17B8">
        <w:t xml:space="preserve">pour sa réputation et au niveau juridique. Les efforts menés sur le plan international pour combattre la corruption justifient aussi </w:t>
      </w:r>
      <w:r w:rsidR="00AB624E">
        <w:t>la nécessité</w:t>
      </w:r>
      <w:r w:rsidRPr="001F17B8">
        <w:t xml:space="preserve"> </w:t>
      </w:r>
      <w:r w:rsidR="00AB624E">
        <w:t>d'</w:t>
      </w:r>
      <w:r w:rsidRPr="001F17B8">
        <w:t>accorde</w:t>
      </w:r>
      <w:r w:rsidR="00AB624E">
        <w:t>r</w:t>
      </w:r>
      <w:r w:rsidRPr="001F17B8">
        <w:t xml:space="preserve"> une attention particulière à ces </w:t>
      </w:r>
      <w:r w:rsidR="00FE4E32">
        <w:t>personnes</w:t>
      </w:r>
      <w:r w:rsidRPr="001F17B8">
        <w:t xml:space="preserve"> et </w:t>
      </w:r>
      <w:r w:rsidR="00AB624E">
        <w:t>d'</w:t>
      </w:r>
      <w:r w:rsidRPr="001F17B8">
        <w:t>applique</w:t>
      </w:r>
      <w:r w:rsidR="00AB624E">
        <w:t>r</w:t>
      </w:r>
      <w:r w:rsidRPr="001F17B8">
        <w:t xml:space="preserve"> des mesures de vigilance renforcée</w:t>
      </w:r>
      <w:r w:rsidR="00B03F7F">
        <w:t>s</w:t>
      </w:r>
      <w:r w:rsidRPr="001F17B8">
        <w:t xml:space="preserve"> appropriées </w:t>
      </w:r>
      <w:r w:rsidR="00AB624E">
        <w:t>à l'égard des</w:t>
      </w:r>
      <w:r w:rsidRPr="001F17B8">
        <w:t xml:space="preserve"> personnes qui exercent ou ont exercé des fonctions</w:t>
      </w:r>
      <w:r w:rsidR="00FE4E32">
        <w:t xml:space="preserve"> publiques</w:t>
      </w:r>
      <w:r w:rsidRPr="001F17B8">
        <w:t xml:space="preserve"> importantes sur le territoire national ou à l'étranger, ainsi qu'aux cadres supérieurs des organisations internationales.</w:t>
      </w:r>
    </w:p>
    <w:p w:rsidR="001F17B8" w:rsidRPr="001F17B8" w:rsidRDefault="001F17B8" w:rsidP="0013376A">
      <w:pPr>
        <w:pStyle w:val="ManualConsidrant"/>
      </w:pPr>
      <w:r w:rsidRPr="001F17B8">
        <w:t>(</w:t>
      </w:r>
      <w:r w:rsidR="00DF2E63">
        <w:t>3</w:t>
      </w:r>
      <w:r w:rsidR="0013376A">
        <w:t>3</w:t>
      </w:r>
      <w:r w:rsidRPr="001F17B8">
        <w:t>)</w:t>
      </w:r>
      <w:r w:rsidRPr="001F17B8">
        <w:tab/>
        <w:t xml:space="preserve">Les exigences concernant les personnes politiquement exposées ont un caractère préventif </w:t>
      </w:r>
      <w:r w:rsidR="00DB4F1D">
        <w:t xml:space="preserve">et </w:t>
      </w:r>
      <w:r w:rsidRPr="001F17B8">
        <w:t xml:space="preserve">non pénal et ne devraient pas être interprétées comme stigmatisant </w:t>
      </w:r>
      <w:r w:rsidR="00DF2E63">
        <w:t>l</w:t>
      </w:r>
      <w:r w:rsidRPr="001F17B8">
        <w:t>es personnes</w:t>
      </w:r>
      <w:r w:rsidR="00DF2E63">
        <w:t xml:space="preserve"> politiquement exposées</w:t>
      </w:r>
      <w:r w:rsidRPr="001F17B8">
        <w:t xml:space="preserve"> comme </w:t>
      </w:r>
      <w:r w:rsidR="00574121">
        <w:t>étant impliquées dans</w:t>
      </w:r>
      <w:r w:rsidRPr="001F17B8">
        <w:t xml:space="preserve"> des activités criminelles. Refuser une relation d'affaires avec une personne au seul motif qu</w:t>
      </w:r>
      <w:r w:rsidR="00DF2E63">
        <w:t>'elle</w:t>
      </w:r>
      <w:r w:rsidRPr="001F17B8">
        <w:t xml:space="preserve"> est une personne politiquement exposée est contraire à la lettre et à l'esprit </w:t>
      </w:r>
      <w:r w:rsidR="00DF2E63" w:rsidRPr="001F17B8">
        <w:t xml:space="preserve">de la présente directive et </w:t>
      </w:r>
      <w:r w:rsidRPr="001F17B8">
        <w:t xml:space="preserve">des recommandations </w:t>
      </w:r>
      <w:r w:rsidR="00AB624E">
        <w:t xml:space="preserve">révisées </w:t>
      </w:r>
      <w:r w:rsidRPr="001F17B8">
        <w:t>du GAFI.</w:t>
      </w:r>
    </w:p>
    <w:p w:rsidR="001F17B8" w:rsidRPr="001F17B8" w:rsidRDefault="00746943" w:rsidP="0013376A">
      <w:pPr>
        <w:pStyle w:val="ManualConsidrant"/>
      </w:pPr>
      <w:r>
        <w:br w:type="page"/>
      </w:r>
      <w:r w:rsidR="001F17B8" w:rsidRPr="001F17B8">
        <w:t>(</w:t>
      </w:r>
      <w:r w:rsidR="00DF2E63">
        <w:t>3</w:t>
      </w:r>
      <w:r w:rsidR="0013376A">
        <w:t>4</w:t>
      </w:r>
      <w:r w:rsidR="001F17B8" w:rsidRPr="001F17B8">
        <w:t>)</w:t>
      </w:r>
      <w:r w:rsidR="001F17B8" w:rsidRPr="001F17B8">
        <w:tab/>
        <w:t xml:space="preserve">L'obligation d'obtenir l'autorisation </w:t>
      </w:r>
      <w:r w:rsidR="001F17B8" w:rsidRPr="00C81C06">
        <w:t>d'un membre d'un niveau élevé de la hiérarchie</w:t>
      </w:r>
      <w:r w:rsidR="001F17B8" w:rsidRPr="001F17B8">
        <w:t xml:space="preserve"> pour pouvoir </w:t>
      </w:r>
      <w:r w:rsidR="00C6391C">
        <w:t>nouer</w:t>
      </w:r>
      <w:r w:rsidR="004C2B55">
        <w:t xml:space="preserve"> </w:t>
      </w:r>
      <w:r w:rsidR="001F17B8" w:rsidRPr="001F17B8">
        <w:t xml:space="preserve">des relations d'affaires ne doit pas toujours signifier qu'il faut </w:t>
      </w:r>
      <w:r w:rsidR="00052851">
        <w:t xml:space="preserve">obtenir </w:t>
      </w:r>
      <w:r w:rsidR="001F17B8" w:rsidRPr="001F17B8">
        <w:t>l'</w:t>
      </w:r>
      <w:r w:rsidR="00052851">
        <w:t>autorisation</w:t>
      </w:r>
      <w:r w:rsidR="001F17B8" w:rsidRPr="001F17B8">
        <w:t xml:space="preserve"> du conseil d'administration. Une telle autorisation devrait pouvoir être délivrée par une personne possédant une connaissance suffisante des risques de blanchiment de capitaux et de financement du terrorisme auxquels l'établissement est exposé et occupant une position hiérar</w:t>
      </w:r>
      <w:r>
        <w:t xml:space="preserve">chique suffisamment élevée pour </w:t>
      </w:r>
      <w:r w:rsidR="001F17B8" w:rsidRPr="001F17B8">
        <w:t>pouvoir prendre des décisions ayant une incidence sur cette exposition aux risques.</w:t>
      </w:r>
    </w:p>
    <w:p w:rsidR="001F17B8" w:rsidRPr="001F17B8" w:rsidRDefault="001F17B8">
      <w:pPr>
        <w:pStyle w:val="ManualConsidrant"/>
      </w:pPr>
      <w:r w:rsidRPr="001F17B8">
        <w:t>(</w:t>
      </w:r>
      <w:r w:rsidR="00C20959">
        <w:t>3</w:t>
      </w:r>
      <w:r w:rsidR="0013376A">
        <w:t>5</w:t>
      </w:r>
      <w:r w:rsidRPr="001F17B8">
        <w:t>)</w:t>
      </w:r>
      <w:r w:rsidRPr="001F17B8">
        <w:tab/>
        <w:t xml:space="preserve">Afin d'éviter la répétition des procédures d'identification des clients, qui serait source de retards et d'inefficacité dans les affaires, il </w:t>
      </w:r>
      <w:r w:rsidR="00052851">
        <w:t>est approprié</w:t>
      </w:r>
      <w:r w:rsidRPr="001F17B8">
        <w:t xml:space="preserve"> d'autoriser, sous réserve de garanties appropriées, que les </w:t>
      </w:r>
      <w:r w:rsidR="00052851">
        <w:t xml:space="preserve">clients qui ont été identifiés ailleurs puissent être introduits auprès des </w:t>
      </w:r>
      <w:r w:rsidR="00870FFE">
        <w:t>entités assujetties</w:t>
      </w:r>
      <w:r w:rsidRPr="001F17B8">
        <w:t xml:space="preserve">. </w:t>
      </w:r>
      <w:r w:rsidRPr="00727BE8">
        <w:t xml:space="preserve">Lorsqu'une </w:t>
      </w:r>
      <w:r w:rsidR="007468D1">
        <w:t>entité assujettie</w:t>
      </w:r>
      <w:r w:rsidRPr="00C20959">
        <w:t xml:space="preserve"> </w:t>
      </w:r>
      <w:r w:rsidR="001125B4">
        <w:t>a recours</w:t>
      </w:r>
      <w:r w:rsidRPr="00C20959">
        <w:t xml:space="preserve"> à un tiers, la responsabilité finale de la procédure de vigilance à l'égard de </w:t>
      </w:r>
      <w:r w:rsidR="00616910">
        <w:t>la clientèle</w:t>
      </w:r>
      <w:r w:rsidR="00DB4F1D" w:rsidRPr="00C20959">
        <w:t xml:space="preserve"> </w:t>
      </w:r>
      <w:r w:rsidR="00AB3FC6">
        <w:t xml:space="preserve">devrait </w:t>
      </w:r>
      <w:r w:rsidR="00616910">
        <w:t>demeure</w:t>
      </w:r>
      <w:r w:rsidR="00AB3FC6">
        <w:t>r</w:t>
      </w:r>
      <w:r w:rsidR="00616910">
        <w:t xml:space="preserve"> auprès de</w:t>
      </w:r>
      <w:r w:rsidR="00052851">
        <w:t xml:space="preserve"> l'</w:t>
      </w:r>
      <w:r w:rsidR="007468D1">
        <w:t>entité assujettie</w:t>
      </w:r>
      <w:r w:rsidR="00052851">
        <w:t xml:space="preserve"> auprès de </w:t>
      </w:r>
      <w:r w:rsidR="00AB3FC6">
        <w:t>laquelle</w:t>
      </w:r>
      <w:r w:rsidR="00052851">
        <w:t xml:space="preserve"> le client a été introduit</w:t>
      </w:r>
      <w:r w:rsidR="00746943">
        <w:t xml:space="preserve">. Le </w:t>
      </w:r>
      <w:r w:rsidRPr="00C20959">
        <w:t>tiers</w:t>
      </w:r>
      <w:r w:rsidRPr="001F17B8">
        <w:t xml:space="preserve">, ou la personne qui a </w:t>
      </w:r>
      <w:r w:rsidR="00616910">
        <w:t>introduit</w:t>
      </w:r>
      <w:r w:rsidRPr="001F17B8">
        <w:t xml:space="preserve"> le client, devrait de son côté également conserver la responsabilité du respect </w:t>
      </w:r>
      <w:r>
        <w:t>de</w:t>
      </w:r>
      <w:r w:rsidRPr="001F17B8">
        <w:t xml:space="preserve"> la présente directive, et </w:t>
      </w:r>
      <w:r w:rsidR="004C2B55">
        <w:t>y compris</w:t>
      </w:r>
      <w:r w:rsidR="004C2B55" w:rsidRPr="001F17B8">
        <w:t xml:space="preserve"> </w:t>
      </w:r>
      <w:r w:rsidRPr="001F17B8">
        <w:t xml:space="preserve">l'obligation de </w:t>
      </w:r>
      <w:r w:rsidR="00EE26A1">
        <w:t>déclarer</w:t>
      </w:r>
      <w:r w:rsidRPr="001F17B8">
        <w:t xml:space="preserve"> les transactions suspectes et de conserver des documents, dans la mesure où il entretient avec le client une relation couverte par la présente directive.</w:t>
      </w:r>
    </w:p>
    <w:p w:rsidR="001F17B8" w:rsidRPr="001F17B8" w:rsidRDefault="001F17B8" w:rsidP="0013376A">
      <w:pPr>
        <w:pStyle w:val="ManualConsidrant"/>
      </w:pPr>
      <w:r w:rsidRPr="001F17B8">
        <w:t>(</w:t>
      </w:r>
      <w:r w:rsidR="00C20959">
        <w:t>3</w:t>
      </w:r>
      <w:r w:rsidR="0013376A">
        <w:t>6</w:t>
      </w:r>
      <w:r w:rsidRPr="001F17B8">
        <w:t>)</w:t>
      </w:r>
      <w:r w:rsidRPr="001F17B8">
        <w:tab/>
        <w:t xml:space="preserve">Lorsqu'il existe une relation contractuelle d'agence ou d'externalisation entre des </w:t>
      </w:r>
      <w:r w:rsidR="00870FFE">
        <w:t>entités assujetties</w:t>
      </w:r>
      <w:r w:rsidRPr="001F17B8">
        <w:t xml:space="preserve"> et des personnes externes ne relevant pas de la présente directive, les obligations qui incombent, au titre de la lutte contre le blanchiment de capitaux et le financement du terrorisme, à l'agent ou au fournisseur du service externalisé en tant que partie de l'</w:t>
      </w:r>
      <w:r w:rsidR="007468D1">
        <w:t>entité assujettie</w:t>
      </w:r>
      <w:r w:rsidRPr="001F17B8">
        <w:t xml:space="preserve"> ne peuvent découler que du contrat</w:t>
      </w:r>
      <w:r w:rsidR="00A06AFF">
        <w:t xml:space="preserve"> entre les parties</w:t>
      </w:r>
      <w:r w:rsidRPr="001F17B8">
        <w:t>, et non de la présente directive. La responsabilité du respect de la présente directive devrait donc continuer d'incomber principalement à l'</w:t>
      </w:r>
      <w:r w:rsidR="007468D1">
        <w:t>entité assujettie</w:t>
      </w:r>
      <w:r w:rsidRPr="001F17B8">
        <w:t>.</w:t>
      </w:r>
    </w:p>
    <w:p w:rsidR="001F17B8" w:rsidRPr="001F17B8" w:rsidRDefault="00274539" w:rsidP="00746943">
      <w:pPr>
        <w:pStyle w:val="ManualConsidrant"/>
      </w:pPr>
      <w:r>
        <w:br w:type="page"/>
      </w:r>
      <w:r w:rsidR="001F17B8" w:rsidRPr="001F17B8">
        <w:t>(</w:t>
      </w:r>
      <w:r w:rsidR="00C20959">
        <w:t>3</w:t>
      </w:r>
      <w:r w:rsidR="0013376A">
        <w:t>7</w:t>
      </w:r>
      <w:r w:rsidR="001F17B8" w:rsidRPr="001F17B8">
        <w:t>)</w:t>
      </w:r>
      <w:r w:rsidR="001F17B8" w:rsidRPr="001F17B8">
        <w:tab/>
        <w:t>Tous les États membres ont mis en place ou devraient mettre en place des CRF fonctionnellement indépendantes et autonomes, chargées de recueillir et d'analyser les informations qu'ils reçoivent de façon à faire le</w:t>
      </w:r>
      <w:r w:rsidR="00746943">
        <w:t xml:space="preserve"> </w:t>
      </w:r>
      <w:r w:rsidR="001F17B8" w:rsidRPr="001F17B8">
        <w:t xml:space="preserve">lien entre les transactions suspectes et les activités criminelles sous-jacentes en vue de prévenir et de combattre le blanchiment de capitaux et le financement du terrorisme. </w:t>
      </w:r>
      <w:r w:rsidR="00A06AFF">
        <w:t>Une</w:t>
      </w:r>
      <w:r w:rsidR="00A06AFF" w:rsidRPr="001F17B8">
        <w:t xml:space="preserve"> </w:t>
      </w:r>
      <w:r w:rsidR="001F17B8" w:rsidRPr="001F17B8">
        <w:t>CRF fonctionnellement indépendante et autonome</w:t>
      </w:r>
      <w:r w:rsidR="000F0454">
        <w:t xml:space="preserve"> devrait </w:t>
      </w:r>
      <w:r w:rsidR="00A06AFF">
        <w:t>signifie</w:t>
      </w:r>
      <w:r w:rsidR="000F0454">
        <w:t>r</w:t>
      </w:r>
      <w:r w:rsidR="00A06AFF">
        <w:t xml:space="preserve"> qu'elle</w:t>
      </w:r>
      <w:r w:rsidR="001F17B8" w:rsidRPr="001F17B8">
        <w:t xml:space="preserve"> a l'autorité et la capacité nécessaires pour exercer </w:t>
      </w:r>
      <w:r w:rsidR="00A06AFF">
        <w:t>ses</w:t>
      </w:r>
      <w:r w:rsidR="00A06AFF" w:rsidRPr="001F17B8">
        <w:t xml:space="preserve"> </w:t>
      </w:r>
      <w:r w:rsidR="001F17B8" w:rsidRPr="001F17B8">
        <w:t xml:space="preserve">fonctions librement, y compris pour décider d'une manière autonome d'analyser, de demander et de </w:t>
      </w:r>
      <w:r w:rsidR="00500C3C">
        <w:t>disséminer</w:t>
      </w:r>
      <w:r w:rsidR="00500C3C" w:rsidRPr="001F17B8">
        <w:t xml:space="preserve"> </w:t>
      </w:r>
      <w:r w:rsidR="001F17B8" w:rsidRPr="001F17B8">
        <w:t xml:space="preserve">des informations particulières. Les transactions suspectes et les autres informations utiles pour lutter contre le blanchiment de capitaux, les infractions </w:t>
      </w:r>
      <w:r w:rsidR="00500C3C" w:rsidRPr="00D02A5F">
        <w:t>sous-jacentes associées</w:t>
      </w:r>
      <w:r w:rsidR="001F17B8" w:rsidRPr="001F17B8">
        <w:t xml:space="preserve"> et le financement du terrorisme devraient être signalées aux CRF, qui devraient faire office de </w:t>
      </w:r>
      <w:r w:rsidR="000F0454">
        <w:t>cellules</w:t>
      </w:r>
      <w:r w:rsidR="000F0454" w:rsidRPr="001F17B8">
        <w:t xml:space="preserve"> </w:t>
      </w:r>
      <w:r w:rsidR="001F17B8" w:rsidRPr="001F17B8">
        <w:t>nationa</w:t>
      </w:r>
      <w:r w:rsidR="000F0454">
        <w:t>les centrales</w:t>
      </w:r>
      <w:r w:rsidR="001F17B8" w:rsidRPr="001F17B8">
        <w:t xml:space="preserve"> pour la réception</w:t>
      </w:r>
      <w:r w:rsidR="00616910">
        <w:t>,</w:t>
      </w:r>
      <w:r w:rsidR="00746943">
        <w:t xml:space="preserve"> l'analyse et la </w:t>
      </w:r>
      <w:r w:rsidR="008D7683">
        <w:t>dissémination</w:t>
      </w:r>
      <w:r w:rsidR="008D7683" w:rsidRPr="001F17B8">
        <w:t xml:space="preserve"> </w:t>
      </w:r>
      <w:r w:rsidR="001F17B8" w:rsidRPr="001F17B8">
        <w:t xml:space="preserve">des résultats de leurs analyses aux autorités compétentes. Toutes les transactions suspectes, y compris les tentatives de transactions suspectes, devraient être </w:t>
      </w:r>
      <w:r w:rsidR="00B03F7F">
        <w:t>déclarées</w:t>
      </w:r>
      <w:r w:rsidR="001F17B8" w:rsidRPr="001F17B8">
        <w:t xml:space="preserve"> quel qu'en soit le montant. Les </w:t>
      </w:r>
      <w:r w:rsidR="00EE26A1">
        <w:t>déclarations</w:t>
      </w:r>
      <w:r w:rsidR="00EE26A1" w:rsidRPr="001F17B8">
        <w:t xml:space="preserve"> </w:t>
      </w:r>
      <w:r w:rsidR="000F0454">
        <w:t>pourraient</w:t>
      </w:r>
      <w:r w:rsidR="000F0454" w:rsidRPr="001F17B8">
        <w:t xml:space="preserve"> </w:t>
      </w:r>
      <w:r w:rsidR="001F17B8" w:rsidRPr="001F17B8">
        <w:t>aussi comprendre des informations fondées sur des seuils.</w:t>
      </w:r>
    </w:p>
    <w:p w:rsidR="001F17B8" w:rsidRPr="001F17B8" w:rsidRDefault="001F17B8" w:rsidP="00B03F7F">
      <w:pPr>
        <w:pStyle w:val="ManualConsidrant"/>
      </w:pPr>
      <w:r w:rsidRPr="001F17B8">
        <w:t>(</w:t>
      </w:r>
      <w:r w:rsidR="00C20959">
        <w:t>3</w:t>
      </w:r>
      <w:r w:rsidR="0013376A">
        <w:t>8</w:t>
      </w:r>
      <w:r w:rsidRPr="001F17B8">
        <w:t>)</w:t>
      </w:r>
      <w:r w:rsidRPr="001F17B8">
        <w:tab/>
        <w:t xml:space="preserve">Par dérogation à l'interdiction générale </w:t>
      </w:r>
      <w:r w:rsidR="00B03F7F">
        <w:t>d'exécuter</w:t>
      </w:r>
      <w:r w:rsidR="00AB3FC6" w:rsidRPr="001F17B8">
        <w:t xml:space="preserve"> </w:t>
      </w:r>
      <w:r w:rsidRPr="001F17B8">
        <w:t xml:space="preserve">des transactions suspectes, les </w:t>
      </w:r>
      <w:r w:rsidR="00870FFE">
        <w:t>entités assujetties</w:t>
      </w:r>
      <w:r w:rsidRPr="001F17B8">
        <w:t xml:space="preserve"> </w:t>
      </w:r>
      <w:r w:rsidR="000F0454">
        <w:t>devraient pouvoir</w:t>
      </w:r>
      <w:r w:rsidR="000F0454" w:rsidRPr="001F17B8">
        <w:t xml:space="preserve"> </w:t>
      </w:r>
      <w:r w:rsidR="00B03F7F">
        <w:t>exécuter</w:t>
      </w:r>
      <w:r w:rsidR="00AB3FC6">
        <w:t xml:space="preserve"> </w:t>
      </w:r>
      <w:r w:rsidRPr="001F17B8">
        <w:t xml:space="preserve">des transactions suspectes avant d'en informer les autorités compétentes lorsqu'il est impossible de s'abstenir </w:t>
      </w:r>
      <w:r w:rsidR="00B03F7F">
        <w:t>d'exécuter</w:t>
      </w:r>
      <w:r w:rsidR="00AB3FC6" w:rsidRPr="001F17B8">
        <w:t xml:space="preserve"> </w:t>
      </w:r>
      <w:r w:rsidRPr="001F17B8">
        <w:t>ces transactions ou lorsque cette abstention est susceptible d'empêcher la poursuite des bénéficiaires d'une opération suspectée d'être liée au blanchiment de capitaux ou au financement du terrorisme. Ce</w:t>
      </w:r>
      <w:r w:rsidR="004C2B55">
        <w:t>la</w:t>
      </w:r>
      <w:r w:rsidRPr="001F17B8">
        <w:t xml:space="preserve"> devrait</w:t>
      </w:r>
      <w:r w:rsidR="000F0454">
        <w:t xml:space="preserve"> être</w:t>
      </w:r>
      <w:r w:rsidRPr="001F17B8">
        <w:t xml:space="preserve"> cependant </w:t>
      </w:r>
      <w:r w:rsidR="000F0454">
        <w:t>sans préjudice</w:t>
      </w:r>
      <w:r w:rsidRPr="001F17B8">
        <w:t xml:space="preserve"> </w:t>
      </w:r>
      <w:r w:rsidR="000F0454">
        <w:t>des</w:t>
      </w:r>
      <w:r w:rsidRPr="001F17B8">
        <w:t xml:space="preserve"> obligations internationales acceptées par les États membres visant à geler immédiatement les fonds </w:t>
      </w:r>
      <w:r w:rsidR="00616910">
        <w:t>ou</w:t>
      </w:r>
      <w:r w:rsidRPr="001F17B8">
        <w:t xml:space="preserve"> autres avoirs des terroristes, des organisations terroristes </w:t>
      </w:r>
      <w:r w:rsidR="00616910">
        <w:t>ou</w:t>
      </w:r>
      <w:r w:rsidRPr="001F17B8">
        <w:t xml:space="preserve"> des organisations qui financent le terrorisme, </w:t>
      </w:r>
      <w:r w:rsidR="000F0454">
        <w:t>conformément aux</w:t>
      </w:r>
      <w:r w:rsidRPr="001F17B8">
        <w:t xml:space="preserve"> résolutions pertinentes du Conseil de sécurité des Nations unies.</w:t>
      </w:r>
    </w:p>
    <w:p w:rsidR="001F17B8" w:rsidRPr="001F17B8" w:rsidRDefault="00274539" w:rsidP="00B03F7F">
      <w:pPr>
        <w:pStyle w:val="ManualConsidrant"/>
      </w:pPr>
      <w:r>
        <w:br w:type="page"/>
      </w:r>
      <w:r w:rsidR="001F17B8" w:rsidRPr="001F17B8">
        <w:t>(</w:t>
      </w:r>
      <w:r w:rsidR="00270BF8">
        <w:t>39</w:t>
      </w:r>
      <w:r w:rsidR="001F17B8" w:rsidRPr="001F17B8">
        <w:t>)</w:t>
      </w:r>
      <w:r w:rsidR="001F17B8" w:rsidRPr="001F17B8">
        <w:tab/>
      </w:r>
      <w:r w:rsidR="00C20959">
        <w:t xml:space="preserve">Pour certaines </w:t>
      </w:r>
      <w:r w:rsidR="00870FFE">
        <w:t>entités assujetties</w:t>
      </w:r>
      <w:r w:rsidR="00C20959">
        <w:t>,</w:t>
      </w:r>
      <w:r w:rsidR="00C20959" w:rsidRPr="001F17B8">
        <w:t xml:space="preserve"> </w:t>
      </w:r>
      <w:r w:rsidR="00C20959">
        <w:t>l</w:t>
      </w:r>
      <w:r w:rsidR="001F17B8" w:rsidRPr="001F17B8">
        <w:t xml:space="preserve">es États membres devraient avoir la possibilité de désigner un organisme approprié d'autorégulation </w:t>
      </w:r>
      <w:r w:rsidR="00616910">
        <w:t>comme étant</w:t>
      </w:r>
      <w:r w:rsidR="001F17B8" w:rsidRPr="001F17B8">
        <w:t xml:space="preserve"> l'autorité à informer en premier lieu à la place de la CRF. Conformément à la jurisprudence de la Cour européenne des droits de l'homme, un système de </w:t>
      </w:r>
      <w:r w:rsidR="00EE26A1">
        <w:t>déclaration</w:t>
      </w:r>
      <w:r w:rsidR="001F17B8" w:rsidRPr="001F17B8">
        <w:t xml:space="preserve">, en premier lieu, à un organisme d'autorégulation constitue une garantie importante de la protection des droits fondamentaux </w:t>
      </w:r>
      <w:r w:rsidR="00616910">
        <w:t>pour ce qui concerne les</w:t>
      </w:r>
      <w:r w:rsidR="001F17B8" w:rsidRPr="001F17B8">
        <w:t xml:space="preserve"> obligations de </w:t>
      </w:r>
      <w:r w:rsidR="00EE26A1">
        <w:t>déclaration</w:t>
      </w:r>
      <w:r w:rsidR="00EE26A1" w:rsidRPr="001F17B8">
        <w:t xml:space="preserve"> </w:t>
      </w:r>
      <w:r w:rsidR="001F17B8" w:rsidRPr="001F17B8">
        <w:t>applicables aux avocats. Les États membres devraient fournir les moyens et la méthode permettant de protéger le secret professionnel, la confidentialité et la vie privée.</w:t>
      </w:r>
    </w:p>
    <w:p w:rsidR="001F17B8" w:rsidRPr="001F17B8" w:rsidRDefault="001F17B8" w:rsidP="00B03F7F">
      <w:pPr>
        <w:pStyle w:val="ManualConsidrant"/>
      </w:pPr>
      <w:r w:rsidRPr="001F17B8">
        <w:t>(</w:t>
      </w:r>
      <w:r w:rsidR="00270BF8">
        <w:t>40</w:t>
      </w:r>
      <w:r w:rsidRPr="001F17B8">
        <w:t>)</w:t>
      </w:r>
      <w:r w:rsidRPr="001F17B8">
        <w:tab/>
      </w:r>
      <w:r w:rsidR="00AB3FC6">
        <w:t>Lorsqu</w:t>
      </w:r>
      <w:r w:rsidR="00746943">
        <w:t>'</w:t>
      </w:r>
      <w:r w:rsidRPr="00727BE8">
        <w:t xml:space="preserve">un État membre décide de </w:t>
      </w:r>
      <w:r w:rsidR="00D4606A" w:rsidRPr="00D4606A">
        <w:t>désigner un tel organisme d'autorégulation</w:t>
      </w:r>
      <w:r w:rsidRPr="00D4606A">
        <w:t xml:space="preserve">, il peut permettre ou faire obligation à </w:t>
      </w:r>
      <w:r w:rsidR="00D4606A" w:rsidRPr="00D4606A">
        <w:t xml:space="preserve">cet </w:t>
      </w:r>
      <w:r w:rsidRPr="00D4606A">
        <w:t>organisme de ne pas transmettre à la CRF les informations obtenues auprès de</w:t>
      </w:r>
      <w:r w:rsidR="00270BF8">
        <w:t xml:space="preserve"> </w:t>
      </w:r>
      <w:r w:rsidRPr="00D4606A">
        <w:t>personnes</w:t>
      </w:r>
      <w:r w:rsidR="00D4606A" w:rsidRPr="00D4606A">
        <w:t xml:space="preserve"> représentées par cet organisme</w:t>
      </w:r>
      <w:r w:rsidR="00D4606A">
        <w:t xml:space="preserve"> lorsque ces informations ont été reçues de l'un de leurs clients ou obtenues sur l'un de leurs clients, lors de l'évaluation de la situation juridique de ce client ou dans l'exercice de leur mission de défense ou de représentation de ce client dans une procédure judiciaire ou concernant une telle procédure, y compris dans le cadre de conseils relatifs à la manière d'engager ou d'éviter une </w:t>
      </w:r>
      <w:r w:rsidR="00616910">
        <w:t xml:space="preserve">telle </w:t>
      </w:r>
      <w:r w:rsidR="00D4606A">
        <w:t>procédure, que ces informations soient reçues ou obtenues avant, pendant ou après cette procédure</w:t>
      </w:r>
      <w:r w:rsidRPr="00727BE8">
        <w:t>.</w:t>
      </w:r>
    </w:p>
    <w:p w:rsidR="001F17B8" w:rsidRPr="001F17B8" w:rsidRDefault="00746943" w:rsidP="00320A3E">
      <w:pPr>
        <w:pStyle w:val="ManualConsidrant"/>
      </w:pPr>
      <w:r>
        <w:br w:type="page"/>
      </w:r>
      <w:r w:rsidR="001F17B8" w:rsidRPr="001F17B8">
        <w:t>(</w:t>
      </w:r>
      <w:r w:rsidR="00D4606A">
        <w:t>4</w:t>
      </w:r>
      <w:r w:rsidR="00270BF8">
        <w:t>1</w:t>
      </w:r>
      <w:r w:rsidR="001F17B8" w:rsidRPr="001F17B8">
        <w:t>)</w:t>
      </w:r>
      <w:r w:rsidR="001F17B8" w:rsidRPr="001F17B8">
        <w:tab/>
        <w:t xml:space="preserve">Un certain nombre de salariés ont été victimes de menaces ou d'actes hostiles après avoir fait part de leurs soupçons de blanchiment. Bien que la présente directive ne puisse interférer avec les procédures judiciaires des États membres, il </w:t>
      </w:r>
      <w:r w:rsidR="00D4606A">
        <w:t>est crucial que cette</w:t>
      </w:r>
      <w:r w:rsidR="001F17B8" w:rsidRPr="001F17B8">
        <w:t xml:space="preserve"> question </w:t>
      </w:r>
      <w:r w:rsidR="00D4606A">
        <w:t>soit résolue pour garantir</w:t>
      </w:r>
      <w:r w:rsidR="001F17B8" w:rsidRPr="001F17B8">
        <w:t xml:space="preserve"> l'efficacité du régime de lutte contre le blanchiment de capitaux et le financement du terrorisme.</w:t>
      </w:r>
      <w:r w:rsidR="00AB3FC6">
        <w:t xml:space="preserve"> </w:t>
      </w:r>
      <w:r w:rsidR="001F17B8" w:rsidRPr="001F17B8">
        <w:t>Les États membres devraient être conscients</w:t>
      </w:r>
      <w:r w:rsidR="00616910">
        <w:t xml:space="preserve"> de ce problème</w:t>
      </w:r>
      <w:r w:rsidR="001F17B8" w:rsidRPr="001F17B8">
        <w:t xml:space="preserve"> et tout mettre en œuvre pour protéger les personnes, y compris les salariés et les représentants de l'</w:t>
      </w:r>
      <w:r w:rsidR="007468D1">
        <w:t>entité assujettie</w:t>
      </w:r>
      <w:r w:rsidR="001F17B8" w:rsidRPr="001F17B8">
        <w:t>, contre ces menaces ou actes hostiles et accorder, conformément au droit national, une protection appropriée à ces personnes, en particulier en ce qui concerne leur droit à la protection de leurs données à caractère personnel</w:t>
      </w:r>
      <w:r w:rsidR="00616910">
        <w:t xml:space="preserve"> et</w:t>
      </w:r>
      <w:r w:rsidR="001F17B8" w:rsidRPr="001F17B8">
        <w:t xml:space="preserve"> leur droit à une protection juridictionnelle effective et à la représentation.</w:t>
      </w:r>
    </w:p>
    <w:p w:rsidR="001F17B8" w:rsidRPr="001F17B8" w:rsidRDefault="001F17B8" w:rsidP="00746943">
      <w:pPr>
        <w:pStyle w:val="ManualConsidrant"/>
      </w:pPr>
      <w:r w:rsidRPr="001F17B8">
        <w:t>(</w:t>
      </w:r>
      <w:r w:rsidR="00D4606A">
        <w:t>4</w:t>
      </w:r>
      <w:r w:rsidR="00270BF8">
        <w:t>2</w:t>
      </w:r>
      <w:r w:rsidRPr="001F17B8">
        <w:t>)</w:t>
      </w:r>
      <w:r w:rsidRPr="001F17B8">
        <w:tab/>
        <w:t>La directive 95/46/CE du Parlement européen et du Conseil</w:t>
      </w:r>
      <w:r w:rsidRPr="00A06AFF">
        <w:rPr>
          <w:rStyle w:val="FootnoteReference"/>
        </w:rPr>
        <w:footnoteReference w:id="12"/>
      </w:r>
      <w:r w:rsidRPr="001F17B8">
        <w:t xml:space="preserve">, </w:t>
      </w:r>
      <w:r w:rsidR="00616910">
        <w:t xml:space="preserve">telle qu'elle a été </w:t>
      </w:r>
      <w:r w:rsidRPr="001F17B8">
        <w:t>transposée en droit national, s'applique au traitement des données à caractère personnel aux fins de la présente directive.</w:t>
      </w:r>
      <w:r w:rsidR="009F2699">
        <w:t xml:space="preserve"> </w:t>
      </w:r>
      <w:r w:rsidR="00746943">
        <w:t>Le règlement (CE) n</w:t>
      </w:r>
      <w:r w:rsidR="00746943">
        <w:rPr>
          <w:lang w:val="fr-BE"/>
        </w:rPr>
        <w:t>° </w:t>
      </w:r>
      <w:r w:rsidRPr="001F17B8">
        <w:t>45/2001 du Parlement européen et du Conseil</w:t>
      </w:r>
      <w:r w:rsidRPr="00A06AFF">
        <w:rPr>
          <w:rStyle w:val="FootnoteReference"/>
        </w:rPr>
        <w:footnoteReference w:id="13"/>
      </w:r>
      <w:r w:rsidR="00A41661">
        <w:t xml:space="preserve"> s'applique au </w:t>
      </w:r>
      <w:r w:rsidRPr="001F17B8">
        <w:t>traitement des données à caractère personnel effectué par les institutions et organes de l'Union aux fins de la présente directive.</w:t>
      </w:r>
      <w:r w:rsidR="009F2699">
        <w:t xml:space="preserve"> </w:t>
      </w:r>
      <w:r w:rsidRPr="001F17B8">
        <w:t>La lutte contre le blanchiment de capitaux et le financement du terrorisme est reconnue par tous les États membres comme un intérêt public important.</w:t>
      </w:r>
      <w:r w:rsidR="009F2699">
        <w:t xml:space="preserve"> </w:t>
      </w:r>
      <w:r w:rsidRPr="001F17B8">
        <w:t>La présente directive est sans préjudice de la protection des données à caractère personnel traitées dans le cadre de la coopération policière et judiciaire en matière pénale, y compris la décision-cadre 2008</w:t>
      </w:r>
      <w:r w:rsidR="00A06AFF">
        <w:t>/977</w:t>
      </w:r>
      <w:r w:rsidRPr="001F17B8">
        <w:t>/JAI</w:t>
      </w:r>
      <w:r w:rsidR="00A06AFF">
        <w:t xml:space="preserve"> du Conseil</w:t>
      </w:r>
      <w:r w:rsidR="00A06AFF">
        <w:rPr>
          <w:rStyle w:val="FootnoteReference"/>
        </w:rPr>
        <w:footnoteReference w:id="14"/>
      </w:r>
      <w:r w:rsidRPr="001F17B8">
        <w:t xml:space="preserve">, </w:t>
      </w:r>
      <w:r w:rsidR="00616910">
        <w:t xml:space="preserve">telle qu'elle a été mise en </w:t>
      </w:r>
      <w:r w:rsidR="007E1EBF">
        <w:t>œuvre</w:t>
      </w:r>
      <w:r w:rsidRPr="001F17B8">
        <w:t xml:space="preserve"> en droit national.</w:t>
      </w:r>
    </w:p>
    <w:p w:rsidR="001F17B8" w:rsidRPr="001F17B8" w:rsidRDefault="00274539" w:rsidP="00C91F3C">
      <w:pPr>
        <w:pStyle w:val="ManualConsidrant"/>
      </w:pPr>
      <w:r>
        <w:br w:type="page"/>
      </w:r>
      <w:r w:rsidR="001F17B8" w:rsidRPr="001F17B8">
        <w:t>(</w:t>
      </w:r>
      <w:r w:rsidR="00270BF8">
        <w:t>43</w:t>
      </w:r>
      <w:r w:rsidR="001F17B8" w:rsidRPr="001F17B8">
        <w:t>)</w:t>
      </w:r>
      <w:r w:rsidR="001F17B8" w:rsidRPr="001F17B8">
        <w:tab/>
        <w:t xml:space="preserve">Il est essentiel que l'alignement de la présente directive sur les recommandations </w:t>
      </w:r>
      <w:r w:rsidR="00D4606A">
        <w:t xml:space="preserve">révisées </w:t>
      </w:r>
      <w:r w:rsidR="001F17B8" w:rsidRPr="001F17B8">
        <w:t xml:space="preserve">du GAFI s'effectue dans le plein respect du droit de l'Union, en particulier en ce qui concerne le droit de l'Union en matière de protection des données et la protection des droits fondamentaux consacrée dans la </w:t>
      </w:r>
      <w:r w:rsidR="00704364">
        <w:t>c</w:t>
      </w:r>
      <w:r w:rsidR="001F17B8" w:rsidRPr="001F17B8">
        <w:t xml:space="preserve">harte. Certains aspects de la mise en œuvre de la présente directive impliquent la collecte, l'analyse, la conservation et le partage de données. Ce traitement de données à caractère personnel devrait être autorisé dans le plein respect des droits fondamentaux et seulement aux fins prévues dans la présente directive, et </w:t>
      </w:r>
      <w:r w:rsidR="00704364">
        <w:t xml:space="preserve">pour </w:t>
      </w:r>
      <w:r w:rsidR="001F17B8" w:rsidRPr="001F17B8">
        <w:t xml:space="preserve">les activités nécessaires au titre de la présente directive, </w:t>
      </w:r>
      <w:r w:rsidR="00616910">
        <w:t>telles que</w:t>
      </w:r>
      <w:r w:rsidR="00616910" w:rsidRPr="001F17B8">
        <w:t xml:space="preserve"> </w:t>
      </w:r>
      <w:r w:rsidR="001F17B8" w:rsidRPr="001F17B8">
        <w:t xml:space="preserve">l'application de mesures de vigilance à l'égard de la clientèle, l'exercice d'un </w:t>
      </w:r>
      <w:r w:rsidR="00C91F3C">
        <w:t>contrôle</w:t>
      </w:r>
      <w:r w:rsidR="001F17B8" w:rsidRPr="001F17B8">
        <w:t xml:space="preserve"> continu, la conduite d'enquêtes sur les transactions inhabituelles et suspectes et l</w:t>
      </w:r>
      <w:r w:rsidR="009F2699">
        <w:t>a</w:t>
      </w:r>
      <w:r w:rsidR="001F17B8" w:rsidRPr="001F17B8">
        <w:t xml:space="preserve"> </w:t>
      </w:r>
      <w:r w:rsidR="00EE26A1">
        <w:t>déclaration</w:t>
      </w:r>
      <w:r w:rsidR="001F17B8" w:rsidRPr="001F17B8">
        <w:t xml:space="preserve"> de ces transactions, l'identification du bénéficiaire effectif d'une personne morale ou d'une construction juridique, l'identification d'une personne politiquement exposée et le partage d'informations par les autorités compétentes ainsi que par les établissements de crédit, les établissements financiers et les autres </w:t>
      </w:r>
      <w:r w:rsidR="00870FFE">
        <w:t>entités assujetties</w:t>
      </w:r>
      <w:r w:rsidR="001F17B8" w:rsidRPr="001F17B8">
        <w:t xml:space="preserve">. La collecte et le traitement ultérieur de données à caractère personnel par les </w:t>
      </w:r>
      <w:r w:rsidR="00870FFE">
        <w:t>entités assujetties</w:t>
      </w:r>
      <w:r w:rsidR="001F17B8" w:rsidRPr="001F17B8">
        <w:t xml:space="preserve"> devrait se limiter à ce qui est nécessaire</w:t>
      </w:r>
      <w:r w:rsidR="007E1EBF">
        <w:t xml:space="preserve"> au respect des exigences de la </w:t>
      </w:r>
      <w:r w:rsidR="001F17B8" w:rsidRPr="001F17B8">
        <w:t>présente directive, et ces données ne devraient pas faire l'objet d'un traitement ultérieur d'une manière incompatible avec ces finalités. Le traitement ultérieur de données à caractère personnel à des fins commerciales, en particulier, devrait être strictement interdit.</w:t>
      </w:r>
    </w:p>
    <w:p w:rsidR="001F17B8" w:rsidRPr="001F17B8" w:rsidRDefault="00274539" w:rsidP="00270BF8">
      <w:pPr>
        <w:pStyle w:val="ManualConsidrant"/>
      </w:pPr>
      <w:r>
        <w:br w:type="page"/>
      </w:r>
      <w:r w:rsidR="001F17B8" w:rsidRPr="001F17B8">
        <w:t>(</w:t>
      </w:r>
      <w:r w:rsidR="00D4606A">
        <w:t>4</w:t>
      </w:r>
      <w:r w:rsidR="00270BF8">
        <w:t>4</w:t>
      </w:r>
      <w:r w:rsidR="001F17B8" w:rsidRPr="001F17B8">
        <w:t>)</w:t>
      </w:r>
      <w:r w:rsidR="001F17B8" w:rsidRPr="001F17B8">
        <w:tab/>
        <w:t xml:space="preserve">Les recommandations </w:t>
      </w:r>
      <w:r w:rsidR="00D4606A">
        <w:t xml:space="preserve">révisées </w:t>
      </w:r>
      <w:r w:rsidR="001F17B8" w:rsidRPr="001F17B8">
        <w:t xml:space="preserve">du GAFI démontrent que, afin d'être en mesure de coopérer pleinement et de se conformer rapidement aux demandes d'informations des autorités compétentes aux fins de prévenir ou de détecter des actes de blanchiment de capitaux et de financement du terrorisme ou d'enquêter à ce propos, les </w:t>
      </w:r>
      <w:r w:rsidR="00870FFE">
        <w:t>entités assujetties</w:t>
      </w:r>
      <w:r w:rsidR="001F17B8" w:rsidRPr="001F17B8">
        <w:t xml:space="preserve"> devraient conserver, pendant au moins cinq ans, les informations nécessaires obtenues par l'intermédiaire des mesures de vigilance à l'égard de la clientèle et les documents relatifs aux transactions. Afin d'éviter des différences d'approche et de satisfaire aux exigences </w:t>
      </w:r>
      <w:r w:rsidR="00616910">
        <w:t xml:space="preserve">en matière </w:t>
      </w:r>
      <w:r w:rsidR="001F17B8" w:rsidRPr="001F17B8">
        <w:t xml:space="preserve">de protection des données à caractère personnel et de sécurité juridique, cette durée de conservation devrait être de cinq ans après la fin de la relation d'affaires ou de la transaction à titre occasionnel. Toutefois, si cela est nécessaire aux fins de prévenir ou de détecter l'existence de blanchiment de capitaux et de financement du terrorisme ou d'enquêter </w:t>
      </w:r>
      <w:r w:rsidR="00616910">
        <w:t>en la matière</w:t>
      </w:r>
      <w:r w:rsidR="001F17B8" w:rsidRPr="001F17B8">
        <w:t xml:space="preserve">, et après avoir procédé à une évaluation de la nécessité et de la proportionnalité, les États membres devraient pouvoir permettre ou exiger que les informations soient conservées plus longtemps, </w:t>
      </w:r>
      <w:r w:rsidR="00D4606A">
        <w:t>pour une période ne</w:t>
      </w:r>
      <w:r w:rsidR="001F17B8" w:rsidRPr="001F17B8">
        <w:t xml:space="preserve"> dépass</w:t>
      </w:r>
      <w:r w:rsidR="00D4606A">
        <w:t>ant pas</w:t>
      </w:r>
      <w:r w:rsidR="001F17B8" w:rsidRPr="001F17B8">
        <w:t xml:space="preserve"> cinq ans, sans préjudice du droit pénal national </w:t>
      </w:r>
      <w:r w:rsidR="00616910">
        <w:t>relatif à la</w:t>
      </w:r>
      <w:r w:rsidR="001F17B8" w:rsidRPr="001F17B8">
        <w:t xml:space="preserve"> preuve</w:t>
      </w:r>
      <w:r w:rsidR="00270BF8">
        <w:t xml:space="preserve"> </w:t>
      </w:r>
      <w:r w:rsidR="001F17B8" w:rsidRPr="001F17B8">
        <w:t xml:space="preserve">applicable aux enquêtes criminelles et aux procédures judiciaires en cours. Les États membres devraient exiger que des garanties spécifiques soient mises en place en vue d'assurer la sécurité des données et devraient </w:t>
      </w:r>
      <w:r w:rsidR="0071235D">
        <w:t>déterminer</w:t>
      </w:r>
      <w:r w:rsidR="0071235D" w:rsidRPr="001F17B8">
        <w:t xml:space="preserve"> </w:t>
      </w:r>
      <w:r w:rsidR="001F17B8" w:rsidRPr="001F17B8">
        <w:t>quelles personnes</w:t>
      </w:r>
      <w:r w:rsidR="0066337A">
        <w:t>,</w:t>
      </w:r>
      <w:r w:rsidR="001F17B8" w:rsidRPr="001F17B8">
        <w:t xml:space="preserve"> catégories de personnes ou autorités devraient avoir exclusivement accès aux données conservées.</w:t>
      </w:r>
    </w:p>
    <w:p w:rsidR="001F17B8" w:rsidRPr="001F17B8" w:rsidRDefault="0066337A" w:rsidP="007E1EBF">
      <w:pPr>
        <w:pStyle w:val="ManualConsidrant"/>
      </w:pPr>
      <w:r>
        <w:t>(4</w:t>
      </w:r>
      <w:r w:rsidR="00270BF8">
        <w:t>5</w:t>
      </w:r>
      <w:r>
        <w:t>)</w:t>
      </w:r>
      <w:r>
        <w:tab/>
      </w:r>
      <w:r w:rsidR="001F17B8" w:rsidRPr="001F17B8">
        <w:t xml:space="preserve">Afin d'assurer une administration appropriée et efficace de la justice au cours de la période </w:t>
      </w:r>
      <w:r w:rsidR="0071235D">
        <w:t>de transposition</w:t>
      </w:r>
      <w:r w:rsidR="0071235D" w:rsidRPr="001F17B8">
        <w:t xml:space="preserve"> </w:t>
      </w:r>
      <w:r w:rsidR="001F17B8" w:rsidRPr="001F17B8">
        <w:t xml:space="preserve">de la présente directive dans les ordres juridiques </w:t>
      </w:r>
      <w:r>
        <w:t>des États membres</w:t>
      </w:r>
      <w:r w:rsidR="001F17B8" w:rsidRPr="001F17B8">
        <w:t xml:space="preserve">, et afin de permettre une bonne interaction avec le </w:t>
      </w:r>
      <w:r>
        <w:t xml:space="preserve">droit national de la </w:t>
      </w:r>
      <w:r w:rsidR="001F17B8" w:rsidRPr="001F17B8">
        <w:t>procéd</w:t>
      </w:r>
      <w:r w:rsidR="00BB3064">
        <w:t>ur</w:t>
      </w:r>
      <w:r w:rsidR="001F17B8" w:rsidRPr="001F17B8">
        <w:t xml:space="preserve">e, les informations et documents utiles </w:t>
      </w:r>
      <w:r w:rsidR="00E53EC0">
        <w:t>à des</w:t>
      </w:r>
      <w:r w:rsidR="00E53EC0" w:rsidRPr="001F17B8">
        <w:t> </w:t>
      </w:r>
      <w:r w:rsidR="001F17B8" w:rsidRPr="001F17B8">
        <w:t xml:space="preserve">procédures judiciaires en cours aux fins de prévenir et de détecter un éventuel blanchiment de capitaux ou un éventuel financement du terrorisme </w:t>
      </w:r>
      <w:r w:rsidR="00C27018">
        <w:t>ou</w:t>
      </w:r>
      <w:r w:rsidR="001F17B8" w:rsidRPr="001F17B8">
        <w:t xml:space="preserve"> d'enquêter </w:t>
      </w:r>
      <w:r w:rsidR="00E53EC0">
        <w:t>en la matière</w:t>
      </w:r>
      <w:r w:rsidR="001F17B8" w:rsidRPr="001F17B8">
        <w:t xml:space="preserve">, </w:t>
      </w:r>
      <w:r w:rsidR="00E53EC0">
        <w:t xml:space="preserve">qui sont </w:t>
      </w:r>
      <w:r w:rsidR="001F17B8" w:rsidRPr="001F17B8">
        <w:t xml:space="preserve">pendantes dans les États membres à la date d'entrée en vigueur de la présente directive, devraient être conservés pendant une période de cinq ans </w:t>
      </w:r>
      <w:r w:rsidR="00E53EC0">
        <w:t>suivant</w:t>
      </w:r>
      <w:r w:rsidR="001F17B8" w:rsidRPr="001F17B8">
        <w:t xml:space="preserve"> cette date</w:t>
      </w:r>
      <w:r w:rsidR="0071235D">
        <w:t xml:space="preserve"> et il devrait être possible de prolonger cette</w:t>
      </w:r>
      <w:r w:rsidR="001F17B8" w:rsidRPr="001F17B8">
        <w:t xml:space="preserve"> période </w:t>
      </w:r>
      <w:r w:rsidR="0071235D">
        <w:t>d'</w:t>
      </w:r>
      <w:r w:rsidR="001F17B8" w:rsidRPr="001F17B8">
        <w:t>une nouvelle période de cinq ans.</w:t>
      </w:r>
    </w:p>
    <w:p w:rsidR="001F17B8" w:rsidRPr="001F17B8" w:rsidRDefault="00274539" w:rsidP="007E1EBF">
      <w:pPr>
        <w:pStyle w:val="ManualConsidrant"/>
      </w:pPr>
      <w:r>
        <w:br w:type="page"/>
      </w:r>
      <w:r w:rsidR="001F17B8" w:rsidRPr="00520C25">
        <w:t>(</w:t>
      </w:r>
      <w:r w:rsidR="0066337A" w:rsidRPr="00520C25">
        <w:t>4</w:t>
      </w:r>
      <w:r w:rsidR="00270BF8">
        <w:t>6</w:t>
      </w:r>
      <w:r w:rsidR="001F17B8" w:rsidRPr="00520C25">
        <w:t>)</w:t>
      </w:r>
      <w:r w:rsidR="001F17B8" w:rsidRPr="00520C25">
        <w:tab/>
        <w:t xml:space="preserve">Le droit d'accès </w:t>
      </w:r>
      <w:r w:rsidR="00164488" w:rsidRPr="00520C25">
        <w:t xml:space="preserve">aux données </w:t>
      </w:r>
      <w:r w:rsidR="001F17B8" w:rsidRPr="00520C25">
        <w:t>de la personne concernée est applicable aux données à caractère personnel traitées aux fins de la présente directive. Toutefois, l'accès de la personne concernée aux informations liées à un</w:t>
      </w:r>
      <w:r w:rsidR="00EE26A1">
        <w:t>e</w:t>
      </w:r>
      <w:r w:rsidR="001F17B8" w:rsidRPr="00520C25">
        <w:t xml:space="preserve"> </w:t>
      </w:r>
      <w:r w:rsidR="00EE26A1">
        <w:t>déclaration</w:t>
      </w:r>
      <w:r w:rsidR="001F17B8" w:rsidRPr="00520C25">
        <w:t xml:space="preserve"> de transaction suspecte nuirait gravement à l'efficacité de</w:t>
      </w:r>
      <w:r w:rsidR="007E1EBF">
        <w:t xml:space="preserve"> </w:t>
      </w:r>
      <w:r w:rsidR="001F17B8" w:rsidRPr="00520C25">
        <w:t>la</w:t>
      </w:r>
      <w:r w:rsidR="007E1EBF">
        <w:t xml:space="preserve"> </w:t>
      </w:r>
      <w:r w:rsidR="001F17B8" w:rsidRPr="00520C25">
        <w:t xml:space="preserve">lutte contre le blanchiment de capitaux et le financement du terrorisme. Des </w:t>
      </w:r>
      <w:r w:rsidR="00A06AFF" w:rsidRPr="00520C25">
        <w:t xml:space="preserve">exceptions et des restrictions </w:t>
      </w:r>
      <w:r w:rsidR="00520C25">
        <w:t>à</w:t>
      </w:r>
      <w:r w:rsidR="001F17B8" w:rsidRPr="00520C25">
        <w:t xml:space="preserve"> ce droit, conformément à l'article 13 de la directive 95/46/CE et, le cas échéant, à l'article 20 du règlement </w:t>
      </w:r>
      <w:r w:rsidR="0071235D" w:rsidRPr="00520C25">
        <w:t>(</w:t>
      </w:r>
      <w:r w:rsidR="00164488" w:rsidRPr="00270BF8">
        <w:t>C</w:t>
      </w:r>
      <w:r w:rsidR="0071235D" w:rsidRPr="00520C25">
        <w:t xml:space="preserve">E) </w:t>
      </w:r>
      <w:r w:rsidR="00746943">
        <w:t>n° </w:t>
      </w:r>
      <w:r w:rsidR="001F17B8" w:rsidRPr="00520C25">
        <w:t xml:space="preserve">45/2001, peuvent donc être justifiées. La personne concernée a le droit de demander qu'une autorité de contrôle visée à l'article 28 de la directive 95/46/CE ou, le cas échéant, le </w:t>
      </w:r>
      <w:r w:rsidR="00520C25">
        <w:t>C</w:t>
      </w:r>
      <w:r w:rsidR="001F17B8" w:rsidRPr="00520C25">
        <w:t>ontrôleur européen de la protection des données vérifie la licéité du traitement et</w:t>
      </w:r>
      <w:r w:rsidR="00164488" w:rsidRPr="00520C25">
        <w:t xml:space="preserve"> a</w:t>
      </w:r>
      <w:r w:rsidR="001F17B8" w:rsidRPr="00520C25">
        <w:t xml:space="preserve"> le droit de former </w:t>
      </w:r>
      <w:r w:rsidR="00520C25">
        <w:t>le</w:t>
      </w:r>
      <w:r w:rsidR="001F17B8" w:rsidRPr="00520C25">
        <w:t xml:space="preserve"> recours juridictionnel visé à l'article 22 de la</w:t>
      </w:r>
      <w:r w:rsidR="00164488" w:rsidRPr="00520C25">
        <w:t>dite</w:t>
      </w:r>
      <w:r w:rsidR="001F17B8" w:rsidRPr="00520C25">
        <w:t xml:space="preserve"> directive. L'autorité de contrôle visée à l'article 28 de la directive 95/46/CE peut également agir d'office. Sans préjudice des restrictions au droit d'accès, l'autorité de</w:t>
      </w:r>
      <w:r w:rsidR="001F17B8" w:rsidRPr="001F17B8">
        <w:t xml:space="preserve"> contrôle devrait être en mesure d'informer la personne concernée que toutes les vérifications nécessaires ont été effectuées par l'autorité de contrôle et du résultat en ce qui concerne la licéité du traitement en question.</w:t>
      </w:r>
    </w:p>
    <w:p w:rsidR="001F17B8" w:rsidRPr="001F17B8" w:rsidRDefault="001F17B8" w:rsidP="00023A4D">
      <w:pPr>
        <w:pStyle w:val="ManualConsidrant"/>
      </w:pPr>
      <w:r w:rsidRPr="001F17B8">
        <w:t>(</w:t>
      </w:r>
      <w:r w:rsidR="00164488">
        <w:t>4</w:t>
      </w:r>
      <w:r w:rsidR="00270BF8">
        <w:t>7</w:t>
      </w:r>
      <w:r w:rsidRPr="001F17B8">
        <w:t>)</w:t>
      </w:r>
      <w:r w:rsidRPr="001F17B8">
        <w:tab/>
        <w:t>Les personnes</w:t>
      </w:r>
      <w:r w:rsidR="00164488">
        <w:t xml:space="preserve"> </w:t>
      </w:r>
      <w:r w:rsidR="00FA5F77">
        <w:t>qui</w:t>
      </w:r>
      <w:r w:rsidRPr="001F17B8">
        <w:t xml:space="preserve"> </w:t>
      </w:r>
      <w:r w:rsidR="00FA5F77">
        <w:t>ne f</w:t>
      </w:r>
      <w:r w:rsidR="00164488">
        <w:t>on</w:t>
      </w:r>
      <w:r w:rsidR="00FA5F77">
        <w:t xml:space="preserve">t que </w:t>
      </w:r>
      <w:r w:rsidRPr="001F17B8">
        <w:t xml:space="preserve">numériser des documents papier </w:t>
      </w:r>
      <w:r w:rsidR="00520C25">
        <w:t xml:space="preserve">et qui agissent </w:t>
      </w:r>
      <w:r w:rsidRPr="001F17B8">
        <w:t xml:space="preserve">dans le cadre d'un contrat conclu avec un établissement de crédit ou un établissement financier </w:t>
      </w:r>
      <w:r w:rsidR="00164488">
        <w:t>et</w:t>
      </w:r>
      <w:r w:rsidRPr="001F17B8">
        <w:t xml:space="preserve"> </w:t>
      </w:r>
      <w:r w:rsidR="00164488">
        <w:t>l</w:t>
      </w:r>
      <w:r w:rsidRPr="001F17B8">
        <w:t xml:space="preserve">es personnes qui ne fournissent </w:t>
      </w:r>
      <w:r w:rsidR="00164488">
        <w:t>aux</w:t>
      </w:r>
      <w:r w:rsidRPr="001F17B8">
        <w:t xml:space="preserve"> établissement</w:t>
      </w:r>
      <w:r w:rsidR="00164488">
        <w:t>s</w:t>
      </w:r>
      <w:r w:rsidRPr="001F17B8">
        <w:t xml:space="preserve"> de crédit ou </w:t>
      </w:r>
      <w:r w:rsidR="00164488">
        <w:t>aux</w:t>
      </w:r>
      <w:r w:rsidRPr="001F17B8">
        <w:t xml:space="preserve"> établissement</w:t>
      </w:r>
      <w:r w:rsidR="00164488">
        <w:t>s</w:t>
      </w:r>
      <w:r w:rsidRPr="001F17B8">
        <w:t xml:space="preserve"> financier</w:t>
      </w:r>
      <w:r w:rsidR="00BB3064">
        <w:t>s</w:t>
      </w:r>
      <w:r w:rsidRPr="001F17B8">
        <w:t xml:space="preserve"> que des systèmes de messagerie ou d'autres systèmes de support pour la transmission de fonds, ou des systèmes de compensation et de règlement</w:t>
      </w:r>
      <w:r w:rsidR="00727BE8">
        <w:t xml:space="preserve"> ne relèvent </w:t>
      </w:r>
      <w:r w:rsidR="00520C25">
        <w:t xml:space="preserve">pas </w:t>
      </w:r>
      <w:r w:rsidR="00727BE8">
        <w:t>du champ d'application de la présente directive</w:t>
      </w:r>
      <w:r w:rsidRPr="001F17B8">
        <w:t>.</w:t>
      </w:r>
    </w:p>
    <w:p w:rsidR="001F17B8" w:rsidRPr="001F17B8" w:rsidRDefault="00746943" w:rsidP="00270BF8">
      <w:pPr>
        <w:pStyle w:val="ManualConsidrant"/>
      </w:pPr>
      <w:r>
        <w:br w:type="page"/>
      </w:r>
      <w:r w:rsidR="001F17B8" w:rsidRPr="001F17B8">
        <w:t>(</w:t>
      </w:r>
      <w:r w:rsidR="00727BE8">
        <w:t>4</w:t>
      </w:r>
      <w:r w:rsidR="00270BF8">
        <w:t>8</w:t>
      </w:r>
      <w:r w:rsidR="001F17B8" w:rsidRPr="001F17B8">
        <w:t>)</w:t>
      </w:r>
      <w:r w:rsidR="001F17B8" w:rsidRPr="001F17B8">
        <w:tab/>
      </w:r>
      <w:r w:rsidR="001F17B8" w:rsidRPr="00017308">
        <w:t>Le blanchiment de capitaux et le financement du terrorisme étant des problèmes d'envergure internationale, il convient de les combattre à l'échelle mondiale. Les é</w:t>
      </w:r>
      <w:r>
        <w:t xml:space="preserve">tablissements de crédit et les </w:t>
      </w:r>
      <w:r w:rsidR="001F17B8" w:rsidRPr="00017308">
        <w:t>établissements financiers</w:t>
      </w:r>
      <w:r w:rsidR="001F17B8" w:rsidRPr="001F17B8">
        <w:t xml:space="preserve"> de l'Union ayant des succursales </w:t>
      </w:r>
      <w:r w:rsidR="00017308">
        <w:t>et</w:t>
      </w:r>
      <w:r w:rsidR="00017308" w:rsidRPr="001F17B8">
        <w:t xml:space="preserve"> </w:t>
      </w:r>
      <w:r>
        <w:t xml:space="preserve">des filiales établies dans des </w:t>
      </w:r>
      <w:r w:rsidR="001F17B8" w:rsidRPr="001F17B8">
        <w:t xml:space="preserve">pays tiers dont </w:t>
      </w:r>
      <w:r w:rsidR="00A06AFF">
        <w:t>les exigences</w:t>
      </w:r>
      <w:r w:rsidR="001F17B8" w:rsidRPr="001F17B8">
        <w:t xml:space="preserve"> en la matière </w:t>
      </w:r>
      <w:r w:rsidR="00A06AFF">
        <w:t>sont moins strictes que dans les États membres</w:t>
      </w:r>
      <w:r w:rsidR="001F17B8" w:rsidRPr="001F17B8">
        <w:t xml:space="preserve"> devraient, pour éviter l'application de normes très divergentes </w:t>
      </w:r>
      <w:r w:rsidR="00017308">
        <w:t>à l'intérieur d'un établissement</w:t>
      </w:r>
      <w:r w:rsidR="001F17B8" w:rsidRPr="00017308">
        <w:t xml:space="preserve"> ou </w:t>
      </w:r>
      <w:r w:rsidR="00017308">
        <w:t xml:space="preserve">d'un </w:t>
      </w:r>
      <w:r w:rsidR="001F17B8" w:rsidRPr="00017308">
        <w:t>groupe</w:t>
      </w:r>
      <w:r w:rsidR="00017308">
        <w:t xml:space="preserve"> d'établissements</w:t>
      </w:r>
      <w:r w:rsidR="001F17B8" w:rsidRPr="001F17B8">
        <w:t xml:space="preserve">, appliquer les normes de l'Union </w:t>
      </w:r>
      <w:r w:rsidR="00520C25">
        <w:t xml:space="preserve">à ces succursales ou filiales </w:t>
      </w:r>
      <w:r w:rsidR="001F17B8" w:rsidRPr="001F17B8">
        <w:t xml:space="preserve">ou, si cela </w:t>
      </w:r>
      <w:r w:rsidR="00A06AFF">
        <w:t xml:space="preserve">n'est pas </w:t>
      </w:r>
      <w:r w:rsidR="001F17B8" w:rsidRPr="001F17B8">
        <w:t>possible, en aviser les autorités compétentes de leur État membre d'origine.</w:t>
      </w:r>
    </w:p>
    <w:p w:rsidR="001F17B8" w:rsidRPr="001F17B8" w:rsidRDefault="001F17B8">
      <w:pPr>
        <w:pStyle w:val="ManualConsidrant"/>
      </w:pPr>
      <w:r w:rsidRPr="001F17B8">
        <w:t>(</w:t>
      </w:r>
      <w:r w:rsidR="00727BE8">
        <w:t>4</w:t>
      </w:r>
      <w:r w:rsidR="00270BF8">
        <w:t>9</w:t>
      </w:r>
      <w:r w:rsidRPr="001F17B8">
        <w:t>)</w:t>
      </w:r>
      <w:r w:rsidRPr="001F17B8">
        <w:tab/>
        <w:t xml:space="preserve">Il convient, dans la mesure du possible, de fournir aux </w:t>
      </w:r>
      <w:r w:rsidR="00870FFE">
        <w:t>entités assujetties</w:t>
      </w:r>
      <w:r w:rsidRPr="001F17B8">
        <w:t xml:space="preserve"> un retour d'information sur l'utilité des </w:t>
      </w:r>
      <w:r w:rsidR="00EE26A1">
        <w:t>déclarations</w:t>
      </w:r>
      <w:r w:rsidR="00EE26A1" w:rsidRPr="001F17B8">
        <w:t xml:space="preserve"> </w:t>
      </w:r>
      <w:r w:rsidRPr="001F17B8">
        <w:t>de transactions s</w:t>
      </w:r>
      <w:r w:rsidR="00746943">
        <w:t xml:space="preserve">uspectes qu'elles présentent et </w:t>
      </w:r>
      <w:r w:rsidRPr="001F17B8">
        <w:t>les suites qui y sont données. À cet effet, et pour pouvoir apprécier l'efficacité de leur</w:t>
      </w:r>
      <w:r w:rsidR="00017308">
        <w:t>s</w:t>
      </w:r>
      <w:r w:rsidRPr="001F17B8">
        <w:t xml:space="preserve"> dispositif</w:t>
      </w:r>
      <w:r w:rsidR="00017308">
        <w:t>s</w:t>
      </w:r>
      <w:r w:rsidRPr="001F17B8">
        <w:t xml:space="preserve"> de lutte contre le blanchiment de capitaux et le financement du terrorisme, les États membres </w:t>
      </w:r>
      <w:r w:rsidRPr="00270BF8">
        <w:t>devraient tenir des</w:t>
      </w:r>
      <w:r w:rsidRPr="001F17B8">
        <w:t xml:space="preserve"> statistiques </w:t>
      </w:r>
      <w:r w:rsidR="00520C25">
        <w:t>pertinentes</w:t>
      </w:r>
      <w:r w:rsidRPr="001F17B8">
        <w:t xml:space="preserve"> et les améliorer. Pour améliorer encore la qualité et la cohérence des données statistiques collectées au niveau de l'Union, la Commission devrait suivre la situation en matière de lutte contre le blanchiment de capitaux et le financement du terrorisme dans l'ensemble de l'Union et </w:t>
      </w:r>
      <w:r w:rsidR="00017308">
        <w:t xml:space="preserve">devrait </w:t>
      </w:r>
      <w:r w:rsidRPr="001F17B8">
        <w:t>publier des tableaux de bord réguliers.</w:t>
      </w:r>
    </w:p>
    <w:p w:rsidR="001F17B8" w:rsidRPr="001F17B8" w:rsidRDefault="001F17B8" w:rsidP="00270BF8">
      <w:pPr>
        <w:pStyle w:val="ManualConsidrant"/>
      </w:pPr>
      <w:r w:rsidRPr="001F17B8">
        <w:t>(</w:t>
      </w:r>
      <w:r w:rsidR="00270BF8">
        <w:t>50</w:t>
      </w:r>
      <w:r w:rsidRPr="001F17B8">
        <w:t>)</w:t>
      </w:r>
      <w:r w:rsidRPr="001F17B8">
        <w:tab/>
      </w:r>
      <w:r w:rsidR="00520C25">
        <w:t>Lorsque</w:t>
      </w:r>
      <w:r w:rsidR="00520C25" w:rsidRPr="001F17B8">
        <w:t xml:space="preserve"> </w:t>
      </w:r>
      <w:r w:rsidRPr="001F17B8">
        <w:t>des États membres exige</w:t>
      </w:r>
      <w:r w:rsidR="00520C25">
        <w:t>nt</w:t>
      </w:r>
      <w:r w:rsidRPr="001F17B8">
        <w:t xml:space="preserve"> des émetteurs de monnaie électronique et des prestataires de services de paiement qui sont établis sur leur territoire sous une forme autre qu'une succursale et dont le siège </w:t>
      </w:r>
      <w:r w:rsidR="00E74E87">
        <w:t xml:space="preserve">social </w:t>
      </w:r>
      <w:r w:rsidRPr="001F17B8">
        <w:t xml:space="preserve">est situé dans un autre État membre qu'ils nomment un point de contact central sur leur territoire, ils </w:t>
      </w:r>
      <w:r w:rsidR="00017308">
        <w:t>devraient pouvoir</w:t>
      </w:r>
      <w:r w:rsidR="00017308" w:rsidRPr="001F17B8">
        <w:t xml:space="preserve"> </w:t>
      </w:r>
      <w:r w:rsidRPr="001F17B8">
        <w:t xml:space="preserve">exiger que ce point de contact central, agissant au nom de l'établissement qui l'a nommé, veille à ce que l'établissement respecte les règles en matière de lutte contre le blanchiment de capitaux et le financement du terrorisme. Ils devraient également veiller à ce que cette </w:t>
      </w:r>
      <w:r w:rsidR="00520C25">
        <w:t>exigence</w:t>
      </w:r>
      <w:r w:rsidR="00520C25" w:rsidRPr="001F17B8">
        <w:t xml:space="preserve"> </w:t>
      </w:r>
      <w:r w:rsidRPr="001F17B8">
        <w:t>soit proportionnée et n'aille pas au-delà de ce qui est nécessaire pour atteindre l'objectif consistant à respect</w:t>
      </w:r>
      <w:r w:rsidR="00727BE8">
        <w:t>er</w:t>
      </w:r>
      <w:r w:rsidRPr="001F17B8">
        <w:t xml:space="preserve"> </w:t>
      </w:r>
      <w:r w:rsidR="00727BE8">
        <w:t>l</w:t>
      </w:r>
      <w:r w:rsidRPr="001F17B8">
        <w:t xml:space="preserve">es règles en matière de lutte contre le blanchiment de capitaux et le financement du terrorisme, y compris en facilitant les </w:t>
      </w:r>
      <w:r w:rsidRPr="00727BE8">
        <w:t>opérations de surveillance</w:t>
      </w:r>
      <w:r w:rsidRPr="001F17B8">
        <w:t xml:space="preserve"> correspondantes.</w:t>
      </w:r>
    </w:p>
    <w:p w:rsidR="001F17B8" w:rsidRPr="001F17B8" w:rsidRDefault="00746943" w:rsidP="00270BF8">
      <w:pPr>
        <w:pStyle w:val="ManualConsidrant"/>
      </w:pPr>
      <w:r>
        <w:br w:type="page"/>
      </w:r>
      <w:r w:rsidR="001F17B8" w:rsidRPr="001F17B8">
        <w:t>(</w:t>
      </w:r>
      <w:r w:rsidR="00727BE8">
        <w:t>5</w:t>
      </w:r>
      <w:r w:rsidR="00270BF8">
        <w:t>1</w:t>
      </w:r>
      <w:r w:rsidR="001F17B8" w:rsidRPr="001F17B8">
        <w:t>)</w:t>
      </w:r>
      <w:r w:rsidR="001F17B8" w:rsidRPr="001F17B8">
        <w:tab/>
        <w:t xml:space="preserve">Les autorités compétentes devraient s'assurer de la compétence et de l'honorabilité des personnes qui dirigent effectivement l'activité des bureaux de change, </w:t>
      </w:r>
      <w:r w:rsidR="00F13223">
        <w:t xml:space="preserve">des bureaux d'encaissement des chèques, </w:t>
      </w:r>
      <w:r w:rsidR="001F17B8" w:rsidRPr="001F17B8">
        <w:t xml:space="preserve">des prestataires de services aux sociétés </w:t>
      </w:r>
      <w:r w:rsidR="00F13223">
        <w:t xml:space="preserve">ou aux </w:t>
      </w:r>
      <w:r w:rsidR="001F17B8" w:rsidRPr="001F17B8">
        <w:t>fiducies</w:t>
      </w:r>
      <w:r w:rsidR="00870FFE">
        <w:t>/trusts</w:t>
      </w:r>
      <w:r w:rsidR="001F17B8" w:rsidRPr="001F17B8">
        <w:t xml:space="preserve"> </w:t>
      </w:r>
      <w:r w:rsidR="00520C25">
        <w:t>ou</w:t>
      </w:r>
      <w:r w:rsidR="00520C25" w:rsidRPr="001F17B8">
        <w:t xml:space="preserve"> </w:t>
      </w:r>
      <w:r w:rsidR="001F17B8" w:rsidRPr="001F17B8">
        <w:t>des prestataires de services de jeux d'argent et de hasard, ainsi que de la compétence et de l'honorabilité des bénéficiaires effectifs de ces entités. Les critères de compétence et d'honorabilité devraient, au minimum, répondre à la nécessité de protéger ces entités contre tout détournement par leurs gestionnaires ou bénéficiaires effectifs à des fins criminelles.</w:t>
      </w:r>
    </w:p>
    <w:p w:rsidR="001F17B8" w:rsidRPr="001F17B8" w:rsidRDefault="001F17B8" w:rsidP="00270BF8">
      <w:pPr>
        <w:pStyle w:val="ManualConsidrant"/>
      </w:pPr>
      <w:r w:rsidRPr="001F17B8">
        <w:t>(</w:t>
      </w:r>
      <w:r w:rsidR="00727BE8">
        <w:t>5</w:t>
      </w:r>
      <w:r w:rsidR="00270BF8">
        <w:t>2</w:t>
      </w:r>
      <w:r w:rsidRPr="001F17B8">
        <w:t>)</w:t>
      </w:r>
      <w:r w:rsidRPr="001F17B8">
        <w:tab/>
        <w:t xml:space="preserve">Lorsqu'une </w:t>
      </w:r>
      <w:r w:rsidR="007468D1">
        <w:t>entité assujettie</w:t>
      </w:r>
      <w:r w:rsidRPr="001F17B8">
        <w:t xml:space="preserve"> exploite des établissements dans un autre État membre, y compris par l'intermédiaire d'un réseau d'agents, l'autorité compétente d</w:t>
      </w:r>
      <w:r w:rsidR="00312ACF">
        <w:t>e l'État membre</w:t>
      </w:r>
      <w:r w:rsidRPr="001F17B8">
        <w:t xml:space="preserve"> d'origine </w:t>
      </w:r>
      <w:r w:rsidR="00520C25">
        <w:t>devrait être</w:t>
      </w:r>
      <w:r w:rsidR="00520C25" w:rsidRPr="001F17B8">
        <w:t xml:space="preserve"> </w:t>
      </w:r>
      <w:r w:rsidRPr="001F17B8">
        <w:t xml:space="preserve">chargée de </w:t>
      </w:r>
      <w:r w:rsidR="00312ACF">
        <w:t>surveiller</w:t>
      </w:r>
      <w:r w:rsidR="00312ACF" w:rsidRPr="001F17B8">
        <w:t xml:space="preserve"> </w:t>
      </w:r>
      <w:r w:rsidRPr="001F17B8">
        <w:t>l'application, par l'</w:t>
      </w:r>
      <w:r w:rsidR="007468D1">
        <w:t>entité assujettie</w:t>
      </w:r>
      <w:r w:rsidRPr="001F17B8">
        <w:t xml:space="preserve">, des politiques et procédures en vigueur au niveau du groupe en matière de lutte contre le blanchiment de capitaux et le financement du terrorisme. </w:t>
      </w:r>
      <w:r w:rsidR="00520C25">
        <w:t>Cela</w:t>
      </w:r>
      <w:r w:rsidR="00520C25" w:rsidRPr="001F17B8">
        <w:t xml:space="preserve"> </w:t>
      </w:r>
      <w:r w:rsidR="00F13223">
        <w:t>pourrait</w:t>
      </w:r>
      <w:r w:rsidR="00F13223" w:rsidRPr="001F17B8">
        <w:t xml:space="preserve"> </w:t>
      </w:r>
      <w:r w:rsidR="00520C25">
        <w:t>comprendre</w:t>
      </w:r>
      <w:r w:rsidRPr="001F17B8">
        <w:t xml:space="preserve"> de</w:t>
      </w:r>
      <w:r w:rsidR="00806E6E">
        <w:t>s</w:t>
      </w:r>
      <w:r w:rsidRPr="001F17B8">
        <w:t xml:space="preserve"> </w:t>
      </w:r>
      <w:r w:rsidR="00806E6E">
        <w:t>inspections</w:t>
      </w:r>
      <w:r w:rsidRPr="001F17B8">
        <w:t xml:space="preserve"> sur place effectuées dans des établissements installés dans un autre État membre. L'autorité compétente d</w:t>
      </w:r>
      <w:r w:rsidR="00312ACF">
        <w:t>e l'État membre</w:t>
      </w:r>
      <w:r w:rsidRPr="001F17B8">
        <w:t xml:space="preserve"> d'origine devrait coopérer étroitement avec </w:t>
      </w:r>
      <w:r w:rsidR="00520C25">
        <w:t>l</w:t>
      </w:r>
      <w:r w:rsidR="00520C25" w:rsidRPr="00520C25">
        <w:t xml:space="preserve">'autorité compétente </w:t>
      </w:r>
      <w:r w:rsidRPr="001F17B8">
        <w:t xml:space="preserve">du pays d'accueil et </w:t>
      </w:r>
      <w:r w:rsidR="004A3518">
        <w:t>devrait</w:t>
      </w:r>
      <w:r w:rsidR="00312ACF">
        <w:t xml:space="preserve"> </w:t>
      </w:r>
      <w:r w:rsidRPr="001F17B8">
        <w:t xml:space="preserve">l'informer de toute question qui pourrait influencer l'évaluation </w:t>
      </w:r>
      <w:r w:rsidR="004A3518" w:rsidRPr="00023A4D">
        <w:t>qu'</w:t>
      </w:r>
      <w:r w:rsidRPr="00023A4D">
        <w:t>elle</w:t>
      </w:r>
      <w:r w:rsidR="009F2699" w:rsidRPr="00023A4D">
        <w:t>s</w:t>
      </w:r>
      <w:r w:rsidRPr="00023A4D">
        <w:t xml:space="preserve"> </w:t>
      </w:r>
      <w:r w:rsidR="004A3518" w:rsidRPr="00023A4D">
        <w:t>effectue</w:t>
      </w:r>
      <w:r w:rsidR="009F2699" w:rsidRPr="00023A4D">
        <w:t>nt</w:t>
      </w:r>
      <w:r w:rsidR="004A3518">
        <w:t xml:space="preserve"> du respect par</w:t>
      </w:r>
      <w:r w:rsidRPr="001F17B8">
        <w:t xml:space="preserve"> l'établissement </w:t>
      </w:r>
      <w:r w:rsidR="004A3518">
        <w:t xml:space="preserve">des </w:t>
      </w:r>
      <w:r w:rsidR="00312ACF">
        <w:t>règles</w:t>
      </w:r>
      <w:r w:rsidR="00312ACF" w:rsidRPr="001F17B8">
        <w:t xml:space="preserve"> </w:t>
      </w:r>
      <w:r w:rsidRPr="001F17B8">
        <w:t>d</w:t>
      </w:r>
      <w:r w:rsidR="004A3518">
        <w:t>e</w:t>
      </w:r>
      <w:r w:rsidRPr="001F17B8">
        <w:t xml:space="preserve"> </w:t>
      </w:r>
      <w:r w:rsidR="004A3518">
        <w:t>l'État membre</w:t>
      </w:r>
      <w:r w:rsidRPr="001F17B8">
        <w:t xml:space="preserve"> d'accueil en matière de lutte contre le blanchiment de capitaux et le financement du terrorisme.</w:t>
      </w:r>
    </w:p>
    <w:p w:rsidR="001F17B8" w:rsidRPr="001F17B8" w:rsidRDefault="00746943" w:rsidP="00C91F3C">
      <w:pPr>
        <w:pStyle w:val="ManualConsidrant"/>
      </w:pPr>
      <w:r>
        <w:br w:type="page"/>
      </w:r>
      <w:r w:rsidR="001F17B8" w:rsidRPr="001F17B8">
        <w:t>(</w:t>
      </w:r>
      <w:r w:rsidR="00312ACF">
        <w:t>5</w:t>
      </w:r>
      <w:r w:rsidR="00270BF8">
        <w:t>3</w:t>
      </w:r>
      <w:r w:rsidR="001F17B8" w:rsidRPr="001F17B8">
        <w:t>)</w:t>
      </w:r>
      <w:r w:rsidR="001F17B8" w:rsidRPr="001F17B8">
        <w:tab/>
        <w:t xml:space="preserve">Lorsqu'une </w:t>
      </w:r>
      <w:r w:rsidR="007468D1">
        <w:t>entité assujettie</w:t>
      </w:r>
      <w:r w:rsidR="001F17B8" w:rsidRPr="001F17B8">
        <w:t xml:space="preserve"> exploite des établissements dans un autre État membre, y compris par l'intermédiaire d'un réseau d'agents ou de personnes distribuant de la monnaie électronique conformément à l'article 3, paragraphe 4, de la directive 2009/110/CE, il incombe à l'autorité compétente </w:t>
      </w:r>
      <w:r w:rsidR="004A3518">
        <w:t>de l'État membre</w:t>
      </w:r>
      <w:r w:rsidR="001F17B8" w:rsidRPr="001F17B8">
        <w:t xml:space="preserve"> d'accueil de faire observer les </w:t>
      </w:r>
      <w:r w:rsidR="00312ACF">
        <w:t>règles</w:t>
      </w:r>
      <w:r w:rsidR="00F13223" w:rsidRPr="001F17B8">
        <w:t xml:space="preserve"> </w:t>
      </w:r>
      <w:r w:rsidR="001F17B8" w:rsidRPr="001F17B8">
        <w:t>en matière de lutte contre le blanchiment de capitaux et le financement du terro</w:t>
      </w:r>
      <w:r>
        <w:t xml:space="preserve">risme par les établissements en </w:t>
      </w:r>
      <w:r w:rsidR="001F17B8" w:rsidRPr="001F17B8">
        <w:t xml:space="preserve">question, y compris, au besoin, en procédant à des </w:t>
      </w:r>
      <w:r w:rsidR="004A3518">
        <w:t>inspections</w:t>
      </w:r>
      <w:r w:rsidR="004A3518" w:rsidRPr="001F17B8">
        <w:t xml:space="preserve"> </w:t>
      </w:r>
      <w:r w:rsidR="001F17B8" w:rsidRPr="001F17B8">
        <w:t xml:space="preserve">sur place et à un </w:t>
      </w:r>
      <w:r w:rsidR="00C91F3C">
        <w:t>contrôle</w:t>
      </w:r>
      <w:r w:rsidR="00E359B3" w:rsidRPr="001F17B8">
        <w:t xml:space="preserve"> </w:t>
      </w:r>
      <w:r w:rsidR="001F17B8" w:rsidRPr="001F17B8">
        <w:t xml:space="preserve">en dehors du site, et en prenant les mesures </w:t>
      </w:r>
      <w:r w:rsidR="00312ACF">
        <w:t xml:space="preserve">appropriées et </w:t>
      </w:r>
      <w:r w:rsidR="001F17B8" w:rsidRPr="001F17B8">
        <w:t xml:space="preserve">proportionnées pour remédier à des manquements graves à ces obligations. L'autorité compétente </w:t>
      </w:r>
      <w:r w:rsidR="00806E6E">
        <w:t>de l'État membre</w:t>
      </w:r>
      <w:r w:rsidR="001F17B8" w:rsidRPr="001F17B8">
        <w:t xml:space="preserve"> d'accueil devrait coopérer étroitement avec </w:t>
      </w:r>
      <w:r w:rsidR="00806E6E">
        <w:t>l'autorité</w:t>
      </w:r>
      <w:r w:rsidR="00806E6E" w:rsidRPr="001F17B8">
        <w:t xml:space="preserve"> </w:t>
      </w:r>
      <w:r w:rsidR="00312ACF">
        <w:t>de l'État membre</w:t>
      </w:r>
      <w:r w:rsidR="001F17B8" w:rsidRPr="001F17B8">
        <w:t xml:space="preserve"> d'origine et l'informer de toute question qui pourrait influencer l'évaluation </w:t>
      </w:r>
      <w:r w:rsidR="001F17B8" w:rsidRPr="001C1210">
        <w:t>qu'elle effectue</w:t>
      </w:r>
      <w:r w:rsidR="001F17B8" w:rsidRPr="001F17B8">
        <w:t xml:space="preserve"> de l'application, par l'</w:t>
      </w:r>
      <w:r w:rsidR="007468D1">
        <w:t>entité assujettie</w:t>
      </w:r>
      <w:r w:rsidR="001F17B8" w:rsidRPr="001F17B8">
        <w:t xml:space="preserve">, des politiques et </w:t>
      </w:r>
      <w:r w:rsidR="001F17B8" w:rsidRPr="00312ACF">
        <w:t>procédures</w:t>
      </w:r>
      <w:r w:rsidR="001F17B8" w:rsidRPr="001F17B8">
        <w:t xml:space="preserve"> en vigueur au niveau du groupe en matière de lutte contre le blanchiment de capitaux et le financement du terrorisme. Pour faire cesser les manquements graves aux règles en matière de lutte contre le blanchiment de capitaux et le financement du terrorisme qui nécessitent des mesures immédiates, l'autorité compétente d</w:t>
      </w:r>
      <w:r w:rsidR="00C27018">
        <w:t>e l'État membre</w:t>
      </w:r>
      <w:r w:rsidR="001F17B8" w:rsidRPr="001F17B8">
        <w:t xml:space="preserve"> d'accueil </w:t>
      </w:r>
      <w:r w:rsidR="00094A27">
        <w:t>devrait pouvoir</w:t>
      </w:r>
      <w:r w:rsidR="001F17B8" w:rsidRPr="001F17B8">
        <w:t xml:space="preserve"> appliquer des mesures correctrices temporaires appropriées et proportionnées, applicables dans des circonstances similaires aux </w:t>
      </w:r>
      <w:r w:rsidR="00870FFE">
        <w:t>entités assujetties</w:t>
      </w:r>
      <w:r w:rsidR="001F17B8" w:rsidRPr="001F17B8">
        <w:t xml:space="preserve"> relevant de sa compétence, pour remédier à ces manquements graves, si nécessaire avec l'aide de l'autorité compétente </w:t>
      </w:r>
      <w:r w:rsidR="00312ACF">
        <w:t>de l'État membre</w:t>
      </w:r>
      <w:r w:rsidR="001F17B8" w:rsidRPr="001F17B8">
        <w:t xml:space="preserve"> d'origine ou en coopération avec celle-ci.</w:t>
      </w:r>
    </w:p>
    <w:p w:rsidR="001F17B8" w:rsidRPr="001F17B8" w:rsidRDefault="001F17B8">
      <w:pPr>
        <w:pStyle w:val="ManualConsidrant"/>
      </w:pPr>
      <w:r w:rsidRPr="001F17B8">
        <w:t>(</w:t>
      </w:r>
      <w:r w:rsidR="00270BF8">
        <w:t>54</w:t>
      </w:r>
      <w:r w:rsidRPr="001F17B8">
        <w:t>)</w:t>
      </w:r>
      <w:r w:rsidRPr="001F17B8">
        <w:tab/>
        <w:t xml:space="preserve">Compte tenu du caractère transnational du blanchiment de capitaux et du financement du terrorisme, la coordination et la coopération entre les CRF sont extrêmement importantes. Afin d'améliorer </w:t>
      </w:r>
      <w:r w:rsidR="00312ACF">
        <w:t>cette</w:t>
      </w:r>
      <w:r w:rsidR="00312ACF" w:rsidRPr="001F17B8">
        <w:t xml:space="preserve"> </w:t>
      </w:r>
      <w:r w:rsidRPr="001F17B8">
        <w:t xml:space="preserve">coordination et </w:t>
      </w:r>
      <w:r w:rsidR="00312ACF">
        <w:t>cette</w:t>
      </w:r>
      <w:r w:rsidR="00312ACF" w:rsidRPr="001F17B8">
        <w:t xml:space="preserve"> </w:t>
      </w:r>
      <w:r w:rsidRPr="001F17B8">
        <w:t xml:space="preserve">coopération et, </w:t>
      </w:r>
      <w:r w:rsidR="00806E6E">
        <w:t>en particulier</w:t>
      </w:r>
      <w:r w:rsidRPr="001F17B8">
        <w:t xml:space="preserve">, de garantir que les </w:t>
      </w:r>
      <w:r w:rsidR="00EE26A1">
        <w:t>déclar</w:t>
      </w:r>
      <w:r w:rsidR="00E359B3">
        <w:t>a</w:t>
      </w:r>
      <w:r w:rsidR="00EE26A1">
        <w:t>tions</w:t>
      </w:r>
      <w:r w:rsidR="00EE26A1" w:rsidRPr="001F17B8">
        <w:t xml:space="preserve"> </w:t>
      </w:r>
      <w:r w:rsidRPr="001F17B8">
        <w:t xml:space="preserve">de transactions suspectes parviennent bien à la CRF de l'État membre où </w:t>
      </w:r>
      <w:r w:rsidR="009F2699">
        <w:t>elles</w:t>
      </w:r>
      <w:r w:rsidRPr="001F17B8">
        <w:t xml:space="preserve"> s</w:t>
      </w:r>
      <w:r w:rsidR="00806E6E">
        <w:t>eraient</w:t>
      </w:r>
      <w:r w:rsidRPr="001F17B8">
        <w:t xml:space="preserve"> le plus utiles, la présente directive contien</w:t>
      </w:r>
      <w:r w:rsidR="00312ACF">
        <w:t>t</w:t>
      </w:r>
      <w:r w:rsidRPr="001F17B8">
        <w:t xml:space="preserve"> des règles détaillées.</w:t>
      </w:r>
    </w:p>
    <w:p w:rsidR="001F17B8" w:rsidRPr="001F17B8" w:rsidRDefault="00746943" w:rsidP="00270BF8">
      <w:pPr>
        <w:pStyle w:val="ManualConsidrant"/>
      </w:pPr>
      <w:r>
        <w:br w:type="page"/>
      </w:r>
      <w:r w:rsidR="001F17B8" w:rsidRPr="001F17B8">
        <w:t>(</w:t>
      </w:r>
      <w:r w:rsidR="00F82AF5">
        <w:t>5</w:t>
      </w:r>
      <w:r w:rsidR="00270BF8">
        <w:t>5</w:t>
      </w:r>
      <w:r w:rsidR="001F17B8" w:rsidRPr="001F17B8">
        <w:t>)</w:t>
      </w:r>
      <w:r w:rsidR="001F17B8" w:rsidRPr="001F17B8">
        <w:tab/>
        <w:t>La plate-forme des cellules de renseignement financier de l'</w:t>
      </w:r>
      <w:r w:rsidR="001F17B8" w:rsidRPr="00F82AF5">
        <w:t>UE</w:t>
      </w:r>
      <w:r>
        <w:t xml:space="preserve"> (ci-après dénommée "plate</w:t>
      </w:r>
      <w:r>
        <w:noBreakHyphen/>
      </w:r>
      <w:r w:rsidR="00A06AFF">
        <w:t xml:space="preserve">forme des CRF </w:t>
      </w:r>
      <w:r w:rsidR="0060792F">
        <w:t>de l'</w:t>
      </w:r>
      <w:r w:rsidR="00A06AFF">
        <w:t>UE")</w:t>
      </w:r>
      <w:r w:rsidR="001F17B8" w:rsidRPr="001F17B8">
        <w:t xml:space="preserve">, qui est un groupe informel composé de représentants des CRF et actif depuis 2006, est utilisée afin de faciliter la coopération entre les CRF et d'échanger des avis sur des thèmes </w:t>
      </w:r>
      <w:r w:rsidR="00806E6E">
        <w:t>liés à la coopération</w:t>
      </w:r>
      <w:r w:rsidR="001F17B8" w:rsidRPr="001F17B8">
        <w:t xml:space="preserve">, tels que </w:t>
      </w:r>
      <w:r w:rsidR="00806E6E">
        <w:t xml:space="preserve">la </w:t>
      </w:r>
      <w:r w:rsidR="001F17B8" w:rsidRPr="001F17B8">
        <w:t xml:space="preserve">coopération </w:t>
      </w:r>
      <w:r w:rsidR="00094A27">
        <w:t>efficace entre</w:t>
      </w:r>
      <w:r w:rsidR="00F82AF5">
        <w:t xml:space="preserve"> les </w:t>
      </w:r>
      <w:r w:rsidR="00094A27">
        <w:t>CRF</w:t>
      </w:r>
      <w:r w:rsidR="00F82AF5">
        <w:t xml:space="preserve"> </w:t>
      </w:r>
      <w:r w:rsidR="00094A27">
        <w:t>et</w:t>
      </w:r>
      <w:r w:rsidR="00270BF8">
        <w:t xml:space="preserve"> entre les CRF et</w:t>
      </w:r>
      <w:r w:rsidR="00094A27">
        <w:t xml:space="preserve"> les cellules de renseignement </w:t>
      </w:r>
      <w:r w:rsidR="007468D1">
        <w:t xml:space="preserve">financier </w:t>
      </w:r>
      <w:r w:rsidR="00F82AF5">
        <w:t>des pays tiers</w:t>
      </w:r>
      <w:r w:rsidR="001F17B8" w:rsidRPr="001F17B8">
        <w:t>, l'analyse commune de cas transfront</w:t>
      </w:r>
      <w:r w:rsidR="00806E6E">
        <w:t>aliers</w:t>
      </w:r>
      <w:r w:rsidR="001F17B8" w:rsidRPr="001F17B8">
        <w:t xml:space="preserve"> </w:t>
      </w:r>
      <w:r w:rsidR="00806E6E">
        <w:t>et</w:t>
      </w:r>
      <w:r w:rsidR="001F17B8" w:rsidRPr="001F17B8">
        <w:t xml:space="preserve"> les tendances et les facteurs utiles pour évaluer les risques de blanchiment de capitaux et de financement du terrorisme au niveau national et au niveau supranational.</w:t>
      </w:r>
    </w:p>
    <w:p w:rsidR="001F17B8" w:rsidRPr="001F17B8" w:rsidRDefault="001F17B8" w:rsidP="007E1EBF">
      <w:pPr>
        <w:pStyle w:val="ManualConsidrant"/>
      </w:pPr>
      <w:r w:rsidRPr="001F17B8">
        <w:t>(</w:t>
      </w:r>
      <w:r w:rsidR="00F82AF5">
        <w:t>5</w:t>
      </w:r>
      <w:r w:rsidR="00270BF8">
        <w:t>6</w:t>
      </w:r>
      <w:r w:rsidRPr="001F17B8">
        <w:t>)</w:t>
      </w:r>
      <w:r w:rsidRPr="001F17B8">
        <w:tab/>
        <w:t xml:space="preserve">Face au caractère transnational du blanchiment de capitaux et du financement du terrorisme, il est particulièrement important d'améliorer l'échange d'informations entre les CRF </w:t>
      </w:r>
      <w:r w:rsidR="0060792F">
        <w:t xml:space="preserve">au sein </w:t>
      </w:r>
      <w:r w:rsidRPr="001F17B8">
        <w:t xml:space="preserve">de l'Union. Les États membres devraient encourager l'utilisation de systèmes sécurisés </w:t>
      </w:r>
      <w:r w:rsidR="00806E6E">
        <w:t>pour l'échange d'informations</w:t>
      </w:r>
      <w:r w:rsidRPr="001F17B8">
        <w:t xml:space="preserve">, en particulier du réseau </w:t>
      </w:r>
      <w:r w:rsidR="00A06AFF">
        <w:t xml:space="preserve">informatique </w:t>
      </w:r>
      <w:r w:rsidRPr="001F17B8">
        <w:t xml:space="preserve">décentralisé FIU.net </w:t>
      </w:r>
      <w:r w:rsidR="00094A27">
        <w:t>(ci-après dénommé "FIU.net")</w:t>
      </w:r>
      <w:r w:rsidRPr="001F17B8">
        <w:t xml:space="preserve"> ou de son successeur</w:t>
      </w:r>
      <w:r w:rsidR="0060792F">
        <w:t xml:space="preserve"> </w:t>
      </w:r>
      <w:r w:rsidRPr="001F17B8">
        <w:t xml:space="preserve">et des techniques offertes par </w:t>
      </w:r>
      <w:r w:rsidR="0060792F">
        <w:t xml:space="preserve">le </w:t>
      </w:r>
      <w:r w:rsidR="00A06AFF">
        <w:t>FIU.net</w:t>
      </w:r>
      <w:r w:rsidRPr="001F17B8">
        <w:t xml:space="preserve">. Il convient d'autoriser à des fins d'analyse l'échange initial entre les CRF d'informations relatives au blanchiment de capitaux ou au financement du terrorisme, informations qui ne font pas l'objet d'un traitement ni d'une </w:t>
      </w:r>
      <w:r w:rsidR="00500C3C">
        <w:t>dissémination</w:t>
      </w:r>
      <w:r w:rsidR="00500C3C" w:rsidRPr="001F17B8">
        <w:t xml:space="preserve"> </w:t>
      </w:r>
      <w:r w:rsidRPr="001F17B8">
        <w:t xml:space="preserve">ultérieur, sauf si cet échange </w:t>
      </w:r>
      <w:r w:rsidR="00F82AF5">
        <w:t xml:space="preserve">d'informations </w:t>
      </w:r>
      <w:r w:rsidR="00806E6E">
        <w:t>est</w:t>
      </w:r>
      <w:r w:rsidR="00AC50F5" w:rsidRPr="001F17B8">
        <w:t xml:space="preserve"> </w:t>
      </w:r>
      <w:r w:rsidRPr="001F17B8">
        <w:t>contraire aux principes fondamentaux du droit national. L</w:t>
      </w:r>
      <w:r w:rsidR="00F82AF5">
        <w:t>'</w:t>
      </w:r>
      <w:r w:rsidRPr="001F17B8">
        <w:t>échange d'informations sur les dossiers recensés par les CRF</w:t>
      </w:r>
      <w:r w:rsidR="00F82AF5" w:rsidRPr="001F17B8">
        <w:t xml:space="preserve"> </w:t>
      </w:r>
      <w:r w:rsidRPr="001F17B8">
        <w:t>susceptible</w:t>
      </w:r>
      <w:r w:rsidR="00806E6E">
        <w:t>s</w:t>
      </w:r>
      <w:r w:rsidRPr="001F17B8">
        <w:t xml:space="preserve"> de porter sur des infractions fiscales pénales ne devrait pas faire obstacle </w:t>
      </w:r>
      <w:r w:rsidR="00F82AF5">
        <w:t>à l'</w:t>
      </w:r>
      <w:r w:rsidRPr="001F17B8">
        <w:t>échange d'informations dans le domaine fiscal, conformément à la directive 2011/16/UE du Conseil</w:t>
      </w:r>
      <w:r w:rsidRPr="007E1EBF">
        <w:rPr>
          <w:rStyle w:val="FootnoteReference"/>
        </w:rPr>
        <w:footnoteReference w:id="15"/>
      </w:r>
      <w:r w:rsidRPr="001F17B8">
        <w:t xml:space="preserve"> ou conformément aux normes internationales relatives à l'échange d'informations et à la coopération administrative en matière fiscale.</w:t>
      </w:r>
    </w:p>
    <w:p w:rsidR="001F17B8" w:rsidRPr="001F17B8" w:rsidRDefault="00274539" w:rsidP="007E1EBF">
      <w:pPr>
        <w:pStyle w:val="ManualConsidrant"/>
      </w:pPr>
      <w:r>
        <w:br w:type="page"/>
      </w:r>
      <w:r w:rsidR="001F17B8" w:rsidRPr="001F17B8">
        <w:t>(</w:t>
      </w:r>
      <w:r w:rsidR="00F82AF5">
        <w:t>5</w:t>
      </w:r>
      <w:r w:rsidR="00270BF8">
        <w:t>7</w:t>
      </w:r>
      <w:r w:rsidR="001F17B8" w:rsidRPr="001F17B8">
        <w:t>)</w:t>
      </w:r>
      <w:r w:rsidR="001F17B8" w:rsidRPr="001F17B8">
        <w:tab/>
        <w:t xml:space="preserve">Afin de pouvoir apporter une réponse complète et rapide aux demandes émanant des CRF, les </w:t>
      </w:r>
      <w:r w:rsidR="00870FFE">
        <w:t>entités assujetties</w:t>
      </w:r>
      <w:r w:rsidR="001F17B8" w:rsidRPr="001F17B8">
        <w:t xml:space="preserve"> doivent disposer de systèmes efficaces leur permettant d'avoir un accès total et </w:t>
      </w:r>
      <w:r w:rsidR="00806E6E">
        <w:t>en temps utile</w:t>
      </w:r>
      <w:r w:rsidR="001F17B8" w:rsidRPr="001F17B8">
        <w:t>, grâce à des canaux de communication sécurisés et confidentiels, aux</w:t>
      </w:r>
      <w:r w:rsidR="007E1EBF">
        <w:t xml:space="preserve"> </w:t>
      </w:r>
      <w:r w:rsidR="001F17B8" w:rsidRPr="001F17B8">
        <w:t xml:space="preserve">informations relatives aux relations commerciales qu'elles entretiennent ou ont entretenues avec des personnes </w:t>
      </w:r>
      <w:r w:rsidR="00806E6E">
        <w:t>déterminées</w:t>
      </w:r>
      <w:r w:rsidR="001F17B8" w:rsidRPr="001F17B8">
        <w:t xml:space="preserve">. Conformément au droit de l'Union et au droit national, les États membres pourraient, par exemple, envisager de mettre en place des systèmes de registres bancaires ou des systèmes électroniques de </w:t>
      </w:r>
      <w:r w:rsidR="001F17B8" w:rsidRPr="00A50883">
        <w:t>recherche</w:t>
      </w:r>
      <w:r w:rsidR="001F17B8" w:rsidRPr="001F17B8">
        <w:t xml:space="preserve"> de données qui permettraient aux CRF d'avoir accès aux informations sur les comptes bancaires </w:t>
      </w:r>
      <w:r w:rsidR="001F17B8" w:rsidRPr="00F82AF5">
        <w:t>sous réserve d</w:t>
      </w:r>
      <w:r w:rsidR="00806E6E">
        <w:t>'un</w:t>
      </w:r>
      <w:r w:rsidR="001F17B8" w:rsidRPr="00F82AF5">
        <w:t>e autorisation judiciaire, le cas échéant. Les États membres pourraient a</w:t>
      </w:r>
      <w:r w:rsidR="001F17B8" w:rsidRPr="001F17B8">
        <w:t>ussi envisager de mettre en place des mécanismes afin que les autorités compétentes disposent des procédures leur permettant d</w:t>
      </w:r>
      <w:r w:rsidR="00806E6E">
        <w:t>'identifier</w:t>
      </w:r>
      <w:r w:rsidR="001F17B8" w:rsidRPr="001F17B8">
        <w:t xml:space="preserve"> des avoirs sans notification préalable du propriétaire.</w:t>
      </w:r>
    </w:p>
    <w:p w:rsidR="001F17B8" w:rsidRPr="001F17B8" w:rsidRDefault="001F17B8" w:rsidP="00D231B1">
      <w:pPr>
        <w:pStyle w:val="ManualConsidrant"/>
      </w:pPr>
      <w:r w:rsidRPr="001F17B8">
        <w:t>(</w:t>
      </w:r>
      <w:r w:rsidR="00F82AF5">
        <w:t>5</w:t>
      </w:r>
      <w:r w:rsidR="00D231B1">
        <w:t>8</w:t>
      </w:r>
      <w:r w:rsidRPr="001F17B8">
        <w:t>)</w:t>
      </w:r>
      <w:r w:rsidRPr="001F17B8">
        <w:tab/>
        <w:t>Les États membres devraient encourager leurs autorités compétentes à mettre en œuvre rapidement, dans un esprit constructif et de manière effective, la coopération transfront</w:t>
      </w:r>
      <w:r w:rsidR="00806E6E">
        <w:t>al</w:t>
      </w:r>
      <w:r w:rsidRPr="001F17B8">
        <w:t xml:space="preserve">ière la plus étendue possible aux fins de la présente directive, sans préjudice des règles </w:t>
      </w:r>
      <w:r w:rsidR="00F82AF5">
        <w:t>ou</w:t>
      </w:r>
      <w:r w:rsidR="00F82AF5" w:rsidRPr="001F17B8">
        <w:t xml:space="preserve"> </w:t>
      </w:r>
      <w:r w:rsidRPr="001F17B8">
        <w:t xml:space="preserve">procédures applicables à la coopération judiciaire en matière pénale. Les États membres devraient en particulier veiller à ce que leurs CRF échangent </w:t>
      </w:r>
      <w:r w:rsidR="00806E6E">
        <w:t>d</w:t>
      </w:r>
      <w:r w:rsidRPr="001F17B8">
        <w:t>es informations</w:t>
      </w:r>
      <w:r w:rsidR="00806E6E">
        <w:t>,</w:t>
      </w:r>
      <w:r w:rsidRPr="001F17B8">
        <w:t xml:space="preserve"> librement, spontanément ou sur demande</w:t>
      </w:r>
      <w:r w:rsidR="00806E6E">
        <w:t>,</w:t>
      </w:r>
      <w:r w:rsidRPr="001F17B8">
        <w:t xml:space="preserve"> avec les </w:t>
      </w:r>
      <w:r w:rsidR="00F82AF5">
        <w:t>cellules de renseignement financier</w:t>
      </w:r>
      <w:r w:rsidR="00F82AF5" w:rsidRPr="001F17B8">
        <w:t xml:space="preserve"> </w:t>
      </w:r>
      <w:r w:rsidRPr="001F17B8">
        <w:t xml:space="preserve">de pays tiers, en tenant compte du droit de </w:t>
      </w:r>
      <w:r w:rsidR="00A06AFF" w:rsidRPr="001F17B8">
        <w:t>l'</w:t>
      </w:r>
      <w:r w:rsidR="00A06AFF">
        <w:t>Union</w:t>
      </w:r>
      <w:r w:rsidR="00A06AFF" w:rsidRPr="001F17B8">
        <w:t xml:space="preserve"> </w:t>
      </w:r>
      <w:r w:rsidRPr="001F17B8">
        <w:t xml:space="preserve">et des principes </w:t>
      </w:r>
      <w:r w:rsidR="007F5B61">
        <w:t xml:space="preserve">relatifs à </w:t>
      </w:r>
      <w:r w:rsidRPr="001F17B8">
        <w:t>l'échange d'informations élaborés par le groupe Egmont des cellules de renseignement financier.</w:t>
      </w:r>
    </w:p>
    <w:p w:rsidR="001F17B8" w:rsidRPr="001F17B8" w:rsidRDefault="00274539" w:rsidP="00CB5F8B">
      <w:pPr>
        <w:pStyle w:val="ManualConsidrant"/>
      </w:pPr>
      <w:r>
        <w:br w:type="page"/>
      </w:r>
      <w:r w:rsidR="001F17B8" w:rsidRPr="001F17B8">
        <w:t>(</w:t>
      </w:r>
      <w:r w:rsidR="00F82AF5">
        <w:t>5</w:t>
      </w:r>
      <w:r w:rsidR="00D231B1">
        <w:t>9</w:t>
      </w:r>
      <w:r w:rsidR="001F17B8" w:rsidRPr="001F17B8">
        <w:t>)</w:t>
      </w:r>
      <w:r w:rsidR="001F17B8" w:rsidRPr="001F17B8">
        <w:tab/>
        <w:t>L'importance de la lutte contre le blanchiment de capitaux et le financement du terrorisme devrait amener les États membres à prévoir, dans leur droit national, des sanctions</w:t>
      </w:r>
      <w:r w:rsidR="00A06AFF">
        <w:t xml:space="preserve"> et des mesures</w:t>
      </w:r>
      <w:r w:rsidR="001F17B8" w:rsidRPr="001F17B8">
        <w:t xml:space="preserve"> administratives </w:t>
      </w:r>
      <w:r w:rsidR="007F5B61">
        <w:t>effectives</w:t>
      </w:r>
      <w:r w:rsidR="001F17B8" w:rsidRPr="001F17B8">
        <w:t xml:space="preserve">, proportionnées et dissuasives en cas de non-respect des dispositions </w:t>
      </w:r>
      <w:r w:rsidR="007F5B61">
        <w:t>nationales transposant</w:t>
      </w:r>
      <w:r w:rsidR="001F17B8" w:rsidRPr="001F17B8">
        <w:t xml:space="preserve"> la présente directive. Les sanctions</w:t>
      </w:r>
      <w:r w:rsidR="00A06AFF">
        <w:t xml:space="preserve"> et mesures</w:t>
      </w:r>
      <w:r w:rsidR="001F17B8" w:rsidRPr="001F17B8">
        <w:t xml:space="preserve"> administratives dont </w:t>
      </w:r>
      <w:r w:rsidR="007F5B61">
        <w:t>les États membres</w:t>
      </w:r>
      <w:r w:rsidR="007F5B61" w:rsidRPr="001F17B8">
        <w:t xml:space="preserve"> </w:t>
      </w:r>
      <w:r w:rsidR="001F17B8" w:rsidRPr="001F17B8">
        <w:t>se sont dotés en cas d'infractions aux dispositions de prévention</w:t>
      </w:r>
      <w:r w:rsidR="00806E6E">
        <w:t xml:space="preserve"> essentielles</w:t>
      </w:r>
      <w:r w:rsidR="001F17B8" w:rsidRPr="001F17B8">
        <w:t xml:space="preserve"> sont actuellement très diverses. Cette diversité pourrait nuire aux efforts mis en œuvre pour lutter contre le blanchiment de capitaux et le financement du terrorisme</w:t>
      </w:r>
      <w:r w:rsidR="007F5B61">
        <w:t xml:space="preserve"> et </w:t>
      </w:r>
      <w:r w:rsidR="001F17B8" w:rsidRPr="001F17B8">
        <w:t>la réponse de l'Union à ces phénomènes</w:t>
      </w:r>
      <w:r w:rsidR="007F5B61" w:rsidRPr="007F5B61">
        <w:t xml:space="preserve"> </w:t>
      </w:r>
      <w:r w:rsidR="007F5B61" w:rsidRPr="001F17B8">
        <w:t>risque d</w:t>
      </w:r>
      <w:r w:rsidR="007F5B61">
        <w:t>'êtr</w:t>
      </w:r>
      <w:r w:rsidR="007F5B61" w:rsidRPr="001F17B8">
        <w:t>e fragment</w:t>
      </w:r>
      <w:r w:rsidR="007F5B61">
        <w:t>é</w:t>
      </w:r>
      <w:r w:rsidR="007F5B61" w:rsidRPr="001F17B8">
        <w:t>e</w:t>
      </w:r>
      <w:r w:rsidR="001F17B8" w:rsidRPr="001F17B8">
        <w:t>. La présente directive devrait donc prévoir</w:t>
      </w:r>
      <w:r w:rsidR="00D02A5F">
        <w:t xml:space="preserve"> que les États membres disposent d'</w:t>
      </w:r>
      <w:r w:rsidR="001F17B8" w:rsidRPr="001F17B8">
        <w:t xml:space="preserve">un éventail de sanctions </w:t>
      </w:r>
      <w:r w:rsidR="00F82AF5">
        <w:t xml:space="preserve">et de </w:t>
      </w:r>
      <w:r w:rsidR="00F82AF5" w:rsidRPr="001F17B8">
        <w:t xml:space="preserve">mesures </w:t>
      </w:r>
      <w:r w:rsidR="001F17B8" w:rsidRPr="001F17B8">
        <w:t xml:space="preserve">administratives </w:t>
      </w:r>
      <w:r w:rsidR="00E74E87">
        <w:t xml:space="preserve">au moins </w:t>
      </w:r>
      <w:r w:rsidR="001F17B8" w:rsidRPr="001F17B8">
        <w:t>en cas d</w:t>
      </w:r>
      <w:r w:rsidR="00B5114F">
        <w:t>'infractions</w:t>
      </w:r>
      <w:r w:rsidR="001F17B8" w:rsidRPr="001F17B8">
        <w:t xml:space="preserve"> graves, répétées ou systématiques </w:t>
      </w:r>
      <w:r w:rsidR="00806E6E">
        <w:t>aux</w:t>
      </w:r>
      <w:r w:rsidR="001F17B8" w:rsidRPr="001F17B8">
        <w:t xml:space="preserve"> </w:t>
      </w:r>
      <w:r w:rsidR="00A50883">
        <w:t>obligations</w:t>
      </w:r>
      <w:r w:rsidR="00806E6E">
        <w:t>,</w:t>
      </w:r>
      <w:r w:rsidR="001F17B8" w:rsidRPr="001F17B8">
        <w:t xml:space="preserve"> qu'elle impose aux </w:t>
      </w:r>
      <w:r w:rsidR="00870FFE">
        <w:t>entités assujetties</w:t>
      </w:r>
      <w:r w:rsidR="00806E6E">
        <w:t>,</w:t>
      </w:r>
      <w:r w:rsidR="001F17B8" w:rsidRPr="001F17B8">
        <w:t xml:space="preserve"> en matière de</w:t>
      </w:r>
      <w:r w:rsidR="00806E6E">
        <w:t xml:space="preserve"> mesures de</w:t>
      </w:r>
      <w:r w:rsidR="001F17B8" w:rsidRPr="001F17B8">
        <w:t xml:space="preserve"> vigilance à l'égard de la clientèle, de conservation des documents et pièces, de </w:t>
      </w:r>
      <w:r w:rsidR="00EE26A1">
        <w:t xml:space="preserve">déclaration </w:t>
      </w:r>
      <w:r w:rsidR="001F17B8" w:rsidRPr="001F17B8">
        <w:t xml:space="preserve">des transactions suspectes et de contrôles internes. Cet éventail </w:t>
      </w:r>
      <w:r w:rsidR="00F82AF5">
        <w:t xml:space="preserve">de sanctions et de mesures </w:t>
      </w:r>
      <w:r w:rsidR="001F17B8" w:rsidRPr="001F17B8">
        <w:t xml:space="preserve">devrait être suffisamment vaste pour permettre aux États membres et aux autorités compétentes de tenir compte des différences existant entre les </w:t>
      </w:r>
      <w:r w:rsidR="00870FFE">
        <w:t>entités assujetties</w:t>
      </w:r>
      <w:r w:rsidR="001F17B8" w:rsidRPr="001F17B8">
        <w:t xml:space="preserve">, en particulier entre les établissements de crédit et les établissements financiers, d'une part, et les autres </w:t>
      </w:r>
      <w:r w:rsidR="00870FFE">
        <w:t>entités assujetties</w:t>
      </w:r>
      <w:r w:rsidR="001F17B8" w:rsidRPr="001F17B8">
        <w:t xml:space="preserve">, d'autre part, au regard de leur taille, de leurs caractéristiques et de leur domaine d'activité. </w:t>
      </w:r>
      <w:r w:rsidR="007F5B61">
        <w:t>Lors de la transposition de la présente directive, l</w:t>
      </w:r>
      <w:r w:rsidR="001F17B8" w:rsidRPr="001F17B8">
        <w:t>es États membres devraient veiller à</w:t>
      </w:r>
      <w:r w:rsidR="00CB5F8B">
        <w:t xml:space="preserve"> ne pas enfreindre le principe </w:t>
      </w:r>
      <w:r w:rsidR="001F17B8" w:rsidRPr="00CB5F8B">
        <w:t>ne bis in idem</w:t>
      </w:r>
      <w:r w:rsidR="001F17B8" w:rsidRPr="001F17B8">
        <w:t xml:space="preserve"> lorsqu'ils imposent des sanctions </w:t>
      </w:r>
      <w:r w:rsidR="00A06AFF">
        <w:t>et des mesures</w:t>
      </w:r>
      <w:r w:rsidR="00A06AFF" w:rsidRPr="001F17B8">
        <w:t xml:space="preserve"> </w:t>
      </w:r>
      <w:r w:rsidR="001F17B8" w:rsidRPr="001F17B8">
        <w:t>administratives conformé</w:t>
      </w:r>
      <w:r w:rsidR="00746943">
        <w:t xml:space="preserve">ment à la présente directive et </w:t>
      </w:r>
      <w:r w:rsidR="001F17B8" w:rsidRPr="001F17B8">
        <w:t>des sanctions pénales conformément à leur droit national.</w:t>
      </w:r>
    </w:p>
    <w:p w:rsidR="001F17B8" w:rsidRPr="009F148B" w:rsidRDefault="00274539" w:rsidP="007E1EBF">
      <w:pPr>
        <w:pStyle w:val="ManualConsidrant"/>
      </w:pPr>
      <w:r>
        <w:br w:type="page"/>
      </w:r>
      <w:r w:rsidR="001F17B8" w:rsidRPr="009F148B">
        <w:t>(</w:t>
      </w:r>
      <w:r w:rsidR="009F148B" w:rsidRPr="009F148B">
        <w:t>60</w:t>
      </w:r>
      <w:r w:rsidR="001F17B8" w:rsidRPr="009F148B">
        <w:t>)</w:t>
      </w:r>
      <w:r w:rsidR="001F17B8" w:rsidRPr="009F148B">
        <w:tab/>
        <w:t>Aux fins d'évaluer la qualité des personnes exerçant une fonction de direction dans</w:t>
      </w:r>
      <w:r w:rsidR="00A41661">
        <w:t xml:space="preserve"> </w:t>
      </w:r>
      <w:r w:rsidR="001F17B8" w:rsidRPr="009F148B">
        <w:t>les</w:t>
      </w:r>
      <w:r w:rsidR="00A41661">
        <w:t xml:space="preserve"> </w:t>
      </w:r>
      <w:r w:rsidR="00870FFE">
        <w:t>entités assujetties</w:t>
      </w:r>
      <w:r w:rsidR="001F17B8" w:rsidRPr="003708EF">
        <w:t xml:space="preserve"> ou les contrôlant par </w:t>
      </w:r>
      <w:r w:rsidR="00A41661">
        <w:t xml:space="preserve">d'autres moyens, il convient de </w:t>
      </w:r>
      <w:r w:rsidR="001F17B8" w:rsidRPr="003708EF">
        <w:t>procéder aux</w:t>
      </w:r>
      <w:r w:rsidR="00A41661">
        <w:t xml:space="preserve"> </w:t>
      </w:r>
      <w:r w:rsidR="001F17B8" w:rsidRPr="003708EF">
        <w:t>échanges d'informat</w:t>
      </w:r>
      <w:r w:rsidR="001F17B8" w:rsidRPr="00DC3FC0">
        <w:t xml:space="preserve">ions sur les condamnations pénales conformément </w:t>
      </w:r>
      <w:r w:rsidR="00A41661">
        <w:t xml:space="preserve">à </w:t>
      </w:r>
      <w:r w:rsidR="001F17B8" w:rsidRPr="00DC3FC0">
        <w:t>la</w:t>
      </w:r>
      <w:r w:rsidR="00A41661">
        <w:t xml:space="preserve"> </w:t>
      </w:r>
      <w:r w:rsidR="001F17B8" w:rsidRPr="00DC3FC0">
        <w:t>décision</w:t>
      </w:r>
      <w:r w:rsidR="001F17B8" w:rsidRPr="00DC3FC0">
        <w:noBreakHyphen/>
        <w:t>cadre 2009/315/JAI du Conseil</w:t>
      </w:r>
      <w:r w:rsidR="001F17B8" w:rsidRPr="007E1EBF">
        <w:rPr>
          <w:rStyle w:val="FootnoteReference"/>
        </w:rPr>
        <w:footnoteReference w:id="16"/>
      </w:r>
      <w:r w:rsidR="001F17B8" w:rsidRPr="009F148B">
        <w:t xml:space="preserve"> et à la décision 2009/316/JAI du Conseil</w:t>
      </w:r>
      <w:r w:rsidR="001F17B8" w:rsidRPr="007E1EBF">
        <w:rPr>
          <w:rStyle w:val="FootnoteReference"/>
        </w:rPr>
        <w:footnoteReference w:id="17"/>
      </w:r>
      <w:r w:rsidR="001F17B8" w:rsidRPr="009F148B">
        <w:t xml:space="preserve">, </w:t>
      </w:r>
      <w:r w:rsidR="00806E6E" w:rsidRPr="009F148B">
        <w:t>telles qu'elle</w:t>
      </w:r>
      <w:r w:rsidR="00806E6E" w:rsidRPr="003708EF">
        <w:t xml:space="preserve">s ont été </w:t>
      </w:r>
      <w:r w:rsidR="001F17B8" w:rsidRPr="00DC3FC0">
        <w:t xml:space="preserve">transposées en droit national, et aux autres dispositions applicables de </w:t>
      </w:r>
      <w:r w:rsidR="004D02B4" w:rsidRPr="00DC3FC0">
        <w:t>du</w:t>
      </w:r>
      <w:r w:rsidR="001F17B8" w:rsidRPr="009F148B">
        <w:t xml:space="preserve"> </w:t>
      </w:r>
      <w:r w:rsidR="004D02B4" w:rsidRPr="009F148B">
        <w:t>droit</w:t>
      </w:r>
      <w:r w:rsidR="001F17B8" w:rsidRPr="009F148B">
        <w:t xml:space="preserve"> national.</w:t>
      </w:r>
    </w:p>
    <w:p w:rsidR="001F17B8" w:rsidRPr="009F148B" w:rsidRDefault="001F17B8" w:rsidP="00746943">
      <w:pPr>
        <w:pStyle w:val="ManualConsidrant"/>
      </w:pPr>
      <w:r w:rsidRPr="009F148B">
        <w:t>(</w:t>
      </w:r>
      <w:r w:rsidR="00B40452" w:rsidRPr="009F148B">
        <w:t>6</w:t>
      </w:r>
      <w:r w:rsidR="009F148B" w:rsidRPr="009F148B">
        <w:t>1</w:t>
      </w:r>
      <w:r w:rsidRPr="009F148B">
        <w:t>)</w:t>
      </w:r>
      <w:r w:rsidRPr="009F148B">
        <w:tab/>
        <w:t xml:space="preserve">L'adoption de normes techniques </w:t>
      </w:r>
      <w:r w:rsidR="00B40452" w:rsidRPr="009F148B">
        <w:t xml:space="preserve">de réglementation </w:t>
      </w:r>
      <w:r w:rsidRPr="009F148B">
        <w:t>dans le domaine des services financiers devrait garantir une harmonisation cohérente et une protection adéquate des déposants, des investisseurs et des consommateurs dans l'ensemble de l'Union. Il serait rationnel et judicieux de charger les AES, en</w:t>
      </w:r>
      <w:r w:rsidR="00746943">
        <w:t xml:space="preserve"> </w:t>
      </w:r>
      <w:r w:rsidRPr="009F148B">
        <w:t>tant qu'organes dotés d'une expertise hautement spécialisée, d'élaborer, pour soumission à</w:t>
      </w:r>
      <w:r w:rsidR="00746943">
        <w:t xml:space="preserve"> </w:t>
      </w:r>
      <w:r w:rsidRPr="009F148B">
        <w:t>la</w:t>
      </w:r>
      <w:r w:rsidR="00746943">
        <w:t xml:space="preserve"> </w:t>
      </w:r>
      <w:r w:rsidRPr="009F148B">
        <w:t>Commission, des projets de normes techniques de réglementation n'impliquant pas de choix politiques.</w:t>
      </w:r>
    </w:p>
    <w:p w:rsidR="001F17B8" w:rsidRPr="001F17B8" w:rsidRDefault="001F17B8" w:rsidP="009F148B">
      <w:pPr>
        <w:pStyle w:val="ManualConsidrant"/>
      </w:pPr>
      <w:r w:rsidRPr="009F148B">
        <w:t>(</w:t>
      </w:r>
      <w:r w:rsidR="00B40452" w:rsidRPr="009F148B">
        <w:t>6</w:t>
      </w:r>
      <w:r w:rsidR="009F148B" w:rsidRPr="009F148B">
        <w:t>2</w:t>
      </w:r>
      <w:r w:rsidRPr="009F148B">
        <w:t>)</w:t>
      </w:r>
      <w:r w:rsidRPr="009F148B">
        <w:tab/>
        <w:t xml:space="preserve">Les projets de normes techniques de réglementation élaborés par les AES </w:t>
      </w:r>
      <w:r w:rsidR="00226100" w:rsidRPr="009F148B">
        <w:t xml:space="preserve">en vertu </w:t>
      </w:r>
      <w:r w:rsidRPr="009F148B">
        <w:t xml:space="preserve">de la présente directive devraient être adoptés par la Commission par voie d'actes délégués conformément à l'article 290 du </w:t>
      </w:r>
      <w:r w:rsidR="00226100" w:rsidRPr="009F148B">
        <w:t xml:space="preserve">traité sur le fonctionnement de l'Union européenne </w:t>
      </w:r>
      <w:r w:rsidRPr="009F148B">
        <w:t>et aux articles 10 à 14 des règlements (UE) n° 1093/</w:t>
      </w:r>
      <w:r w:rsidRPr="001F17B8">
        <w:t xml:space="preserve">2010, </w:t>
      </w:r>
      <w:r w:rsidR="004D02B4">
        <w:t>(UE) n°</w:t>
      </w:r>
      <w:r w:rsidR="00A41661">
        <w:t> </w:t>
      </w:r>
      <w:r w:rsidRPr="001F17B8">
        <w:t xml:space="preserve">1094/2010 et </w:t>
      </w:r>
      <w:r w:rsidR="00A41661">
        <w:t>(UE) n° </w:t>
      </w:r>
      <w:r w:rsidRPr="001F17B8">
        <w:t>1095/2010.</w:t>
      </w:r>
    </w:p>
    <w:p w:rsidR="001F17B8" w:rsidRPr="001F17B8" w:rsidRDefault="001F17B8" w:rsidP="00746943">
      <w:pPr>
        <w:pStyle w:val="ManualConsidrant"/>
      </w:pPr>
      <w:r w:rsidRPr="001F17B8">
        <w:t>(</w:t>
      </w:r>
      <w:r w:rsidR="00B40452">
        <w:t>6</w:t>
      </w:r>
      <w:r w:rsidR="009F148B">
        <w:t>3</w:t>
      </w:r>
      <w:r w:rsidRPr="001F17B8">
        <w:t>)</w:t>
      </w:r>
      <w:r w:rsidRPr="001F17B8">
        <w:tab/>
        <w:t>Compte tenu des modifications très importantes qu'il serait nécess</w:t>
      </w:r>
      <w:r w:rsidR="00746943">
        <w:t xml:space="preserve">aire d'apporter aux </w:t>
      </w:r>
      <w:r w:rsidRPr="001F17B8">
        <w:t>directives 2005/60/CE et 2006/70/CE</w:t>
      </w:r>
      <w:r w:rsidR="00226100">
        <w:t xml:space="preserve"> à la lumière de la présente directive</w:t>
      </w:r>
      <w:r w:rsidRPr="001F17B8">
        <w:t>, il y a lieu de fusionner et de remplacer ces directives dans un</w:t>
      </w:r>
      <w:r w:rsidR="00746943">
        <w:t xml:space="preserve"> </w:t>
      </w:r>
      <w:r w:rsidRPr="001F17B8">
        <w:t>souci de clarté et de cohérence.</w:t>
      </w:r>
    </w:p>
    <w:p w:rsidR="001F17B8" w:rsidRPr="001F17B8" w:rsidRDefault="001F17B8" w:rsidP="009F148B">
      <w:pPr>
        <w:pStyle w:val="ManualConsidrant"/>
      </w:pPr>
      <w:r w:rsidRPr="001F17B8">
        <w:br w:type="page"/>
        <w:t>(</w:t>
      </w:r>
      <w:r w:rsidR="00B40452">
        <w:t>6</w:t>
      </w:r>
      <w:r w:rsidR="009F148B">
        <w:t>4</w:t>
      </w:r>
      <w:r w:rsidRPr="001F17B8">
        <w:t>)</w:t>
      </w:r>
      <w:r w:rsidRPr="001F17B8">
        <w:tab/>
        <w:t xml:space="preserve">Étant donné que l'objectif de la présente directive, à savoir protéger le système financier contre le blanchiment de capitaux et le financement du terrorisme par des mesures de prévention, </w:t>
      </w:r>
      <w:r w:rsidR="004D02B4">
        <w:t xml:space="preserve">de détection </w:t>
      </w:r>
      <w:r w:rsidRPr="001F17B8">
        <w:t xml:space="preserve">et </w:t>
      </w:r>
      <w:r w:rsidR="004D02B4">
        <w:t>d'enquête</w:t>
      </w:r>
      <w:r w:rsidRPr="001F17B8">
        <w:t xml:space="preserve">, ne peut pas être atteint de manière suffisante par les États membres, puisque l'adoption de mesures </w:t>
      </w:r>
      <w:r w:rsidR="004D02B4">
        <w:t xml:space="preserve">individuelles </w:t>
      </w:r>
      <w:r w:rsidRPr="001F17B8">
        <w:t xml:space="preserve">par les États membres pour protéger leurs systèmes financiers </w:t>
      </w:r>
      <w:r w:rsidR="004D02B4">
        <w:t>pourrait</w:t>
      </w:r>
      <w:r w:rsidRPr="001F17B8">
        <w:t xml:space="preserve"> être incompatible avec le </w:t>
      </w:r>
      <w:r w:rsidR="004D02B4">
        <w:t xml:space="preserve">fonctionnement du </w:t>
      </w:r>
      <w:r w:rsidRPr="001F17B8">
        <w:t>marché intérieur, les règles de l'État de droit et l'ordre public de l'Union mais peut</w:t>
      </w:r>
      <w:r w:rsidR="00226100">
        <w:t>,</w:t>
      </w:r>
      <w:r w:rsidRPr="001F17B8">
        <w:t xml:space="preserve"> en raison des dimensions et des effets de l'action envisagée</w:t>
      </w:r>
      <w:r w:rsidR="00226100">
        <w:t>,</w:t>
      </w:r>
      <w:r w:rsidRPr="001F17B8">
        <w:t xml:space="preserve"> </w:t>
      </w:r>
      <w:r w:rsidR="00226100">
        <w:t>l'</w:t>
      </w:r>
      <w:r w:rsidRPr="001F17B8">
        <w:t>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rsidR="001F17B8" w:rsidRPr="001F17B8" w:rsidRDefault="001F17B8" w:rsidP="009F148B">
      <w:pPr>
        <w:pStyle w:val="ManualConsidrant"/>
      </w:pPr>
      <w:r w:rsidRPr="001F17B8">
        <w:t>(</w:t>
      </w:r>
      <w:r w:rsidR="00B40452">
        <w:t>6</w:t>
      </w:r>
      <w:r w:rsidR="009F148B">
        <w:t>5</w:t>
      </w:r>
      <w:r w:rsidRPr="001F17B8">
        <w:t>)</w:t>
      </w:r>
      <w:r w:rsidRPr="001F17B8">
        <w:tab/>
        <w:t>La présente directive respecte les droits fondamentaux et observe les principes reconnus par la </w:t>
      </w:r>
      <w:r w:rsidR="00226100">
        <w:t>c</w:t>
      </w:r>
      <w:r w:rsidRPr="001F17B8">
        <w:t>harte, en particulier le droit au respect de la vie privée et familiale, le droit à la protection des données à caractère personnel, la liberté d'entreprise, l'interdiction de toute discrimination, le droit à un recours effectif et à accéder à un tribunal impartial, la présomption d'innocence et les droits de la défense.</w:t>
      </w:r>
    </w:p>
    <w:p w:rsidR="001F17B8" w:rsidRPr="001F17B8" w:rsidRDefault="001F17B8" w:rsidP="009F148B">
      <w:pPr>
        <w:pStyle w:val="ManualConsidrant"/>
      </w:pPr>
      <w:r w:rsidRPr="001F17B8">
        <w:t>(</w:t>
      </w:r>
      <w:r w:rsidR="00B40452">
        <w:t>6</w:t>
      </w:r>
      <w:r w:rsidR="009F148B">
        <w:t>6</w:t>
      </w:r>
      <w:r w:rsidRPr="001F17B8">
        <w:t>)</w:t>
      </w:r>
      <w:r w:rsidRPr="001F17B8">
        <w:tab/>
        <w:t xml:space="preserve">Conformément à l'article 21 de la </w:t>
      </w:r>
      <w:r w:rsidR="00DE3316">
        <w:t>c</w:t>
      </w:r>
      <w:r w:rsidRPr="001F17B8">
        <w:t>harte, qui interdit toute discrimination pour quelque motif que ce soit, les États membres doivent veiller à ce que la présente directive soit mise en œuvre de manière non discriminatoire en ce qui concerne les évaluations des risques effectuées dans le cadre des obligations de vigilance à l'égard de la clientèle.</w:t>
      </w:r>
    </w:p>
    <w:p w:rsidR="001F17B8" w:rsidRPr="001F17B8" w:rsidRDefault="00274539" w:rsidP="009F148B">
      <w:pPr>
        <w:pStyle w:val="ManualConsidrant"/>
      </w:pPr>
      <w:r>
        <w:br w:type="page"/>
      </w:r>
      <w:r w:rsidR="001F17B8" w:rsidRPr="001F17B8">
        <w:t>(</w:t>
      </w:r>
      <w:r w:rsidR="00B40452">
        <w:t>6</w:t>
      </w:r>
      <w:r w:rsidR="009F148B">
        <w:t>7</w:t>
      </w:r>
      <w:r w:rsidR="001F17B8" w:rsidRPr="001F17B8">
        <w:t>)</w:t>
      </w:r>
      <w:r w:rsidR="001F17B8" w:rsidRPr="001F17B8">
        <w:tab/>
        <w:t xml:space="preserve">Conformément à la déclaration politique commune des États membres et de la Commission </w:t>
      </w:r>
      <w:r w:rsidR="00CD5C39" w:rsidRPr="001F17B8">
        <w:t xml:space="preserve">du 28 septembre 2011 </w:t>
      </w:r>
      <w:r w:rsidR="001F17B8" w:rsidRPr="001F17B8">
        <w:t>sur les documents explicatifs</w:t>
      </w:r>
      <w:r w:rsidR="00A06AFF">
        <w:rPr>
          <w:rStyle w:val="FootnoteReference"/>
        </w:rPr>
        <w:footnoteReference w:id="18"/>
      </w:r>
      <w:r w:rsidR="001F17B8" w:rsidRPr="001F17B8">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1F17B8" w:rsidRPr="001F17B8" w:rsidRDefault="001F17B8" w:rsidP="009F148B">
      <w:pPr>
        <w:pStyle w:val="ManualConsidrant"/>
      </w:pPr>
      <w:r w:rsidRPr="001F17B8">
        <w:t>(</w:t>
      </w:r>
      <w:r w:rsidR="00B40452">
        <w:t>6</w:t>
      </w:r>
      <w:r w:rsidR="009F148B">
        <w:t>8</w:t>
      </w:r>
      <w:r w:rsidRPr="001F17B8">
        <w:t>)</w:t>
      </w:r>
      <w:r w:rsidRPr="001F17B8">
        <w:tab/>
        <w:t xml:space="preserve">Le </w:t>
      </w:r>
      <w:r w:rsidR="00DE3316">
        <w:t>C</w:t>
      </w:r>
      <w:r w:rsidRPr="001F17B8">
        <w:t xml:space="preserve">ontrôleur européen de la protection des données </w:t>
      </w:r>
      <w:r w:rsidR="00B40452">
        <w:t>a été consulté conformément à l'article 28, par</w:t>
      </w:r>
      <w:r w:rsidR="00746943">
        <w:t>agraphe 2, du règlement (CE) n° </w:t>
      </w:r>
      <w:r w:rsidR="00B40452">
        <w:t xml:space="preserve">45/2001 et </w:t>
      </w:r>
      <w:r w:rsidR="00A41661">
        <w:t>a rendu un avis le 4 juillet </w:t>
      </w:r>
      <w:r w:rsidRPr="001F17B8">
        <w:t>2013</w:t>
      </w:r>
      <w:r w:rsidRPr="00A06AFF">
        <w:rPr>
          <w:rStyle w:val="FootnoteReference"/>
        </w:rPr>
        <w:footnoteReference w:id="19"/>
      </w:r>
      <w:r w:rsidRPr="001F17B8">
        <w:t>,</w:t>
      </w:r>
    </w:p>
    <w:p w:rsidR="001F17B8" w:rsidRPr="00A41661" w:rsidRDefault="001F17B8" w:rsidP="001F17B8">
      <w:pPr>
        <w:pStyle w:val="Formuledadoption"/>
        <w:spacing w:before="0" w:after="0"/>
      </w:pPr>
      <w:r w:rsidRPr="00A41661">
        <w:t>ONT ADOPTÉ LA PRÉSENTE DIRECTIVE:</w:t>
      </w:r>
    </w:p>
    <w:p w:rsidR="001F17B8" w:rsidRPr="00274539" w:rsidRDefault="00274539" w:rsidP="00274539">
      <w:pPr>
        <w:pStyle w:val="ChapterTitle"/>
      </w:pPr>
      <w:r>
        <w:br w:type="page"/>
      </w:r>
      <w:r w:rsidR="001F17B8" w:rsidRPr="00274539">
        <w:t>CHAPITRE I</w:t>
      </w:r>
      <w:r w:rsidR="00A06AFF" w:rsidRPr="00274539">
        <w:br/>
      </w:r>
      <w:r w:rsidR="001F17B8" w:rsidRPr="00274539">
        <w:t>DISPOSITIONS GÉNÉRALES</w:t>
      </w:r>
    </w:p>
    <w:p w:rsidR="001F17B8" w:rsidRPr="00746943" w:rsidRDefault="001F17B8" w:rsidP="00746943">
      <w:pPr>
        <w:pStyle w:val="SectionTitle"/>
      </w:pPr>
      <w:r w:rsidRPr="00746943">
        <w:t>Section 1</w:t>
      </w:r>
      <w:r w:rsidR="00A06AFF" w:rsidRPr="00746943">
        <w:br/>
      </w:r>
      <w:r w:rsidR="00B40452" w:rsidRPr="00746943">
        <w:t>Objet, c</w:t>
      </w:r>
      <w:r w:rsidRPr="00746943">
        <w:t>hamp d'application et définitions</w:t>
      </w:r>
    </w:p>
    <w:p w:rsidR="001F17B8" w:rsidRPr="00274539" w:rsidRDefault="001F17B8" w:rsidP="00274539">
      <w:pPr>
        <w:pStyle w:val="Titrearticle"/>
      </w:pPr>
      <w:r w:rsidRPr="00274539">
        <w:t>Article premier</w:t>
      </w:r>
    </w:p>
    <w:p w:rsidR="00E70EB6" w:rsidRDefault="00A06AFF" w:rsidP="00E74E87">
      <w:pPr>
        <w:pStyle w:val="ManualNumPar1"/>
      </w:pPr>
      <w:r>
        <w:t>1.</w:t>
      </w:r>
      <w:r>
        <w:tab/>
      </w:r>
      <w:r w:rsidR="00BA79CB">
        <w:t>La présente directive vise à</w:t>
      </w:r>
      <w:r w:rsidR="002A3612">
        <w:t xml:space="preserve"> prévenir</w:t>
      </w:r>
      <w:r w:rsidR="002A3612" w:rsidRPr="001F17B8">
        <w:t xml:space="preserve"> l'utilisation du système financier</w:t>
      </w:r>
      <w:r w:rsidR="002A3612">
        <w:t xml:space="preserve"> de l'Union</w:t>
      </w:r>
      <w:r w:rsidR="002A3612" w:rsidRPr="001F17B8">
        <w:t xml:space="preserve"> aux fins du blanchiment de capitaux et du financement du terrorisme</w:t>
      </w:r>
      <w:r w:rsidR="005E336B">
        <w:t>.</w:t>
      </w:r>
    </w:p>
    <w:p w:rsidR="001F17B8" w:rsidRPr="0012613B" w:rsidRDefault="00E70EB6" w:rsidP="00E74E87">
      <w:pPr>
        <w:pStyle w:val="ManualNumPar1"/>
      </w:pPr>
      <w:r>
        <w:t>2.</w:t>
      </w:r>
      <w:r>
        <w:tab/>
        <w:t>L</w:t>
      </w:r>
      <w:r w:rsidR="001F17B8">
        <w:t>es États membres veillent à ce que le blanchiment de capitaux et le financement du terrorisme soient interdits.</w:t>
      </w:r>
    </w:p>
    <w:p w:rsidR="001F17B8" w:rsidRPr="0012613B" w:rsidRDefault="00781F9C" w:rsidP="00274539">
      <w:pPr>
        <w:pStyle w:val="ManualNumPar1"/>
      </w:pPr>
      <w:r>
        <w:t>3</w:t>
      </w:r>
      <w:r w:rsidR="00A06AFF">
        <w:t>.</w:t>
      </w:r>
      <w:r w:rsidR="00A06AFF">
        <w:tab/>
      </w:r>
      <w:r w:rsidR="001F17B8">
        <w:t>Aux fins de la présente directive, sont considérés comme blanchiment de capitaux les agissements ci-après énumérés, commis intentionnellement:</w:t>
      </w:r>
    </w:p>
    <w:p w:rsidR="001F17B8" w:rsidRPr="0012613B" w:rsidRDefault="001F17B8" w:rsidP="00B40452">
      <w:pPr>
        <w:pStyle w:val="Point1"/>
      </w:pPr>
      <w:r>
        <w:t>a)</w:t>
      </w:r>
      <w:r w:rsidR="00A06AFF">
        <w:tab/>
      </w:r>
      <w:r>
        <w:t xml:space="preserve">la conversion ou le transfert de biens, dont celui qui s'y livre sait qu'ils proviennent d'une activité criminelle ou d'une participation à une activité criminelle, dans le but de dissimuler ou de déguiser l'origine illicite de ces biens ou d'aider toute personne impliquée dans </w:t>
      </w:r>
      <w:r w:rsidR="00B40452">
        <w:t xml:space="preserve">une telle </w:t>
      </w:r>
      <w:r>
        <w:t>activité à échapper aux conséquences juridiques des actes qu'elle a commis;</w:t>
      </w:r>
    </w:p>
    <w:p w:rsidR="001F17B8" w:rsidRPr="0012613B" w:rsidRDefault="001F17B8" w:rsidP="005F0533">
      <w:pPr>
        <w:pStyle w:val="Point1"/>
        <w:rPr>
          <w:noProof/>
        </w:rPr>
      </w:pPr>
      <w:r>
        <w:t>b)</w:t>
      </w:r>
      <w:r w:rsidR="00A06AFF">
        <w:tab/>
      </w:r>
      <w:r w:rsidR="00324B55">
        <w:t xml:space="preserve">le fait de dissimuler ou de </w:t>
      </w:r>
      <w:r w:rsidR="005F0533">
        <w:t>déguiser</w:t>
      </w:r>
      <w:r>
        <w:t xml:space="preserve"> la nature, l'origine, l'</w:t>
      </w:r>
      <w:r w:rsidR="005E336B">
        <w:t xml:space="preserve">emplacement, la disposition, le </w:t>
      </w:r>
      <w:r>
        <w:t>mouvement ou la propriété réels de biens ou des droits qui y sont liés</w:t>
      </w:r>
      <w:r w:rsidR="005E336B">
        <w:t xml:space="preserve">, dont celui qui s'y livre sait </w:t>
      </w:r>
      <w:r>
        <w:t xml:space="preserve">qu'ils proviennent d'une activité criminelle ou d'une participation à une </w:t>
      </w:r>
      <w:r w:rsidR="00B40452">
        <w:t xml:space="preserve">telle </w:t>
      </w:r>
      <w:r>
        <w:t>activité;</w:t>
      </w:r>
    </w:p>
    <w:p w:rsidR="001F17B8" w:rsidRPr="0012613B" w:rsidRDefault="00274539" w:rsidP="00B40452">
      <w:pPr>
        <w:pStyle w:val="Point1"/>
        <w:rPr>
          <w:noProof/>
        </w:rPr>
      </w:pPr>
      <w:r>
        <w:br w:type="page"/>
      </w:r>
      <w:r w:rsidR="001F17B8">
        <w:t>c)</w:t>
      </w:r>
      <w:r w:rsidR="00A06AFF">
        <w:tab/>
      </w:r>
      <w:r w:rsidR="001F17B8">
        <w:t xml:space="preserve">l'acquisition, la détention ou l'utilisation de biens, dont celui qui s'y livre sait, au moment où il les réceptionne, qu'ils proviennent d'une activité criminelle ou d'une participation à une </w:t>
      </w:r>
      <w:r w:rsidR="00B40452">
        <w:t xml:space="preserve">telle </w:t>
      </w:r>
      <w:r w:rsidR="001F17B8">
        <w:t>activité;</w:t>
      </w:r>
    </w:p>
    <w:p w:rsidR="001F17B8" w:rsidRPr="0012613B" w:rsidRDefault="001F17B8" w:rsidP="00274539">
      <w:pPr>
        <w:pStyle w:val="Point1"/>
        <w:rPr>
          <w:noProof/>
        </w:rPr>
      </w:pPr>
      <w:r>
        <w:t>d)</w:t>
      </w:r>
      <w:r w:rsidR="00A06AFF">
        <w:tab/>
      </w:r>
      <w:r>
        <w:t>la participation à l'un des actes visés aux points a), b) et c), le fait de s'associer pour le commettre, de tenter de le commettre, d'aider ou d'inciter quelqu'un à le commettre ou de le conseiller à cet effet, ou de faciliter l'exécution d'un tel acte.</w:t>
      </w:r>
    </w:p>
    <w:p w:rsidR="001F17B8" w:rsidRPr="0012613B" w:rsidRDefault="00781F9C" w:rsidP="00274539">
      <w:pPr>
        <w:pStyle w:val="ManualNumPar1"/>
        <w:rPr>
          <w:noProof/>
        </w:rPr>
      </w:pPr>
      <w:r>
        <w:t>4</w:t>
      </w:r>
      <w:r w:rsidR="001F17B8">
        <w:t>.</w:t>
      </w:r>
      <w:r w:rsidR="003B2AB3">
        <w:tab/>
      </w:r>
      <w:r w:rsidR="001F17B8">
        <w:t>Il y a blanchiment de capitaux même si les activités qui sont à l'origine des biens à blanchir ont été exercées sur le territoire d'un autre État membre ou sur celui d'un pays tiers.</w:t>
      </w:r>
    </w:p>
    <w:p w:rsidR="001F17B8" w:rsidRPr="0012613B" w:rsidRDefault="00781F9C" w:rsidP="007E1EBF">
      <w:pPr>
        <w:pStyle w:val="ManualNumPar1"/>
        <w:rPr>
          <w:noProof/>
        </w:rPr>
      </w:pPr>
      <w:r>
        <w:t>5</w:t>
      </w:r>
      <w:r w:rsidR="001F17B8">
        <w:t>.</w:t>
      </w:r>
      <w:r w:rsidR="003B2AB3">
        <w:tab/>
      </w:r>
      <w:r w:rsidR="001F17B8">
        <w:t>Aux fins de la présente directive, on entend par "financement du terrorisme" le fait de fournir ou de réunir des fonds, par quelque moyen que ce soit, directement ou indirectement, dans l'intention de les voir utilisés ou en sachant qu'ils seront utilisés, en tout ou en partie, en vue de commettre l'une quelconque des infractions visées aux articles 1</w:t>
      </w:r>
      <w:r w:rsidR="001F17B8">
        <w:rPr>
          <w:vertAlign w:val="superscript"/>
        </w:rPr>
        <w:t>er</w:t>
      </w:r>
      <w:r w:rsidR="001F17B8">
        <w:t xml:space="preserve"> à 4 de la décision-cadre 2002/475/JAI</w:t>
      </w:r>
      <w:r w:rsidR="004D02B4">
        <w:t xml:space="preserve"> du Conseil</w:t>
      </w:r>
      <w:r w:rsidR="001F17B8" w:rsidRPr="007E1EBF">
        <w:rPr>
          <w:rStyle w:val="FootnoteReference"/>
        </w:rPr>
        <w:footnoteReference w:id="20"/>
      </w:r>
      <w:r w:rsidR="001F17B8">
        <w:t>.</w:t>
      </w:r>
    </w:p>
    <w:p w:rsidR="001F17B8" w:rsidRPr="0012613B" w:rsidRDefault="00781F9C" w:rsidP="005F0533">
      <w:pPr>
        <w:pStyle w:val="ManualNumPar1"/>
        <w:rPr>
          <w:noProof/>
        </w:rPr>
      </w:pPr>
      <w:r>
        <w:t>6</w:t>
      </w:r>
      <w:r w:rsidR="001F17B8">
        <w:t>.</w:t>
      </w:r>
      <w:r w:rsidR="003B2AB3">
        <w:tab/>
      </w:r>
      <w:r w:rsidR="001F17B8">
        <w:t>La connaissance, l'intention ou la motivation requises pour qualifier les actes visés aux paragraphes </w:t>
      </w:r>
      <w:r>
        <w:t>3</w:t>
      </w:r>
      <w:r w:rsidR="001F17B8">
        <w:t xml:space="preserve"> et </w:t>
      </w:r>
      <w:r>
        <w:t>5</w:t>
      </w:r>
      <w:r w:rsidR="001F17B8">
        <w:t xml:space="preserve"> peuvent être </w:t>
      </w:r>
      <w:r w:rsidR="005F0533">
        <w:t>déduites</w:t>
      </w:r>
      <w:r w:rsidR="001F17B8">
        <w:t xml:space="preserve"> de circonstances de fait objectives.</w:t>
      </w:r>
    </w:p>
    <w:p w:rsidR="001F17B8" w:rsidRPr="00274539" w:rsidRDefault="003B2AB3" w:rsidP="00274539">
      <w:pPr>
        <w:pStyle w:val="Titrearticle"/>
      </w:pPr>
      <w:r w:rsidRPr="00274539">
        <w:t>A</w:t>
      </w:r>
      <w:r w:rsidR="001F17B8" w:rsidRPr="00274539">
        <w:t>rticle 2</w:t>
      </w:r>
    </w:p>
    <w:p w:rsidR="001F17B8" w:rsidRPr="0012613B" w:rsidRDefault="003B2AB3" w:rsidP="00274539">
      <w:pPr>
        <w:pStyle w:val="ManualNumPar1"/>
        <w:rPr>
          <w:noProof/>
        </w:rPr>
      </w:pPr>
      <w:r>
        <w:t>1.</w:t>
      </w:r>
      <w:r>
        <w:tab/>
      </w:r>
      <w:r w:rsidR="001F17B8">
        <w:t xml:space="preserve">La présente directive s'applique aux </w:t>
      </w:r>
      <w:r w:rsidR="00870FFE">
        <w:t>entités assujetties</w:t>
      </w:r>
      <w:r w:rsidR="001F17B8">
        <w:t xml:space="preserve"> suivantes:</w:t>
      </w:r>
    </w:p>
    <w:p w:rsidR="001F17B8" w:rsidRPr="0012613B" w:rsidRDefault="001F17B8" w:rsidP="003B2AB3">
      <w:pPr>
        <w:pStyle w:val="Point1"/>
        <w:rPr>
          <w:noProof/>
        </w:rPr>
      </w:pPr>
      <w:r>
        <w:t>1)</w:t>
      </w:r>
      <w:r w:rsidR="003B2AB3">
        <w:tab/>
      </w:r>
      <w:r>
        <w:t>les établissements de crédit;</w:t>
      </w:r>
    </w:p>
    <w:p w:rsidR="001F17B8" w:rsidRPr="0012613B" w:rsidRDefault="00274539" w:rsidP="003B2AB3">
      <w:pPr>
        <w:pStyle w:val="Point1"/>
        <w:rPr>
          <w:noProof/>
        </w:rPr>
      </w:pPr>
      <w:r>
        <w:br w:type="page"/>
      </w:r>
      <w:r w:rsidR="001F17B8">
        <w:t>2)</w:t>
      </w:r>
      <w:r w:rsidR="003B2AB3">
        <w:tab/>
      </w:r>
      <w:r w:rsidR="001F17B8">
        <w:t>les établissements financiers;</w:t>
      </w:r>
    </w:p>
    <w:p w:rsidR="001F17B8" w:rsidRPr="0012613B" w:rsidRDefault="001F17B8" w:rsidP="003B2AB3">
      <w:pPr>
        <w:pStyle w:val="Point1"/>
      </w:pPr>
      <w:r>
        <w:t>3)</w:t>
      </w:r>
      <w:r w:rsidR="003B2AB3">
        <w:tab/>
      </w:r>
      <w:r>
        <w:t xml:space="preserve">les personnes physiques ou morales suivantes, </w:t>
      </w:r>
      <w:r w:rsidR="00AC0BE5">
        <w:t xml:space="preserve">agissant </w:t>
      </w:r>
      <w:r>
        <w:t>dans l'exercice de leur activité professionnelle:</w:t>
      </w:r>
    </w:p>
    <w:p w:rsidR="001F17B8" w:rsidRPr="0012613B" w:rsidRDefault="001F17B8" w:rsidP="00204AB4">
      <w:pPr>
        <w:pStyle w:val="Point2"/>
      </w:pPr>
      <w:r>
        <w:t>a)</w:t>
      </w:r>
      <w:r w:rsidR="003B2AB3">
        <w:tab/>
      </w:r>
      <w:r>
        <w:t>les auditeurs, experts-comptables externes et conseillers fiscaux;</w:t>
      </w:r>
    </w:p>
    <w:p w:rsidR="001F17B8" w:rsidRPr="0012613B" w:rsidRDefault="001F17B8">
      <w:pPr>
        <w:pStyle w:val="Point2"/>
        <w:rPr>
          <w:noProof/>
        </w:rPr>
      </w:pPr>
      <w:r>
        <w:t>b)</w:t>
      </w:r>
      <w:r w:rsidR="003B2AB3">
        <w:tab/>
      </w:r>
      <w:r>
        <w:t>les notaires et autres membres de professions juridiques indépendan</w:t>
      </w:r>
      <w:r w:rsidR="005E336B">
        <w:t xml:space="preserve">tes, lorsqu'ils participent, au </w:t>
      </w:r>
      <w:r>
        <w:t xml:space="preserve">nom de leur client et pour le compte de celui-ci, à toute transaction financière ou immobilière ou lorsqu'ils assistent leur client dans la préparation ou </w:t>
      </w:r>
      <w:r w:rsidR="00AC0BE5">
        <w:t>l'exécution</w:t>
      </w:r>
      <w:r w:rsidR="00E71F63">
        <w:t xml:space="preserve"> </w:t>
      </w:r>
      <w:r>
        <w:t>de transactions portant sur:</w:t>
      </w:r>
    </w:p>
    <w:p w:rsidR="001F17B8" w:rsidRPr="0012613B" w:rsidRDefault="001F17B8" w:rsidP="003B2AB3">
      <w:pPr>
        <w:pStyle w:val="Point3"/>
        <w:rPr>
          <w:noProof/>
        </w:rPr>
      </w:pPr>
      <w:r>
        <w:t>i)</w:t>
      </w:r>
      <w:r w:rsidR="003B2AB3">
        <w:tab/>
      </w:r>
      <w:r>
        <w:t>l'achat et la vente de biens immeubles ou d'entreprises commerciales;</w:t>
      </w:r>
    </w:p>
    <w:p w:rsidR="001F17B8" w:rsidRPr="0012613B" w:rsidRDefault="001F17B8" w:rsidP="003B2AB3">
      <w:pPr>
        <w:pStyle w:val="Point3"/>
        <w:rPr>
          <w:noProof/>
        </w:rPr>
      </w:pPr>
      <w:r>
        <w:t>ii)</w:t>
      </w:r>
      <w:r w:rsidR="003B2AB3">
        <w:tab/>
      </w:r>
      <w:r>
        <w:t>la gestion de fonds, de titres ou d'autres actifs appartenant au client;</w:t>
      </w:r>
    </w:p>
    <w:p w:rsidR="001F17B8" w:rsidRPr="0012613B" w:rsidRDefault="001F17B8" w:rsidP="003B2AB3">
      <w:pPr>
        <w:pStyle w:val="Point3"/>
        <w:rPr>
          <w:noProof/>
        </w:rPr>
      </w:pPr>
      <w:r>
        <w:t>iii)</w:t>
      </w:r>
      <w:r w:rsidR="003B2AB3">
        <w:tab/>
      </w:r>
      <w:r>
        <w:t>l'ouverture ou la gestion de comptes bancaires, d'épargne ou de portefeuilles;</w:t>
      </w:r>
    </w:p>
    <w:p w:rsidR="001F17B8" w:rsidRPr="0012613B" w:rsidRDefault="001F17B8" w:rsidP="003B2AB3">
      <w:pPr>
        <w:pStyle w:val="Point3"/>
        <w:rPr>
          <w:noProof/>
        </w:rPr>
      </w:pPr>
      <w:r>
        <w:t>iv)</w:t>
      </w:r>
      <w:r w:rsidR="003B2AB3">
        <w:tab/>
      </w:r>
      <w:r>
        <w:t>l'organisation des apports nécessaires à la constitution, à la gestion ou à la direction de sociétés;</w:t>
      </w:r>
    </w:p>
    <w:p w:rsidR="001F17B8" w:rsidRPr="0012613B" w:rsidRDefault="003B2AB3">
      <w:pPr>
        <w:pStyle w:val="Point3"/>
        <w:rPr>
          <w:highlight w:val="cyan"/>
        </w:rPr>
      </w:pPr>
      <w:r>
        <w:t>v)</w:t>
      </w:r>
      <w:r>
        <w:tab/>
      </w:r>
      <w:r w:rsidR="001F17B8">
        <w:t>la constitution, la gestion ou la direction de fiducies</w:t>
      </w:r>
      <w:r w:rsidR="00870FFE">
        <w:t>/</w:t>
      </w:r>
      <w:r w:rsidR="001F17B8">
        <w:t>trusts, de sociétés, de fondations ou de structures similaires;</w:t>
      </w:r>
    </w:p>
    <w:p w:rsidR="001F17B8" w:rsidRPr="0012613B" w:rsidRDefault="001F17B8" w:rsidP="004D02B4">
      <w:pPr>
        <w:pStyle w:val="Point2"/>
        <w:rPr>
          <w:noProof/>
        </w:rPr>
      </w:pPr>
      <w:r>
        <w:t>c)</w:t>
      </w:r>
      <w:r w:rsidR="003B2AB3">
        <w:tab/>
      </w:r>
      <w:r>
        <w:t xml:space="preserve">les prestataires de services aux sociétés et </w:t>
      </w:r>
      <w:r w:rsidRPr="00B40452">
        <w:t>fiducies</w:t>
      </w:r>
      <w:r w:rsidR="00870FFE">
        <w:t>/trusts</w:t>
      </w:r>
      <w:r w:rsidRPr="00B40452">
        <w:t xml:space="preserve"> q</w:t>
      </w:r>
      <w:r>
        <w:t>ui ne relèvent pas déjà du point a) ou b);</w:t>
      </w:r>
    </w:p>
    <w:p w:rsidR="001F17B8" w:rsidRPr="0012613B" w:rsidRDefault="001F17B8" w:rsidP="003B2AB3">
      <w:pPr>
        <w:pStyle w:val="Point2"/>
        <w:rPr>
          <w:noProof/>
        </w:rPr>
      </w:pPr>
      <w:r>
        <w:t>d)</w:t>
      </w:r>
      <w:r w:rsidR="003B2AB3">
        <w:tab/>
      </w:r>
      <w:r>
        <w:t>les agents immobiliers;</w:t>
      </w:r>
    </w:p>
    <w:p w:rsidR="001F17B8" w:rsidRPr="0012613B" w:rsidRDefault="00274539" w:rsidP="00684B9C">
      <w:pPr>
        <w:pStyle w:val="Point2"/>
        <w:rPr>
          <w:noProof/>
        </w:rPr>
      </w:pPr>
      <w:r>
        <w:br w:type="page"/>
      </w:r>
      <w:r w:rsidR="001F17B8">
        <w:t>e)</w:t>
      </w:r>
      <w:r w:rsidR="003B2AB3">
        <w:tab/>
      </w:r>
      <w:r w:rsidR="001F17B8">
        <w:t xml:space="preserve">les autres personnes négociant des biens, dans la mesure où les paiements sont effectués ou reçus en espèces pour un montant égal ou supérieur à 10 000 EUR, que la transaction soit </w:t>
      </w:r>
      <w:r w:rsidR="00AC0BE5">
        <w:t>exécutée</w:t>
      </w:r>
      <w:r w:rsidR="00E71F63">
        <w:t xml:space="preserve"> </w:t>
      </w:r>
      <w:r w:rsidR="001F17B8">
        <w:t xml:space="preserve">en une fois ou sous la forme d'opérations fractionnées </w:t>
      </w:r>
      <w:r w:rsidR="00684B9C">
        <w:t>qui semblent être liées</w:t>
      </w:r>
      <w:r w:rsidR="001F17B8">
        <w:t>;</w:t>
      </w:r>
    </w:p>
    <w:p w:rsidR="001F17B8" w:rsidRPr="0012613B" w:rsidRDefault="001F17B8" w:rsidP="003B2AB3">
      <w:pPr>
        <w:pStyle w:val="Point2"/>
        <w:rPr>
          <w:noProof/>
        </w:rPr>
      </w:pPr>
      <w:r>
        <w:t>f)</w:t>
      </w:r>
      <w:r w:rsidR="003B2AB3">
        <w:tab/>
      </w:r>
      <w:r>
        <w:t>les prestataires de services de jeux d'argent et de hasard.</w:t>
      </w:r>
    </w:p>
    <w:p w:rsidR="001F17B8" w:rsidRPr="0012613B" w:rsidRDefault="00B40452" w:rsidP="005E336B">
      <w:pPr>
        <w:pStyle w:val="ManualNumPar1"/>
      </w:pPr>
      <w:r>
        <w:t>2.</w:t>
      </w:r>
      <w:r>
        <w:tab/>
      </w:r>
      <w:r w:rsidR="001F17B8">
        <w:t>À l'exception des casinos, les États membres peuvent décider, à l'issue d'une évaluation appropriée des risques, d</w:t>
      </w:r>
      <w:r w:rsidR="004D02B4">
        <w:t>'exempter</w:t>
      </w:r>
      <w:r w:rsidR="001F17B8">
        <w:t xml:space="preserve"> totalement ou partiellement les prestataires de certains services de jeux d'argent et de hasard des dispositions nationales transposant la présente directive, en se fondant sur le faible risque avéré que représente l'exploitation de ces services de par sa nature et, le cas échéant, son ampleur.</w:t>
      </w:r>
    </w:p>
    <w:p w:rsidR="001F17B8" w:rsidRPr="0012613B" w:rsidRDefault="001F17B8" w:rsidP="005E336B">
      <w:pPr>
        <w:pStyle w:val="Text1"/>
      </w:pPr>
      <w:r>
        <w:t>Parmi les facteurs à retenir dans leur</w:t>
      </w:r>
      <w:r w:rsidR="00B40452">
        <w:t>s</w:t>
      </w:r>
      <w:r>
        <w:t xml:space="preserve"> évaluation</w:t>
      </w:r>
      <w:r w:rsidR="00B40452">
        <w:t>s</w:t>
      </w:r>
      <w:r>
        <w:t xml:space="preserve"> des risques, les États membres évalue</w:t>
      </w:r>
      <w:r w:rsidR="00E71F63">
        <w:t>nt</w:t>
      </w:r>
      <w:r w:rsidR="005E336B">
        <w:t xml:space="preserve"> le </w:t>
      </w:r>
      <w:r>
        <w:t>degré de vulnérabilité des transactions applicables, notamment en ce qui concerne les méthodes de paiement utilisées.</w:t>
      </w:r>
    </w:p>
    <w:p w:rsidR="00B40452" w:rsidRDefault="00B40452" w:rsidP="005E336B">
      <w:pPr>
        <w:pStyle w:val="Text1"/>
      </w:pPr>
      <w:r>
        <w:t>Dans leurs évaluations des risques, les États membres indiquent comment ils ont tenu compte des conclusions pertinentes figurant dans les rapports publiés par la Commission en vertu de l'article 6.</w:t>
      </w:r>
    </w:p>
    <w:p w:rsidR="001F17B8" w:rsidRPr="0012613B" w:rsidRDefault="001F17B8" w:rsidP="005E336B">
      <w:pPr>
        <w:pStyle w:val="Text1"/>
      </w:pPr>
      <w:r>
        <w:t xml:space="preserve">Toute décision prise par un État membre en application du </w:t>
      </w:r>
      <w:r w:rsidR="00B40452">
        <w:t>premier</w:t>
      </w:r>
      <w:r w:rsidR="00E71F63">
        <w:t xml:space="preserve"> alinéa</w:t>
      </w:r>
      <w:r w:rsidR="005E336B">
        <w:t xml:space="preserve"> est notifiée à </w:t>
      </w:r>
      <w:r>
        <w:t>la</w:t>
      </w:r>
      <w:r w:rsidR="005E336B">
        <w:t xml:space="preserve"> </w:t>
      </w:r>
      <w:r>
        <w:t>Commission, accompagnée d'une motivation fondée sur une évaluation</w:t>
      </w:r>
      <w:r w:rsidR="009F293C">
        <w:t xml:space="preserve"> </w:t>
      </w:r>
      <w:r>
        <w:t xml:space="preserve">spécifique des risques. La Commission communique </w:t>
      </w:r>
      <w:r w:rsidR="004D02B4">
        <w:t>cette</w:t>
      </w:r>
      <w:r>
        <w:t xml:space="preserve"> décision aux autres États membres.</w:t>
      </w:r>
    </w:p>
    <w:p w:rsidR="001F17B8" w:rsidRPr="0012613B" w:rsidRDefault="009F293C" w:rsidP="007E1EBF">
      <w:pPr>
        <w:pStyle w:val="ManualNumPar1"/>
      </w:pPr>
      <w:r>
        <w:t>3</w:t>
      </w:r>
      <w:r w:rsidR="001F17B8">
        <w:t>.</w:t>
      </w:r>
      <w:r w:rsidR="003B2AB3">
        <w:tab/>
      </w:r>
      <w:r w:rsidR="001F17B8">
        <w:t>Les États membres peuvent décider que les personnes qui exercent une</w:t>
      </w:r>
      <w:r w:rsidR="007E1EBF">
        <w:t xml:space="preserve"> </w:t>
      </w:r>
      <w:r w:rsidR="001F17B8">
        <w:t xml:space="preserve">activité financière à titre occasionnel ou à une échelle très limitée où il y a peu de risque de blanchiment de capitaux ou de financement du terrorisme ne relèvent pas de la présente directive, sous réserve </w:t>
      </w:r>
      <w:r w:rsidR="00E71F63">
        <w:t>qu</w:t>
      </w:r>
      <w:r>
        <w:t xml:space="preserve">e </w:t>
      </w:r>
      <w:r w:rsidR="001F17B8">
        <w:t>l'ensemble des critères suivants</w:t>
      </w:r>
      <w:r w:rsidR="00094A27">
        <w:t xml:space="preserve"> soit </w:t>
      </w:r>
      <w:r w:rsidR="00412834">
        <w:t>réuni</w:t>
      </w:r>
      <w:r w:rsidR="001F17B8">
        <w:t>:</w:t>
      </w:r>
    </w:p>
    <w:p w:rsidR="001F17B8" w:rsidRPr="0012613B" w:rsidRDefault="001F17B8" w:rsidP="003B2AB3">
      <w:pPr>
        <w:pStyle w:val="Point1"/>
        <w:rPr>
          <w:noProof/>
        </w:rPr>
      </w:pPr>
      <w:r>
        <w:t>a)</w:t>
      </w:r>
      <w:r w:rsidR="003B2AB3">
        <w:tab/>
      </w:r>
      <w:r>
        <w:t>l'activité financière est limitée en termes absolus;</w:t>
      </w:r>
    </w:p>
    <w:p w:rsidR="001F17B8" w:rsidRPr="0012613B" w:rsidRDefault="00274539" w:rsidP="003B2AB3">
      <w:pPr>
        <w:pStyle w:val="Point1"/>
        <w:rPr>
          <w:noProof/>
        </w:rPr>
      </w:pPr>
      <w:r>
        <w:br w:type="page"/>
      </w:r>
      <w:r w:rsidR="001F17B8">
        <w:t>b)</w:t>
      </w:r>
      <w:r w:rsidR="003B2AB3">
        <w:tab/>
      </w:r>
      <w:r w:rsidR="001F17B8">
        <w:t>l'activité financière est limitée au niveau des transactions;</w:t>
      </w:r>
    </w:p>
    <w:p w:rsidR="001F17B8" w:rsidRPr="0012613B" w:rsidRDefault="001F17B8" w:rsidP="00F55620">
      <w:pPr>
        <w:pStyle w:val="Point1"/>
        <w:rPr>
          <w:noProof/>
        </w:rPr>
      </w:pPr>
      <w:r>
        <w:t>c)</w:t>
      </w:r>
      <w:r w:rsidR="003B2AB3">
        <w:tab/>
      </w:r>
      <w:r>
        <w:t>l'activité financière n'est pas l'activité principale</w:t>
      </w:r>
      <w:r w:rsidR="00094A27">
        <w:t xml:space="preserve"> de </w:t>
      </w:r>
      <w:r w:rsidR="00F55620">
        <w:t>telles</w:t>
      </w:r>
      <w:r w:rsidR="00094A27">
        <w:t xml:space="preserve"> personnes</w:t>
      </w:r>
      <w:r>
        <w:t>;</w:t>
      </w:r>
    </w:p>
    <w:p w:rsidR="001F17B8" w:rsidRPr="0012613B" w:rsidRDefault="001F17B8" w:rsidP="00F55620">
      <w:pPr>
        <w:pStyle w:val="Point1"/>
        <w:rPr>
          <w:noProof/>
        </w:rPr>
      </w:pPr>
      <w:r>
        <w:t>d)</w:t>
      </w:r>
      <w:r w:rsidR="003B2AB3">
        <w:tab/>
      </w:r>
      <w:r>
        <w:t>l'activité financière est accessoire et directement liée à l'activité principale</w:t>
      </w:r>
      <w:r w:rsidR="00657A24">
        <w:t xml:space="preserve"> de </w:t>
      </w:r>
      <w:r w:rsidR="00F55620">
        <w:t>telles</w:t>
      </w:r>
      <w:r w:rsidR="00657A24">
        <w:t xml:space="preserve"> personnes</w:t>
      </w:r>
      <w:r>
        <w:t>;</w:t>
      </w:r>
    </w:p>
    <w:p w:rsidR="001F17B8" w:rsidRPr="0012613B" w:rsidRDefault="001F17B8" w:rsidP="00F55620">
      <w:pPr>
        <w:pStyle w:val="Point1"/>
        <w:rPr>
          <w:noProof/>
        </w:rPr>
      </w:pPr>
      <w:r>
        <w:t>e)</w:t>
      </w:r>
      <w:r w:rsidR="003B2AB3">
        <w:tab/>
      </w:r>
      <w:r>
        <w:t xml:space="preserve">l'activité principale </w:t>
      </w:r>
      <w:r w:rsidR="00657A24">
        <w:t xml:space="preserve">de </w:t>
      </w:r>
      <w:r w:rsidR="00F55620">
        <w:t>telles</w:t>
      </w:r>
      <w:r w:rsidR="00657A24">
        <w:t xml:space="preserve"> personnes </w:t>
      </w:r>
      <w:r>
        <w:t xml:space="preserve">n'est pas une activité visée au paragraphe 1, </w:t>
      </w:r>
      <w:r w:rsidR="009F293C">
        <w:t>point 3) a) à d) ou f)</w:t>
      </w:r>
      <w:r>
        <w:t>;</w:t>
      </w:r>
    </w:p>
    <w:p w:rsidR="001F17B8" w:rsidRPr="0012613B" w:rsidRDefault="001F17B8" w:rsidP="00F55620">
      <w:pPr>
        <w:pStyle w:val="Point1"/>
        <w:rPr>
          <w:noProof/>
        </w:rPr>
      </w:pPr>
      <w:r>
        <w:t>f)</w:t>
      </w:r>
      <w:r w:rsidR="003B2AB3">
        <w:tab/>
      </w:r>
      <w:r>
        <w:t xml:space="preserve">l'activité financière est exercée pour les seuls clients de l'activité principale </w:t>
      </w:r>
      <w:r w:rsidR="00657A24">
        <w:t xml:space="preserve">de </w:t>
      </w:r>
      <w:r w:rsidR="00F55620">
        <w:t>telles</w:t>
      </w:r>
      <w:r w:rsidR="00657A24">
        <w:t xml:space="preserve"> personnes </w:t>
      </w:r>
      <w:r>
        <w:t>et n'est généralement pas proposée au public.</w:t>
      </w:r>
    </w:p>
    <w:p w:rsidR="001F17B8" w:rsidRPr="0012613B" w:rsidRDefault="001F17B8" w:rsidP="007E1EBF">
      <w:pPr>
        <w:pStyle w:val="Text1"/>
      </w:pPr>
      <w:r>
        <w:t>Le premier alinéa ne s'applique pas aux personnes qui exercent l'activité de transmission de fonds au sens de l'article 4, point 13), de la directive 2007/64/CE du Parlement européen et du Conseil</w:t>
      </w:r>
      <w:r w:rsidRPr="007E1EBF">
        <w:rPr>
          <w:rStyle w:val="FootnoteReference"/>
        </w:rPr>
        <w:footnoteReference w:id="21"/>
      </w:r>
      <w:r w:rsidR="005E336B">
        <w:t>.</w:t>
      </w:r>
    </w:p>
    <w:p w:rsidR="001F17B8" w:rsidRPr="0012613B" w:rsidRDefault="009F293C" w:rsidP="005E336B">
      <w:pPr>
        <w:pStyle w:val="ManualNumPar1"/>
      </w:pPr>
      <w:r>
        <w:t>4</w:t>
      </w:r>
      <w:r w:rsidR="001F17B8">
        <w:t>.</w:t>
      </w:r>
      <w:r w:rsidR="003B2AB3">
        <w:tab/>
      </w:r>
      <w:r w:rsidR="001F17B8">
        <w:t xml:space="preserve">Aux fins du paragraphe </w:t>
      </w:r>
      <w:r>
        <w:t>3</w:t>
      </w:r>
      <w:r w:rsidR="001F17B8">
        <w:t>, point a), les États membres exigent que le chiffre d'affaires total généré par l'activité financière ne dépasse pas un certain seuil</w:t>
      </w:r>
      <w:r w:rsidR="00C27018">
        <w:t xml:space="preserve"> </w:t>
      </w:r>
      <w:r w:rsidR="004D02B4">
        <w:t xml:space="preserve">qui </w:t>
      </w:r>
      <w:r w:rsidR="001F17B8">
        <w:t>doit être suffisamment bas. Ce seuil est fixé au niveau national, en fonction du type d'activité financière.</w:t>
      </w:r>
    </w:p>
    <w:p w:rsidR="001F17B8" w:rsidRPr="0012613B" w:rsidRDefault="005E336B" w:rsidP="005E336B">
      <w:pPr>
        <w:pStyle w:val="ManualNumPar1"/>
      </w:pPr>
      <w:r>
        <w:br w:type="page"/>
      </w:r>
      <w:r w:rsidR="009F293C">
        <w:t>5</w:t>
      </w:r>
      <w:r w:rsidR="001F17B8">
        <w:t>.</w:t>
      </w:r>
      <w:r w:rsidR="003B2AB3">
        <w:tab/>
      </w:r>
      <w:r w:rsidR="001F17B8">
        <w:t xml:space="preserve">Aux fins du paragraphe </w:t>
      </w:r>
      <w:r w:rsidR="009F293C">
        <w:t>3</w:t>
      </w:r>
      <w:r w:rsidR="001F17B8">
        <w:t xml:space="preserve">, point b), les États membres appliquent un seuil maximal par client et par transaction, que la transaction soit </w:t>
      </w:r>
      <w:r w:rsidR="00AC0BE5">
        <w:t>exécutée</w:t>
      </w:r>
      <w:r w:rsidR="0002205F">
        <w:t xml:space="preserve"> </w:t>
      </w:r>
      <w:r w:rsidR="001F17B8">
        <w:t xml:space="preserve">en une fois ou en plusieurs opérations </w:t>
      </w:r>
      <w:r w:rsidR="00684B9C" w:rsidRPr="00686D63">
        <w:t>qui</w:t>
      </w:r>
      <w:r w:rsidR="00684B9C">
        <w:t xml:space="preserve"> semblent être liées</w:t>
      </w:r>
      <w:r w:rsidR="001F17B8">
        <w:t xml:space="preserve">. Ce seuil </w:t>
      </w:r>
      <w:r w:rsidR="003B2AB3">
        <w:t>maxim</w:t>
      </w:r>
      <w:r w:rsidR="0002205F">
        <w:t>al</w:t>
      </w:r>
      <w:r w:rsidR="003B2AB3">
        <w:t xml:space="preserve"> </w:t>
      </w:r>
      <w:r w:rsidR="001F17B8">
        <w:t>est fixé au niveau national, en fonction du type d'activité financière. Il est suffisamment bas pour que les types de transactions en question constituent un</w:t>
      </w:r>
      <w:r w:rsidR="009F293C">
        <w:t>e</w:t>
      </w:r>
      <w:r w:rsidR="001F17B8">
        <w:t xml:space="preserve"> </w:t>
      </w:r>
      <w:r w:rsidR="009F293C">
        <w:t>méthode</w:t>
      </w:r>
      <w:r w:rsidR="001F17B8">
        <w:t xml:space="preserve"> de blanchiment de capitaux ou de financement du terrorisme difficilement utilisable et peu</w:t>
      </w:r>
      <w:r>
        <w:t xml:space="preserve"> efficace, et il ne dépasse pas </w:t>
      </w:r>
      <w:r w:rsidR="001F17B8">
        <w:t>1 000 EUR.</w:t>
      </w:r>
    </w:p>
    <w:p w:rsidR="001F17B8" w:rsidRPr="0012613B" w:rsidRDefault="009F293C" w:rsidP="005E336B">
      <w:pPr>
        <w:pStyle w:val="ManualNumPar1"/>
        <w:rPr>
          <w:noProof/>
        </w:rPr>
      </w:pPr>
      <w:r>
        <w:t>6</w:t>
      </w:r>
      <w:r w:rsidR="001F17B8">
        <w:t>.</w:t>
      </w:r>
      <w:r w:rsidR="003B2AB3">
        <w:tab/>
      </w:r>
      <w:r w:rsidR="001F17B8">
        <w:t xml:space="preserve">Aux fins du paragraphe </w:t>
      </w:r>
      <w:r>
        <w:t>3</w:t>
      </w:r>
      <w:r w:rsidR="001F17B8">
        <w:t>, point c), les États membres exigent que le chiffre d'affaires généré par l'activ</w:t>
      </w:r>
      <w:r w:rsidR="005E336B">
        <w:t>ité financière ne dépasse pas 5 </w:t>
      </w:r>
      <w:r w:rsidR="001F17B8">
        <w:t>% du chiffre d'affaires total de la personne physique ou morale concernée.</w:t>
      </w:r>
    </w:p>
    <w:p w:rsidR="001F17B8" w:rsidRPr="0012613B" w:rsidRDefault="009F293C" w:rsidP="005E336B">
      <w:pPr>
        <w:pStyle w:val="ManualNumPar1"/>
      </w:pPr>
      <w:r>
        <w:t>7</w:t>
      </w:r>
      <w:r w:rsidR="001F17B8">
        <w:t>.</w:t>
      </w:r>
      <w:r w:rsidR="003B2AB3">
        <w:tab/>
      </w:r>
      <w:r w:rsidR="001F17B8">
        <w:t>Lorsqu'ils évaluent le risque de blanchiment de capitaux ou de financement du terrorisme aux fins du présent article, les États membres prêtent une attention particulière à toute activité financière considérée comme particulièrement susceptible, par sa nature, d'être utilisée ou détournée à des fins de blanchiment de capitaux ou de financement du terrorisme.</w:t>
      </w:r>
    </w:p>
    <w:p w:rsidR="001F17B8" w:rsidRPr="0012613B" w:rsidRDefault="009F293C" w:rsidP="005E336B">
      <w:pPr>
        <w:pStyle w:val="ManualNumPar1"/>
      </w:pPr>
      <w:r>
        <w:t>8</w:t>
      </w:r>
      <w:r w:rsidR="001F17B8">
        <w:t>.</w:t>
      </w:r>
      <w:r w:rsidR="003B2AB3">
        <w:tab/>
      </w:r>
      <w:r>
        <w:t xml:space="preserve">Les </w:t>
      </w:r>
      <w:r w:rsidR="001F17B8">
        <w:t>décision</w:t>
      </w:r>
      <w:r>
        <w:t>s</w:t>
      </w:r>
      <w:r w:rsidR="001F17B8">
        <w:t xml:space="preserve"> prise</w:t>
      </w:r>
      <w:r>
        <w:t>s</w:t>
      </w:r>
      <w:r w:rsidR="001F17B8">
        <w:t xml:space="preserve"> par </w:t>
      </w:r>
      <w:r>
        <w:t>les</w:t>
      </w:r>
      <w:r w:rsidR="001F17B8">
        <w:t xml:space="preserve"> État</w:t>
      </w:r>
      <w:r>
        <w:t>s</w:t>
      </w:r>
      <w:r w:rsidR="001F17B8">
        <w:t xml:space="preserve"> membre</w:t>
      </w:r>
      <w:r>
        <w:t>s</w:t>
      </w:r>
      <w:r w:rsidR="001F17B8">
        <w:t xml:space="preserve"> en application du paragraphe </w:t>
      </w:r>
      <w:r w:rsidR="00657A24">
        <w:t>3</w:t>
      </w:r>
      <w:r w:rsidR="001F17B8">
        <w:t xml:space="preserve"> </w:t>
      </w:r>
      <w:r>
        <w:t xml:space="preserve">sont </w:t>
      </w:r>
      <w:r w:rsidR="001F17B8">
        <w:t>dûment motivée</w:t>
      </w:r>
      <w:r>
        <w:t>s</w:t>
      </w:r>
      <w:r w:rsidR="001F17B8">
        <w:t xml:space="preserve">. Les États membres peuvent </w:t>
      </w:r>
      <w:r w:rsidR="00657A24">
        <w:t xml:space="preserve">décider de </w:t>
      </w:r>
      <w:r w:rsidR="001F17B8">
        <w:t xml:space="preserve">retirer </w:t>
      </w:r>
      <w:r>
        <w:t>ces</w:t>
      </w:r>
      <w:r w:rsidR="001F17B8">
        <w:t xml:space="preserve"> décision</w:t>
      </w:r>
      <w:r>
        <w:t>s</w:t>
      </w:r>
      <w:r w:rsidR="001F17B8">
        <w:t xml:space="preserve"> dans le cas où les circonstances changeraient. </w:t>
      </w:r>
      <w:r>
        <w:t>Ils</w:t>
      </w:r>
      <w:r w:rsidR="001F17B8">
        <w:t xml:space="preserve"> </w:t>
      </w:r>
      <w:r w:rsidR="003B2AB3">
        <w:t xml:space="preserve">notifient </w:t>
      </w:r>
      <w:r>
        <w:t>ces</w:t>
      </w:r>
      <w:r w:rsidR="001F17B8">
        <w:t xml:space="preserve"> décision</w:t>
      </w:r>
      <w:r>
        <w:t>s</w:t>
      </w:r>
      <w:r w:rsidR="001F17B8">
        <w:t xml:space="preserve"> à la Commission</w:t>
      </w:r>
      <w:r w:rsidR="003B2AB3">
        <w:t>.</w:t>
      </w:r>
      <w:r w:rsidR="001F17B8">
        <w:t xml:space="preserve"> </w:t>
      </w:r>
      <w:r w:rsidR="003B2AB3">
        <w:t xml:space="preserve">La Commission </w:t>
      </w:r>
      <w:r w:rsidR="001F17B8">
        <w:t>communique</w:t>
      </w:r>
      <w:r w:rsidR="003B2AB3">
        <w:t xml:space="preserve"> ce</w:t>
      </w:r>
      <w:r w:rsidR="006D6A0E">
        <w:t>s</w:t>
      </w:r>
      <w:r w:rsidR="003B2AB3">
        <w:t xml:space="preserve"> décision</w:t>
      </w:r>
      <w:r w:rsidR="006D6A0E">
        <w:t>s</w:t>
      </w:r>
      <w:r w:rsidR="001F17B8">
        <w:t xml:space="preserve"> aux autres États membres.</w:t>
      </w:r>
    </w:p>
    <w:p w:rsidR="001F17B8" w:rsidRPr="0012613B" w:rsidRDefault="006D6A0E" w:rsidP="005E336B">
      <w:pPr>
        <w:pStyle w:val="ManualNumPar1"/>
      </w:pPr>
      <w:r>
        <w:t>9</w:t>
      </w:r>
      <w:r w:rsidR="001F17B8">
        <w:t>.</w:t>
      </w:r>
      <w:r w:rsidR="003B2AB3">
        <w:tab/>
      </w:r>
      <w:r w:rsidR="001F17B8">
        <w:t xml:space="preserve">Les États membres mettent en place des </w:t>
      </w:r>
      <w:r>
        <w:t xml:space="preserve">activités </w:t>
      </w:r>
      <w:r w:rsidR="001F17B8">
        <w:t xml:space="preserve">de </w:t>
      </w:r>
      <w:r w:rsidR="00C91F3C">
        <w:t>contrôle</w:t>
      </w:r>
      <w:r w:rsidR="00E359B3">
        <w:t xml:space="preserve"> </w:t>
      </w:r>
      <w:r w:rsidR="001F17B8">
        <w:t xml:space="preserve">fondées sur les risques ou prennent </w:t>
      </w:r>
      <w:r>
        <w:t>d'</w:t>
      </w:r>
      <w:r w:rsidR="001F17B8">
        <w:t>autre</w:t>
      </w:r>
      <w:r w:rsidR="00E74E87">
        <w:t>s</w:t>
      </w:r>
      <w:r w:rsidR="001F17B8">
        <w:t xml:space="preserve"> mesure</w:t>
      </w:r>
      <w:r w:rsidR="00E74E87">
        <w:t>s</w:t>
      </w:r>
      <w:r w:rsidR="001F17B8">
        <w:t xml:space="preserve"> appropriée</w:t>
      </w:r>
      <w:r w:rsidR="00E74E87">
        <w:t>s</w:t>
      </w:r>
      <w:r w:rsidR="001F17B8">
        <w:t xml:space="preserve"> pour s'assurer que toute </w:t>
      </w:r>
      <w:r w:rsidR="004D02B4">
        <w:t xml:space="preserve">exemption </w:t>
      </w:r>
      <w:r w:rsidR="001F17B8">
        <w:t>accordée par voie de décision</w:t>
      </w:r>
      <w:r>
        <w:t>s</w:t>
      </w:r>
      <w:r w:rsidR="001F17B8">
        <w:t xml:space="preserve"> adoptée</w:t>
      </w:r>
      <w:r>
        <w:t>s</w:t>
      </w:r>
      <w:r w:rsidR="001F17B8">
        <w:t xml:space="preserve"> </w:t>
      </w:r>
      <w:r w:rsidR="0002205F">
        <w:t>en vertu du</w:t>
      </w:r>
      <w:r w:rsidR="001F17B8">
        <w:t xml:space="preserve"> présent article ne fait pas l'objet d'abus.</w:t>
      </w:r>
    </w:p>
    <w:p w:rsidR="001F17B8" w:rsidRPr="00425609" w:rsidRDefault="005E336B" w:rsidP="00274539">
      <w:pPr>
        <w:pStyle w:val="Titrearticle"/>
      </w:pPr>
      <w:r>
        <w:br w:type="page"/>
      </w:r>
      <w:r w:rsidR="001F17B8" w:rsidRPr="00425609">
        <w:t>Article 3</w:t>
      </w:r>
    </w:p>
    <w:p w:rsidR="001F17B8" w:rsidRPr="0012613B" w:rsidRDefault="001F17B8" w:rsidP="001F17B8">
      <w:pPr>
        <w:rPr>
          <w:noProof/>
        </w:rPr>
      </w:pPr>
      <w:r w:rsidRPr="00B7529D">
        <w:t>Aux fins de la présente directive, on entend par:</w:t>
      </w:r>
    </w:p>
    <w:p w:rsidR="001F17B8" w:rsidRDefault="001F17B8" w:rsidP="007E1EBF">
      <w:pPr>
        <w:pStyle w:val="Point0"/>
      </w:pPr>
      <w:r>
        <w:t>1)</w:t>
      </w:r>
      <w:r w:rsidR="003B2AB3">
        <w:tab/>
      </w:r>
      <w:r>
        <w:t>"établissement de crédit", un établissement de crédit au sens de l'article 4, paragraphe 1,</w:t>
      </w:r>
      <w:r w:rsidR="005E336B">
        <w:t xml:space="preserve"> point 1), du règlement (UE) n° </w:t>
      </w:r>
      <w:r>
        <w:t>575/2013 du Parlement européen et du Conseil</w:t>
      </w:r>
      <w:r w:rsidRPr="007E1EBF">
        <w:rPr>
          <w:rStyle w:val="FootnoteReference"/>
        </w:rPr>
        <w:footnoteReference w:id="22"/>
      </w:r>
      <w:r>
        <w:t xml:space="preserve">, </w:t>
      </w:r>
      <w:r w:rsidR="0002205F">
        <w:t>y compris</w:t>
      </w:r>
      <w:r>
        <w:t xml:space="preserve"> ses succursales, au sens de l'article 4, paragraphe 1, point 17), dudit règlement, situé dans l'Union, que son siège </w:t>
      </w:r>
      <w:r w:rsidR="00E74E87">
        <w:t xml:space="preserve">social </w:t>
      </w:r>
      <w:r>
        <w:t>soit situé dans l'Union ou dans un pays tiers;</w:t>
      </w:r>
    </w:p>
    <w:p w:rsidR="003B2AB3" w:rsidRPr="0012613B" w:rsidRDefault="003B2AB3" w:rsidP="003B2AB3">
      <w:pPr>
        <w:pStyle w:val="Point0"/>
      </w:pPr>
      <w:r>
        <w:t>2)</w:t>
      </w:r>
      <w:r>
        <w:tab/>
        <w:t>"établissement financier":</w:t>
      </w:r>
    </w:p>
    <w:p w:rsidR="001F17B8" w:rsidRPr="0012613B" w:rsidRDefault="001F17B8" w:rsidP="007E1EBF">
      <w:pPr>
        <w:pStyle w:val="Point1"/>
      </w:pPr>
      <w:r>
        <w:t>a)</w:t>
      </w:r>
      <w:r w:rsidR="003B2AB3">
        <w:tab/>
      </w:r>
      <w:r>
        <w:t xml:space="preserve">une entreprise, autre qu'un établissement de crédit, qui exerce au moins l'une des activités </w:t>
      </w:r>
      <w:r w:rsidR="007C2555">
        <w:t>énumér</w:t>
      </w:r>
      <w:r>
        <w:t xml:space="preserve">ées </w:t>
      </w:r>
      <w:r w:rsidR="004C683C">
        <w:t xml:space="preserve">à l'annexe I, </w:t>
      </w:r>
      <w:r>
        <w:t>points 2 à 12</w:t>
      </w:r>
      <w:r w:rsidR="004C683C">
        <w:t>,</w:t>
      </w:r>
      <w:r>
        <w:t> 14 et 15</w:t>
      </w:r>
      <w:r w:rsidR="004C683C">
        <w:t>,</w:t>
      </w:r>
      <w:r>
        <w:t xml:space="preserve"> de la directive 2013/36/UE du Parlement européen et du Conseil</w:t>
      </w:r>
      <w:r w:rsidRPr="007E1EBF">
        <w:rPr>
          <w:rStyle w:val="FootnoteReference"/>
        </w:rPr>
        <w:footnoteReference w:id="23"/>
      </w:r>
      <w:r>
        <w:t>, y compris les activités de bureau de change;</w:t>
      </w:r>
    </w:p>
    <w:p w:rsidR="001F17B8" w:rsidRPr="0012613B" w:rsidRDefault="001F17B8" w:rsidP="007E1EBF">
      <w:pPr>
        <w:pStyle w:val="Point1"/>
      </w:pPr>
      <w:r>
        <w:t>b)</w:t>
      </w:r>
      <w:r w:rsidR="003B2AB3">
        <w:tab/>
      </w:r>
      <w:r>
        <w:t xml:space="preserve">une </w:t>
      </w:r>
      <w:r w:rsidR="004C683C">
        <w:t xml:space="preserve">entreprise </w:t>
      </w:r>
      <w:r>
        <w:t>d'assurance au sens de l'article 13, point 1), de la directive 2009/138/CE du Parlement européen et du Conseil</w:t>
      </w:r>
      <w:r w:rsidRPr="007E1EBF">
        <w:rPr>
          <w:rStyle w:val="FootnoteReference"/>
        </w:rPr>
        <w:footnoteReference w:id="24"/>
      </w:r>
      <w:r>
        <w:t xml:space="preserve">, dans la mesure où elle effectue des activités d'assurance vie </w:t>
      </w:r>
      <w:r w:rsidR="004D02B4">
        <w:t>régies</w:t>
      </w:r>
      <w:r w:rsidR="004C683C">
        <w:t xml:space="preserve"> </w:t>
      </w:r>
      <w:r>
        <w:t>par ladite directive;</w:t>
      </w:r>
    </w:p>
    <w:p w:rsidR="001F17B8" w:rsidRPr="0012613B" w:rsidRDefault="005E336B" w:rsidP="007E1EBF">
      <w:pPr>
        <w:pStyle w:val="Point1"/>
      </w:pPr>
      <w:r>
        <w:br w:type="page"/>
      </w:r>
      <w:r w:rsidR="001F17B8">
        <w:t>c)</w:t>
      </w:r>
      <w:r w:rsidR="003B2AB3">
        <w:tab/>
      </w:r>
      <w:r w:rsidR="001F17B8">
        <w:t>une entreprise d'investissement au sens de l'article 4, paragraphe 1, point 1), de la directive 2004/39/CE du Parlement européen et du Conseil</w:t>
      </w:r>
      <w:r w:rsidR="001F17B8" w:rsidRPr="007E1EBF">
        <w:rPr>
          <w:rStyle w:val="FootnoteReference"/>
        </w:rPr>
        <w:footnoteReference w:id="25"/>
      </w:r>
      <w:r w:rsidR="001F17B8">
        <w:t>;</w:t>
      </w:r>
    </w:p>
    <w:p w:rsidR="001F17B8" w:rsidRPr="0012613B" w:rsidRDefault="001F17B8" w:rsidP="003B2AB3">
      <w:pPr>
        <w:pStyle w:val="Point1"/>
      </w:pPr>
      <w:r>
        <w:t>d)</w:t>
      </w:r>
      <w:r w:rsidR="003B2AB3">
        <w:tab/>
      </w:r>
      <w:r>
        <w:t>un organisme de placement collectif qui commercialise ses parts ou ses actions;</w:t>
      </w:r>
    </w:p>
    <w:p w:rsidR="001F17B8" w:rsidRPr="0012613B" w:rsidRDefault="003B2AB3" w:rsidP="007E1EBF">
      <w:pPr>
        <w:pStyle w:val="Point1"/>
      </w:pPr>
      <w:r>
        <w:t>e)</w:t>
      </w:r>
      <w:r>
        <w:tab/>
      </w:r>
      <w:r w:rsidR="001F17B8">
        <w:t>un intermédiaire d'assurance au sens de l'article 2, point 5), de la directive 2002/92/CE du Parlement européen et du Conseil</w:t>
      </w:r>
      <w:r w:rsidR="001F17B8" w:rsidRPr="007E1EBF">
        <w:rPr>
          <w:rStyle w:val="FootnoteReference"/>
        </w:rPr>
        <w:footnoteReference w:id="26"/>
      </w:r>
      <w:r w:rsidR="001F17B8">
        <w:t xml:space="preserve"> lorsqu'il s'occupe d'assurance vie et d'autres services liés à des placements, à l'exception d</w:t>
      </w:r>
      <w:r w:rsidR="00425609">
        <w:t>'un</w:t>
      </w:r>
      <w:r w:rsidR="001F17B8">
        <w:t xml:space="preserve"> intermédiaire</w:t>
      </w:r>
      <w:r w:rsidR="00425609">
        <w:t xml:space="preserve"> d'assurance lié</w:t>
      </w:r>
      <w:r w:rsidR="001F17B8">
        <w:t xml:space="preserve"> </w:t>
      </w:r>
      <w:r w:rsidR="00657A24">
        <w:t>au sens d</w:t>
      </w:r>
      <w:r w:rsidR="00022F74">
        <w:t>u</w:t>
      </w:r>
      <w:r w:rsidR="001F17B8">
        <w:t xml:space="preserve"> point 7), d</w:t>
      </w:r>
      <w:r w:rsidR="00022F74">
        <w:t>udit</w:t>
      </w:r>
      <w:r w:rsidR="001F17B8">
        <w:t xml:space="preserve"> </w:t>
      </w:r>
      <w:r w:rsidR="00022F74">
        <w:t>article</w:t>
      </w:r>
      <w:r w:rsidR="001F17B8">
        <w:t>;</w:t>
      </w:r>
    </w:p>
    <w:p w:rsidR="001F17B8" w:rsidRPr="0012613B" w:rsidRDefault="001F17B8" w:rsidP="007C2555">
      <w:pPr>
        <w:pStyle w:val="Point1"/>
      </w:pPr>
      <w:r>
        <w:t>f)</w:t>
      </w:r>
      <w:r w:rsidR="003B2AB3">
        <w:tab/>
      </w:r>
      <w:r>
        <w:t xml:space="preserve">les succursales, </w:t>
      </w:r>
      <w:r w:rsidR="007C2555">
        <w:t>situées</w:t>
      </w:r>
      <w:r>
        <w:t xml:space="preserve"> dans l'Union, des établissements financiers visés aux points a) à e), que leur siège social se situe dans</w:t>
      </w:r>
      <w:r w:rsidR="00425609">
        <w:t xml:space="preserve"> un État membre ou dans un pays tiers</w:t>
      </w:r>
      <w:r>
        <w:t>;</w:t>
      </w:r>
    </w:p>
    <w:p w:rsidR="001F17B8" w:rsidRPr="0012613B" w:rsidRDefault="003B2AB3" w:rsidP="003B2AB3">
      <w:pPr>
        <w:pStyle w:val="Point0"/>
      </w:pPr>
      <w:r>
        <w:t>3)</w:t>
      </w:r>
      <w:r>
        <w:tab/>
      </w:r>
      <w:r w:rsidR="001F17B8">
        <w:t>"biens", les actifs de toute nature, corporels ou incorporels, meubles ou immeubles, tangibles ou intangibles, ainsi que les documents ou instruments juridiques, sous quelque forme que ce soit, y compris électronique ou numérique, attestant la propriété de ces actifs ou de droits y afférents;</w:t>
      </w:r>
    </w:p>
    <w:p w:rsidR="001F17B8" w:rsidRPr="0012613B" w:rsidRDefault="001F17B8" w:rsidP="003B2AB3">
      <w:pPr>
        <w:pStyle w:val="Point0"/>
      </w:pPr>
      <w:r>
        <w:t>4)</w:t>
      </w:r>
      <w:r w:rsidR="003B2AB3">
        <w:tab/>
      </w:r>
      <w:r>
        <w:t>"activité criminelle", tout type de participation criminelle à la réalisation des infractions graves suivantes:</w:t>
      </w:r>
    </w:p>
    <w:p w:rsidR="001F17B8" w:rsidRPr="0012613B" w:rsidRDefault="001F17B8" w:rsidP="00425609">
      <w:pPr>
        <w:pStyle w:val="Point1"/>
        <w:rPr>
          <w:noProof/>
        </w:rPr>
      </w:pPr>
      <w:r>
        <w:t>a)</w:t>
      </w:r>
      <w:r w:rsidR="003B2AB3">
        <w:tab/>
      </w:r>
      <w:r>
        <w:t xml:space="preserve">les actes </w:t>
      </w:r>
      <w:r w:rsidR="00425609">
        <w:t xml:space="preserve">énoncés </w:t>
      </w:r>
      <w:r>
        <w:t>aux articles 1</w:t>
      </w:r>
      <w:r>
        <w:rPr>
          <w:vertAlign w:val="superscript"/>
        </w:rPr>
        <w:t>er</w:t>
      </w:r>
      <w:r>
        <w:t xml:space="preserve"> à 4 de la décision-cadre 2002/475/JAI;</w:t>
      </w:r>
    </w:p>
    <w:p w:rsidR="001F17B8" w:rsidRPr="0012613B" w:rsidRDefault="005E336B" w:rsidP="003B2AB3">
      <w:pPr>
        <w:pStyle w:val="Point1"/>
      </w:pPr>
      <w:r>
        <w:br w:type="page"/>
      </w:r>
      <w:r w:rsidR="001F17B8">
        <w:t>b)</w:t>
      </w:r>
      <w:r w:rsidR="003B2AB3">
        <w:tab/>
      </w:r>
      <w:r w:rsidR="001F17B8">
        <w:t>toutes les infractions visées à l'article 3, paragraphe 1,</w:t>
      </w:r>
      <w:r w:rsidR="007E1EBF">
        <w:t xml:space="preserve"> point a), de la Convention des Nations </w:t>
      </w:r>
      <w:r w:rsidR="001F17B8">
        <w:t>unies de 1988 contre le trafic illicite de stupéfiants et de substances psychotropes;</w:t>
      </w:r>
    </w:p>
    <w:p w:rsidR="001F17B8" w:rsidRPr="0012613B" w:rsidRDefault="001F17B8" w:rsidP="007E1EBF">
      <w:pPr>
        <w:pStyle w:val="Point1"/>
        <w:rPr>
          <w:noProof/>
        </w:rPr>
      </w:pPr>
      <w:r>
        <w:t>c)</w:t>
      </w:r>
      <w:r w:rsidR="003B2AB3">
        <w:tab/>
      </w:r>
      <w:r>
        <w:t xml:space="preserve">les activités des organisations criminelles, </w:t>
      </w:r>
      <w:r w:rsidR="007C2555">
        <w:t>telles que définies à</w:t>
      </w:r>
      <w:r>
        <w:t xml:space="preserve"> l'article 1</w:t>
      </w:r>
      <w:r>
        <w:rPr>
          <w:vertAlign w:val="superscript"/>
        </w:rPr>
        <w:t>er</w:t>
      </w:r>
      <w:r>
        <w:t xml:space="preserve"> de l'action commune 98/733/JAI du Conseil</w:t>
      </w:r>
      <w:r w:rsidRPr="007E1EBF">
        <w:rPr>
          <w:rStyle w:val="FootnoteReference"/>
        </w:rPr>
        <w:footnoteReference w:id="27"/>
      </w:r>
      <w:r>
        <w:t>;</w:t>
      </w:r>
    </w:p>
    <w:p w:rsidR="001F17B8" w:rsidRPr="0012613B" w:rsidRDefault="001F17B8" w:rsidP="007E1EBF">
      <w:pPr>
        <w:pStyle w:val="Point1"/>
      </w:pPr>
      <w:r>
        <w:t>d)</w:t>
      </w:r>
      <w:r w:rsidR="003B2AB3">
        <w:tab/>
      </w:r>
      <w:r>
        <w:t>la fraude</w:t>
      </w:r>
      <w:r w:rsidR="00D96757">
        <w:t xml:space="preserve"> portant atteinte aux intérêts financiers de l'Union</w:t>
      </w:r>
      <w:r>
        <w:t>, au moins la fraude grave, au sens de l'article 1</w:t>
      </w:r>
      <w:r>
        <w:rPr>
          <w:vertAlign w:val="superscript"/>
        </w:rPr>
        <w:t>er</w:t>
      </w:r>
      <w:r>
        <w:t>, paragraphe 1, et de l'article 2</w:t>
      </w:r>
      <w:r w:rsidR="00425609">
        <w:t>, paragraphe 1,</w:t>
      </w:r>
      <w:r w:rsidR="007E1EBF">
        <w:t xml:space="preserve"> de </w:t>
      </w:r>
      <w:r>
        <w:t>la</w:t>
      </w:r>
      <w:r w:rsidR="007E1EBF">
        <w:t xml:space="preserve"> </w:t>
      </w:r>
      <w:r>
        <w:t>convention relative à la protection des intérêts financiers des Communautés européennes</w:t>
      </w:r>
      <w:r w:rsidRPr="007E1EBF">
        <w:rPr>
          <w:rStyle w:val="FootnoteReference"/>
        </w:rPr>
        <w:footnoteReference w:id="28"/>
      </w:r>
      <w:r>
        <w:t>;</w:t>
      </w:r>
    </w:p>
    <w:p w:rsidR="001F17B8" w:rsidRPr="0012613B" w:rsidRDefault="001F17B8" w:rsidP="003B2AB3">
      <w:pPr>
        <w:pStyle w:val="Point1"/>
      </w:pPr>
      <w:r>
        <w:t>e)</w:t>
      </w:r>
      <w:r w:rsidR="003B2AB3">
        <w:tab/>
      </w:r>
      <w:r>
        <w:t>la corruption;</w:t>
      </w:r>
    </w:p>
    <w:p w:rsidR="001F17B8" w:rsidRPr="0012613B" w:rsidRDefault="003B2AB3" w:rsidP="00FC0A38">
      <w:pPr>
        <w:pStyle w:val="Point1"/>
      </w:pPr>
      <w:r>
        <w:t>f)</w:t>
      </w:r>
      <w:r>
        <w:tab/>
      </w:r>
      <w:r w:rsidR="001F17B8">
        <w:t>toutes les infractions, y compris les infractions fiscales pénales</w:t>
      </w:r>
      <w:r w:rsidR="00657A24" w:rsidRPr="00657A24">
        <w:t xml:space="preserve"> </w:t>
      </w:r>
      <w:r w:rsidR="00FC0A38">
        <w:t>liées</w:t>
      </w:r>
      <w:r w:rsidR="00412834">
        <w:t xml:space="preserve"> </w:t>
      </w:r>
      <w:r w:rsidR="00657A24">
        <w:t>aux impôts directs et indirects et</w:t>
      </w:r>
      <w:r w:rsidR="001F17B8">
        <w:t xml:space="preserve"> </w:t>
      </w:r>
      <w:r w:rsidR="00D21EC4">
        <w:t>telles que définies par le</w:t>
      </w:r>
      <w:r w:rsidR="00496F07">
        <w:t xml:space="preserve"> droit</w:t>
      </w:r>
      <w:r w:rsidR="001F17B8">
        <w:t xml:space="preserve"> national des États membres, </w:t>
      </w:r>
      <w:r w:rsidR="0058498C">
        <w:t xml:space="preserve">qui sont </w:t>
      </w:r>
      <w:r w:rsidR="001F17B8">
        <w:t>punis</w:t>
      </w:r>
      <w:r w:rsidR="0058498C">
        <w:t>sables</w:t>
      </w:r>
      <w:r w:rsidR="001F17B8">
        <w:t xml:space="preserve"> d'une peine privative de liberté ou d'une mesure de sûreté d'une durée maximale supérieure à un an ou, dans les États </w:t>
      </w:r>
      <w:r w:rsidR="007C2555">
        <w:t xml:space="preserve">membres </w:t>
      </w:r>
      <w:r w:rsidR="001F17B8">
        <w:t>dont le système juridique prévoit un seuil minim</w:t>
      </w:r>
      <w:r w:rsidR="00412834">
        <w:t>al</w:t>
      </w:r>
      <w:r w:rsidR="001F17B8">
        <w:t xml:space="preserve"> pour les infractions, toutes les infractions </w:t>
      </w:r>
      <w:r w:rsidR="00D21EC4">
        <w:t xml:space="preserve">qui sont </w:t>
      </w:r>
      <w:r w:rsidR="001F17B8">
        <w:t>puni</w:t>
      </w:r>
      <w:r w:rsidR="00D21EC4">
        <w:t>ssables</w:t>
      </w:r>
      <w:r w:rsidR="001F17B8">
        <w:t xml:space="preserve"> d'une peine privative de liberté ou d'une mesure de sûreté d'une durée minimale supérieure à six mois;</w:t>
      </w:r>
    </w:p>
    <w:p w:rsidR="001F17B8" w:rsidRPr="0012613B" w:rsidRDefault="00425609">
      <w:pPr>
        <w:pStyle w:val="Point0"/>
        <w:rPr>
          <w:highlight w:val="cyan"/>
        </w:rPr>
      </w:pPr>
      <w:r>
        <w:t>5</w:t>
      </w:r>
      <w:r w:rsidR="003B2AB3">
        <w:t>)</w:t>
      </w:r>
      <w:r w:rsidR="003B2AB3">
        <w:tab/>
      </w:r>
      <w:r w:rsidR="001F17B8">
        <w:t>"organisme d'autorégulation", un organisme qui représente les membres d</w:t>
      </w:r>
      <w:r w:rsidR="00496F07">
        <w:t>'un</w:t>
      </w:r>
      <w:r w:rsidR="001F17B8">
        <w:t xml:space="preserve">e profession et joue un rôle pour édicter des règles les concernant, assurer certaines fonctions de </w:t>
      </w:r>
      <w:r w:rsidR="007C2555">
        <w:t xml:space="preserve">contrôle ou de </w:t>
      </w:r>
      <w:r w:rsidR="00E359B3">
        <w:t xml:space="preserve">surveillance </w:t>
      </w:r>
      <w:r w:rsidR="001F17B8">
        <w:t>et veiller au respect des règles</w:t>
      </w:r>
      <w:r w:rsidR="00496F07">
        <w:t xml:space="preserve"> les concernant</w:t>
      </w:r>
      <w:r w:rsidR="001F17B8">
        <w:t>;</w:t>
      </w:r>
    </w:p>
    <w:p w:rsidR="001F17B8" w:rsidRPr="0012613B" w:rsidRDefault="005E336B" w:rsidP="00496F07">
      <w:pPr>
        <w:pStyle w:val="Point0"/>
      </w:pPr>
      <w:r>
        <w:br w:type="page"/>
      </w:r>
      <w:r w:rsidR="00D96757">
        <w:t>6</w:t>
      </w:r>
      <w:r w:rsidR="001F17B8">
        <w:t>)</w:t>
      </w:r>
      <w:r w:rsidR="003B2AB3">
        <w:tab/>
      </w:r>
      <w:r w:rsidR="001F17B8">
        <w:t xml:space="preserve">"bénéficiaire effectif", la ou les personnes physiques qui, en dernier ressort, possèdent ou contrôlent le client </w:t>
      </w:r>
      <w:r w:rsidR="00657A24">
        <w:t>et/</w:t>
      </w:r>
      <w:r w:rsidR="001F17B8">
        <w:t xml:space="preserve">ou la ou les personnes physiques pour lesquelles une transaction est </w:t>
      </w:r>
      <w:r w:rsidR="001F17B8" w:rsidRPr="007C2555">
        <w:t>exécutée</w:t>
      </w:r>
      <w:r w:rsidR="001F17B8">
        <w:t>, ou une activité réalisée, et qui comprend au moins:</w:t>
      </w:r>
    </w:p>
    <w:p w:rsidR="001F17B8" w:rsidRPr="0012613B" w:rsidRDefault="001F17B8" w:rsidP="003B2AB3">
      <w:pPr>
        <w:pStyle w:val="Point1"/>
      </w:pPr>
      <w:r>
        <w:t>a)</w:t>
      </w:r>
      <w:r w:rsidR="003B2AB3">
        <w:tab/>
      </w:r>
      <w:r>
        <w:t>dans le cas des sociétés:</w:t>
      </w:r>
    </w:p>
    <w:p w:rsidR="001F17B8" w:rsidRPr="0012613B" w:rsidRDefault="001F17B8" w:rsidP="007E1EBF">
      <w:pPr>
        <w:pStyle w:val="Point2"/>
      </w:pPr>
      <w:r>
        <w:t>i)</w:t>
      </w:r>
      <w:r w:rsidR="003B2AB3">
        <w:tab/>
      </w:r>
      <w:r>
        <w:t xml:space="preserve">la ou les personnes physiques qui, en dernier ressort, possèdent ou contrôlent une entité juridique, du fait qu'elles possèdent directement ou indirectement un pourcentage suffisant d'actions ou de droits de vote ou </w:t>
      </w:r>
      <w:r w:rsidR="00C67FEC">
        <w:t>d'</w:t>
      </w:r>
      <w:r>
        <w:t xml:space="preserve">une participation au capital dans cette entité, y compris par le biais d'actions au porteur ou d'un contrôle par d'autres moyens, autre qu'une société cotée sur un marché réglementé qui est soumise à des obligations de publicité </w:t>
      </w:r>
      <w:r w:rsidR="00D96757">
        <w:t>compatibles avec le</w:t>
      </w:r>
      <w:r>
        <w:t xml:space="preserve"> droit de l'Union ou </w:t>
      </w:r>
      <w:r w:rsidR="00C67FEC">
        <w:t>soumise à</w:t>
      </w:r>
      <w:r w:rsidR="007E1EBF">
        <w:t xml:space="preserve"> </w:t>
      </w:r>
      <w:r>
        <w:t>des</w:t>
      </w:r>
      <w:r w:rsidR="007E1EBF">
        <w:t xml:space="preserve"> </w:t>
      </w:r>
      <w:r>
        <w:t xml:space="preserve">normes internationales équivalentes qui garantissent la transparence </w:t>
      </w:r>
      <w:r w:rsidR="00C67FEC">
        <w:t>adéquate</w:t>
      </w:r>
      <w:r>
        <w:t xml:space="preserve"> pour les informations relatives à la propriété.</w:t>
      </w:r>
    </w:p>
    <w:p w:rsidR="001F17B8" w:rsidRPr="0012613B" w:rsidRDefault="00274539" w:rsidP="007E1EBF">
      <w:pPr>
        <w:pStyle w:val="Text3"/>
      </w:pPr>
      <w:r>
        <w:br w:type="page"/>
      </w:r>
      <w:r w:rsidR="001F17B8">
        <w:t>Une participation dans</w:t>
      </w:r>
      <w:r w:rsidR="005E336B">
        <w:t xml:space="preserve"> l'actionnariat à hauteur de 25 </w:t>
      </w:r>
      <w:r w:rsidR="001F17B8">
        <w:t>% des actions plus une ou un</w:t>
      </w:r>
      <w:r w:rsidR="00C67FEC">
        <w:t>e</w:t>
      </w:r>
      <w:r w:rsidR="001F17B8">
        <w:t xml:space="preserve"> </w:t>
      </w:r>
      <w:r w:rsidR="00C67FEC">
        <w:t>participation au capital</w:t>
      </w:r>
      <w:r w:rsidR="001F17B8">
        <w:t xml:space="preserve"> de plus de 25 % dans le client, détenu par une personne physique, est un signe de propriété directe</w:t>
      </w:r>
      <w:r w:rsidR="003B2AB3">
        <w:t>.</w:t>
      </w:r>
      <w:r w:rsidR="001F17B8">
        <w:t xml:space="preserve"> </w:t>
      </w:r>
      <w:r w:rsidR="003B2AB3">
        <w:t>U</w:t>
      </w:r>
      <w:r w:rsidR="001F17B8">
        <w:t>ne participation dans</w:t>
      </w:r>
      <w:r w:rsidR="005E336B">
        <w:t xml:space="preserve"> l'actionnariat à hauteur de 25 </w:t>
      </w:r>
      <w:r w:rsidR="001F17B8">
        <w:t>% des actions plus une ou un</w:t>
      </w:r>
      <w:r w:rsidR="00C67FEC">
        <w:t>e</w:t>
      </w:r>
      <w:r w:rsidR="001F17B8">
        <w:t xml:space="preserve"> </w:t>
      </w:r>
      <w:r w:rsidR="00C67FEC">
        <w:t>participation au capital</w:t>
      </w:r>
      <w:r w:rsidR="001F17B8">
        <w:t xml:space="preserve"> </w:t>
      </w:r>
      <w:r w:rsidR="005E336B">
        <w:t>de plus de 25 </w:t>
      </w:r>
      <w:r w:rsidR="001F17B8">
        <w:t xml:space="preserve">% dans le client, détenu par une société, </w:t>
      </w:r>
      <w:r w:rsidR="00C67FEC">
        <w:t xml:space="preserve">qui est </w:t>
      </w:r>
      <w:r w:rsidR="001F17B8">
        <w:t xml:space="preserve">contrôlée par une ou plusieurs personnes physiques, ou par plusieurs sociétés, </w:t>
      </w:r>
      <w:r w:rsidR="00C67FEC">
        <w:t xml:space="preserve">qui sont </w:t>
      </w:r>
      <w:r w:rsidR="001F17B8">
        <w:t>contrôlées par la ou les mêmes personnes physiques, est un signe de propriété indirecte. Ceci s'applique sans préjudice du droit des États membres de décider qu'un pourcentage plus bas peut être un signe de propriété ou de contrôle.</w:t>
      </w:r>
      <w:r w:rsidR="00684B9C">
        <w:t xml:space="preserve"> </w:t>
      </w:r>
      <w:r w:rsidR="001F17B8">
        <w:t xml:space="preserve">Le contrôle par d'autres moyens peut être établi notamment </w:t>
      </w:r>
      <w:r w:rsidR="00425609">
        <w:t>conformément aux</w:t>
      </w:r>
      <w:r w:rsidR="001F17B8">
        <w:t xml:space="preserve"> critères visés à l'article 22, paragraphes 1 à 5, de la directive 2013/34/UE du Parlement européen et du Conseil</w:t>
      </w:r>
      <w:r w:rsidR="001F17B8" w:rsidRPr="007E1EBF">
        <w:rPr>
          <w:rStyle w:val="FootnoteReference"/>
        </w:rPr>
        <w:footnoteReference w:id="29"/>
      </w:r>
      <w:r w:rsidR="001F17B8">
        <w:t>;</w:t>
      </w:r>
    </w:p>
    <w:p w:rsidR="001F17B8" w:rsidRPr="0012613B" w:rsidRDefault="001F17B8" w:rsidP="00A540D9">
      <w:pPr>
        <w:pStyle w:val="Point2"/>
      </w:pPr>
      <w:r>
        <w:t>ii)</w:t>
      </w:r>
      <w:r w:rsidR="003B2AB3">
        <w:tab/>
      </w:r>
      <w:r>
        <w:t>si, après avoir épuisé tous les moyens possibles et pour autan</w:t>
      </w:r>
      <w:r w:rsidR="005E336B">
        <w:t xml:space="preserve">t qu'il n'y ait pas de motif de </w:t>
      </w:r>
      <w:r>
        <w:t>suspicion, aucune des personnes visées au point i) n'est identifiée, ou s'il n'est pas certain que la ou les personnes identifiées soient les bénéficiaires effectifs, la</w:t>
      </w:r>
      <w:r w:rsidR="005E336B">
        <w:t xml:space="preserve"> ou les personnes physiques qui </w:t>
      </w:r>
      <w:r>
        <w:t xml:space="preserve">occupent </w:t>
      </w:r>
      <w:r w:rsidR="00AC0BE5">
        <w:t>la position de dirigeant principal</w:t>
      </w:r>
      <w:r>
        <w:t xml:space="preserve">; les </w:t>
      </w:r>
      <w:r w:rsidR="00870FFE">
        <w:t>entités assujetties</w:t>
      </w:r>
      <w:r>
        <w:t xml:space="preserve"> conservent les informations relatives aux mesures qui ont été prises afin d'identifier le</w:t>
      </w:r>
      <w:r w:rsidR="00D46885">
        <w:t>s</w:t>
      </w:r>
      <w:r>
        <w:t xml:space="preserve"> bénéficiaire</w:t>
      </w:r>
      <w:r w:rsidR="00D46885">
        <w:t>s</w:t>
      </w:r>
      <w:r>
        <w:t xml:space="preserve"> effectif</w:t>
      </w:r>
      <w:r w:rsidR="00D46885">
        <w:t>s</w:t>
      </w:r>
      <w:r>
        <w:t xml:space="preserve"> dans le cadre du point i) et du présent point</w:t>
      </w:r>
      <w:r w:rsidR="00A540D9">
        <w:t>;</w:t>
      </w:r>
    </w:p>
    <w:p w:rsidR="001F17B8" w:rsidRPr="0012613B" w:rsidRDefault="00274539" w:rsidP="003B2AB3">
      <w:pPr>
        <w:pStyle w:val="Point1"/>
        <w:rPr>
          <w:noProof/>
        </w:rPr>
      </w:pPr>
      <w:r>
        <w:br w:type="page"/>
      </w:r>
      <w:r w:rsidR="003B2AB3">
        <w:t>b)</w:t>
      </w:r>
      <w:r w:rsidR="003B2AB3">
        <w:tab/>
      </w:r>
      <w:r w:rsidR="001F17B8">
        <w:t xml:space="preserve">dans le cas des </w:t>
      </w:r>
      <w:r w:rsidR="001F17B8" w:rsidRPr="00425609">
        <w:t>fiducies</w:t>
      </w:r>
      <w:r w:rsidR="00870FFE">
        <w:t>/trusts</w:t>
      </w:r>
      <w:r w:rsidR="001F17B8">
        <w:t>:</w:t>
      </w:r>
    </w:p>
    <w:p w:rsidR="001F17B8" w:rsidRPr="0012613B" w:rsidRDefault="005E336B" w:rsidP="003B2AB3">
      <w:pPr>
        <w:pStyle w:val="Point2"/>
        <w:rPr>
          <w:noProof/>
        </w:rPr>
      </w:pPr>
      <w:r>
        <w:t>i)</w:t>
      </w:r>
      <w:r w:rsidR="00BF5924">
        <w:tab/>
      </w:r>
      <w:r w:rsidR="001F17B8">
        <w:t>le constituant;</w:t>
      </w:r>
    </w:p>
    <w:p w:rsidR="001F17B8" w:rsidRPr="0012613B" w:rsidRDefault="005E336B" w:rsidP="003B2AB3">
      <w:pPr>
        <w:pStyle w:val="Point2"/>
        <w:rPr>
          <w:noProof/>
        </w:rPr>
      </w:pPr>
      <w:r>
        <w:t>ii)</w:t>
      </w:r>
      <w:r w:rsidR="00BF5924">
        <w:tab/>
      </w:r>
      <w:r w:rsidR="001F17B8">
        <w:t>le ou les fiduciaires</w:t>
      </w:r>
      <w:r w:rsidR="00870FFE">
        <w:t>/trustee</w:t>
      </w:r>
      <w:r w:rsidR="00A50883">
        <w:t>s</w:t>
      </w:r>
      <w:r w:rsidR="001F17B8">
        <w:t>;</w:t>
      </w:r>
    </w:p>
    <w:p w:rsidR="001F17B8" w:rsidRPr="0012613B" w:rsidRDefault="001F17B8" w:rsidP="00B7529D">
      <w:pPr>
        <w:pStyle w:val="Point2"/>
      </w:pPr>
      <w:r>
        <w:t>ii</w:t>
      </w:r>
      <w:r w:rsidR="00B7529D">
        <w:t>i</w:t>
      </w:r>
      <w:r w:rsidR="005E336B">
        <w:t>)</w:t>
      </w:r>
      <w:r w:rsidR="00BF5924">
        <w:tab/>
      </w:r>
      <w:r>
        <w:t>le protecteur, le cas échéant;</w:t>
      </w:r>
    </w:p>
    <w:p w:rsidR="001F17B8" w:rsidRPr="0012613B" w:rsidRDefault="001F17B8" w:rsidP="005E336B">
      <w:pPr>
        <w:pStyle w:val="Point2"/>
      </w:pPr>
      <w:r>
        <w:t>i</w:t>
      </w:r>
      <w:r w:rsidR="00B7529D">
        <w:t>v</w:t>
      </w:r>
      <w:r w:rsidR="005E336B">
        <w:t>)</w:t>
      </w:r>
      <w:r w:rsidR="005E336B">
        <w:tab/>
      </w:r>
      <w:r>
        <w:t>les bénéficiaires ou, lorsque les personnes qui seront les bénéficiaires de la construction ou de</w:t>
      </w:r>
      <w:r w:rsidR="005E336B">
        <w:t xml:space="preserve"> </w:t>
      </w:r>
      <w:r>
        <w:t>l'entité juridique n'ont pas encore été désignées, la catégorie de personnes dans l'intérêt principal de laquelle la construction ou l'entité juridique a été constituée ou opère;</w:t>
      </w:r>
    </w:p>
    <w:p w:rsidR="001F17B8" w:rsidRPr="0012613B" w:rsidRDefault="005E336B" w:rsidP="00D96757">
      <w:pPr>
        <w:pStyle w:val="Point2"/>
      </w:pPr>
      <w:r>
        <w:t>v)</w:t>
      </w:r>
      <w:r w:rsidR="00BF5924">
        <w:tab/>
      </w:r>
      <w:r w:rsidR="001F17B8">
        <w:t xml:space="preserve">toute autre personne physique exerçant le contrôle </w:t>
      </w:r>
      <w:r w:rsidR="00D96757">
        <w:t xml:space="preserve">en dernier ressort </w:t>
      </w:r>
      <w:r w:rsidR="001F17B8">
        <w:t xml:space="preserve">sur </w:t>
      </w:r>
      <w:r w:rsidR="001F17B8" w:rsidRPr="00B7529D">
        <w:t xml:space="preserve">la </w:t>
      </w:r>
      <w:r w:rsidR="001F17B8" w:rsidRPr="00A50883">
        <w:t>fiducie</w:t>
      </w:r>
      <w:r w:rsidR="00870FFE" w:rsidRPr="00A50883">
        <w:t>/</w:t>
      </w:r>
      <w:r w:rsidR="00A50883">
        <w:t xml:space="preserve">le </w:t>
      </w:r>
      <w:r w:rsidR="00870FFE" w:rsidRPr="00A50883">
        <w:t>trust</w:t>
      </w:r>
      <w:r w:rsidR="001F17B8">
        <w:t xml:space="preserve"> par propriété directe ou indirecte ou par d'autres moyens</w:t>
      </w:r>
      <w:r w:rsidR="00B7529D">
        <w:t>;</w:t>
      </w:r>
    </w:p>
    <w:p w:rsidR="001F17B8" w:rsidRPr="0012613B" w:rsidRDefault="003B2AB3" w:rsidP="00671D32">
      <w:pPr>
        <w:pStyle w:val="Point1"/>
        <w:rPr>
          <w:noProof/>
        </w:rPr>
      </w:pPr>
      <w:r>
        <w:t>c)</w:t>
      </w:r>
      <w:r>
        <w:tab/>
      </w:r>
      <w:r w:rsidR="001F17B8">
        <w:t>pour les entités juridiques telles que les fondations, et les constructions juridiques similaires à des </w:t>
      </w:r>
      <w:r w:rsidR="001F17B8" w:rsidRPr="00B7529D">
        <w:t>fiducies</w:t>
      </w:r>
      <w:r w:rsidR="00870FFE">
        <w:t>/trusts</w:t>
      </w:r>
      <w:r w:rsidR="001F17B8">
        <w:t>, la ou les personnes physiques occupant des fonctions équivalentes ou similaires à celles visées au point b);</w:t>
      </w:r>
    </w:p>
    <w:p w:rsidR="001F17B8" w:rsidRPr="0012613B" w:rsidRDefault="00A540D9">
      <w:pPr>
        <w:pStyle w:val="Point0"/>
      </w:pPr>
      <w:r>
        <w:t>7</w:t>
      </w:r>
      <w:r w:rsidR="001F17B8">
        <w:t>)</w:t>
      </w:r>
      <w:r w:rsidR="003B2AB3">
        <w:tab/>
      </w:r>
      <w:r w:rsidR="001F17B8">
        <w:t>"prestataire de services aux sociétés ou fiducies</w:t>
      </w:r>
      <w:r w:rsidR="00870FFE">
        <w:t>/trusts</w:t>
      </w:r>
      <w:r w:rsidR="001F17B8">
        <w:t>", toute personne qui fournit, à titre professionnel, l'un des services suivants à des tiers:</w:t>
      </w:r>
    </w:p>
    <w:p w:rsidR="001F17B8" w:rsidRPr="0012613B" w:rsidRDefault="001F17B8" w:rsidP="00274539">
      <w:pPr>
        <w:pStyle w:val="Point1"/>
      </w:pPr>
      <w:r>
        <w:t>a)</w:t>
      </w:r>
      <w:r w:rsidR="003B2AB3">
        <w:tab/>
      </w:r>
      <w:r>
        <w:t>constituer des sociétés ou d'autres personnes morales;</w:t>
      </w:r>
    </w:p>
    <w:p w:rsidR="001F17B8" w:rsidRPr="0012613B" w:rsidRDefault="001F17B8">
      <w:pPr>
        <w:pStyle w:val="Point1"/>
      </w:pPr>
      <w:r>
        <w:t>b)</w:t>
      </w:r>
      <w:r w:rsidR="003B2AB3">
        <w:tab/>
      </w:r>
      <w:r>
        <w:t xml:space="preserve">occuper la fonction de directeur ou de secrétaire d'une société, d'associé d'une société </w:t>
      </w:r>
      <w:r w:rsidR="00A50883">
        <w:t>de person</w:t>
      </w:r>
      <w:r w:rsidR="008C3887">
        <w:t>n</w:t>
      </w:r>
      <w:r w:rsidR="00A50883">
        <w:t>es</w:t>
      </w:r>
      <w:r>
        <w:t xml:space="preserve"> ou une fonction similaire à l'égard d'autres personnes morales, ou faire en sorte qu'une autre personne occupe une telle fonction;</w:t>
      </w:r>
    </w:p>
    <w:p w:rsidR="001F17B8" w:rsidRPr="0012613B" w:rsidRDefault="00274539" w:rsidP="00C67FEC">
      <w:pPr>
        <w:pStyle w:val="Point1"/>
      </w:pPr>
      <w:r>
        <w:br w:type="page"/>
      </w:r>
      <w:r w:rsidR="001F17B8">
        <w:t>c)</w:t>
      </w:r>
      <w:r w:rsidR="003B2AB3">
        <w:tab/>
      </w:r>
      <w:r w:rsidR="001F17B8">
        <w:t xml:space="preserve">fournir un siège statutaire, une adresse commerciale, </w:t>
      </w:r>
      <w:r w:rsidR="00671D32">
        <w:t xml:space="preserve">postale ou </w:t>
      </w:r>
      <w:r w:rsidR="001F17B8">
        <w:t xml:space="preserve">administrative et d'autres services liés à une société, à une société </w:t>
      </w:r>
      <w:r w:rsidR="00C67FEC" w:rsidRPr="000A66CC">
        <w:t>de personnes</w:t>
      </w:r>
      <w:r w:rsidR="001F17B8">
        <w:t>, à toute autre personne morale ou à toute autre construction juridique similaire;</w:t>
      </w:r>
    </w:p>
    <w:p w:rsidR="001F17B8" w:rsidRPr="0012613B" w:rsidRDefault="001F17B8" w:rsidP="00AF23EC">
      <w:pPr>
        <w:pStyle w:val="Point1"/>
      </w:pPr>
      <w:r>
        <w:t>d)</w:t>
      </w:r>
      <w:r w:rsidR="003B2AB3">
        <w:tab/>
      </w:r>
      <w:r>
        <w:t xml:space="preserve">occuper la fonction de </w:t>
      </w:r>
      <w:r w:rsidRPr="00B7529D">
        <w:t>fiduciaire</w:t>
      </w:r>
      <w:r w:rsidR="00A50883">
        <w:t>/trustee</w:t>
      </w:r>
      <w:r>
        <w:t xml:space="preserve"> dans une fiducie</w:t>
      </w:r>
      <w:r w:rsidR="00AF23EC">
        <w:t xml:space="preserve"> expresse</w:t>
      </w:r>
      <w:r w:rsidR="00870FFE">
        <w:t>/</w:t>
      </w:r>
      <w:r w:rsidR="00A50883">
        <w:t xml:space="preserve">un </w:t>
      </w:r>
      <w:r w:rsidR="00870FFE">
        <w:t>trust</w:t>
      </w:r>
      <w:r>
        <w:t xml:space="preserve"> </w:t>
      </w:r>
      <w:r w:rsidR="00C67FEC" w:rsidRPr="00D02A5F">
        <w:t>exprès</w:t>
      </w:r>
      <w:r>
        <w:t xml:space="preserve"> ou une construction juridique similaire, ou faire en sorte qu'une autre personne occupe une telle fonction;</w:t>
      </w:r>
    </w:p>
    <w:p w:rsidR="001F17B8" w:rsidRPr="0012613B" w:rsidRDefault="001F17B8" w:rsidP="00B7164D">
      <w:pPr>
        <w:pStyle w:val="Point1"/>
      </w:pPr>
      <w:r>
        <w:t>e)</w:t>
      </w:r>
      <w:r w:rsidR="003B2AB3">
        <w:tab/>
      </w:r>
      <w:r>
        <w:t xml:space="preserve">faire office d'actionnaire pour le compte d'une autre personne autre qu'une société cotée sur un marché réglementé qui est soumise à des obligations de publicité </w:t>
      </w:r>
      <w:r w:rsidR="00D96757">
        <w:t>compatibles avec le</w:t>
      </w:r>
      <w:r>
        <w:t xml:space="preserve"> droit de l'Union ou </w:t>
      </w:r>
      <w:r w:rsidR="00B7164D">
        <w:t>à</w:t>
      </w:r>
      <w:r w:rsidR="00D96757">
        <w:t xml:space="preserve"> </w:t>
      </w:r>
      <w:r>
        <w:t>des normes internationales équivalentes, ou faire en sorte qu'une autre personne occupe une telle fonction;</w:t>
      </w:r>
    </w:p>
    <w:p w:rsidR="001F17B8" w:rsidRPr="0012613B" w:rsidRDefault="00A540D9" w:rsidP="005E336B">
      <w:pPr>
        <w:pStyle w:val="Point0"/>
      </w:pPr>
      <w:r>
        <w:t>8</w:t>
      </w:r>
      <w:r w:rsidR="001F17B8">
        <w:t>)</w:t>
      </w:r>
      <w:r w:rsidR="003B2AB3">
        <w:tab/>
      </w:r>
      <w:r w:rsidR="001F17B8">
        <w:t>"relation de correspondant":</w:t>
      </w:r>
    </w:p>
    <w:p w:rsidR="001F17B8" w:rsidRPr="0012613B" w:rsidRDefault="001F17B8" w:rsidP="00B7529D">
      <w:pPr>
        <w:pStyle w:val="Point1"/>
      </w:pPr>
      <w:r>
        <w:t>a)</w:t>
      </w:r>
      <w:r w:rsidR="003B2AB3">
        <w:tab/>
      </w:r>
      <w:r>
        <w:t xml:space="preserve">la fourniture de services bancaires par une banque </w:t>
      </w:r>
      <w:r w:rsidR="00B7529D">
        <w:t>en tant que</w:t>
      </w:r>
      <w:r>
        <w:t xml:space="preserve"> "correspondant" à une autre banque </w:t>
      </w:r>
      <w:r w:rsidR="00B7529D">
        <w:t>en tant que</w:t>
      </w:r>
      <w:r w:rsidR="00671D32">
        <w:t xml:space="preserve"> </w:t>
      </w:r>
      <w:r>
        <w:t>"client", y compris la mise à disposition d'un co</w:t>
      </w:r>
      <w:r w:rsidR="007E1EBF">
        <w:t xml:space="preserve">mpte courant ou autre compte de </w:t>
      </w:r>
      <w:r>
        <w:t xml:space="preserve">passif et la fourniture des services qui y sont liés, </w:t>
      </w:r>
      <w:r w:rsidR="00BF5924">
        <w:t xml:space="preserve">tels que </w:t>
      </w:r>
      <w:r>
        <w:t xml:space="preserve">la gestion de trésorerie, les transferts internationaux de fonds, la compensation de chèques, </w:t>
      </w:r>
      <w:r w:rsidRPr="00AC0BE5">
        <w:t>les comptes "de passage" ("payable-through accounts"),</w:t>
      </w:r>
      <w:r>
        <w:t xml:space="preserve"> et les services de change;</w:t>
      </w:r>
    </w:p>
    <w:p w:rsidR="001F17B8" w:rsidRPr="0012613B" w:rsidRDefault="001F17B8" w:rsidP="00D96757">
      <w:pPr>
        <w:pStyle w:val="Point1"/>
      </w:pPr>
      <w:r>
        <w:t>b)</w:t>
      </w:r>
      <w:r w:rsidR="003B2AB3">
        <w:tab/>
      </w:r>
      <w:r>
        <w:t>l</w:t>
      </w:r>
      <w:r w:rsidR="00BF5924">
        <w:t>es</w:t>
      </w:r>
      <w:r>
        <w:t xml:space="preserve"> relation</w:t>
      </w:r>
      <w:r w:rsidR="00BF5924">
        <w:t>s</w:t>
      </w:r>
      <w:r>
        <w:t xml:space="preserve"> entre </w:t>
      </w:r>
      <w:r w:rsidR="00BF5924">
        <w:t xml:space="preserve">et parmi les </w:t>
      </w:r>
      <w:r>
        <w:t>établissements de crédit</w:t>
      </w:r>
      <w:r w:rsidR="00BF5924">
        <w:t xml:space="preserve"> </w:t>
      </w:r>
      <w:r>
        <w:t>et</w:t>
      </w:r>
      <w:r w:rsidR="00BF5924">
        <w:t xml:space="preserve"> les </w:t>
      </w:r>
      <w:r>
        <w:t>établissements financiers</w:t>
      </w:r>
      <w:r w:rsidR="00BF5924">
        <w:t>, y compris</w:t>
      </w:r>
      <w:r>
        <w:t xml:space="preserve"> lorsque des services similaires sont fournis</w:t>
      </w:r>
      <w:r w:rsidR="00B7529D">
        <w:t xml:space="preserve"> par un établissement correspondant à un établissement client</w:t>
      </w:r>
      <w:r>
        <w:t xml:space="preserve">, </w:t>
      </w:r>
      <w:r w:rsidR="00D96757">
        <w:t>et comprenant</w:t>
      </w:r>
      <w:r>
        <w:t xml:space="preserve"> les relations établies pour des opérations sur titres ou des transferts de fonds;</w:t>
      </w:r>
    </w:p>
    <w:p w:rsidR="00274539" w:rsidRDefault="00A540D9" w:rsidP="005E336B">
      <w:pPr>
        <w:pStyle w:val="Point0"/>
      </w:pPr>
      <w:r>
        <w:t>9</w:t>
      </w:r>
      <w:r w:rsidR="005E336B">
        <w:t>)</w:t>
      </w:r>
      <w:r w:rsidR="00BF5924">
        <w:tab/>
      </w:r>
      <w:r w:rsidR="001F17B8">
        <w:t xml:space="preserve">"personne politiquement exposée", </w:t>
      </w:r>
      <w:r w:rsidR="00F55620">
        <w:t>une</w:t>
      </w:r>
      <w:r w:rsidR="001F17B8">
        <w:t xml:space="preserve"> personne physique qui occupe ou s</w:t>
      </w:r>
      <w:r w:rsidR="00D96757">
        <w:t>'est</w:t>
      </w:r>
      <w:r w:rsidR="001F17B8">
        <w:t xml:space="preserve"> vu</w:t>
      </w:r>
      <w:r w:rsidR="00D96757">
        <w:t>e</w:t>
      </w:r>
      <w:r w:rsidR="001F17B8">
        <w:t xml:space="preserve"> confier une fonction pu</w:t>
      </w:r>
      <w:r w:rsidR="005E336B">
        <w:t>blique importante et notamment:</w:t>
      </w:r>
    </w:p>
    <w:p w:rsidR="001F17B8" w:rsidRPr="0012613B" w:rsidRDefault="00D96757" w:rsidP="00274539">
      <w:pPr>
        <w:pStyle w:val="Point1"/>
        <w:rPr>
          <w:noProof/>
        </w:rPr>
      </w:pPr>
      <w:r>
        <w:t>a</w:t>
      </w:r>
      <w:r w:rsidR="001F17B8">
        <w:t>)</w:t>
      </w:r>
      <w:r w:rsidR="003B2AB3">
        <w:tab/>
      </w:r>
      <w:r w:rsidR="001F17B8">
        <w:t>les chefs d'État, les chefs de gouvernement, les ministres, les ministres délégués et les secrétaires d'État;</w:t>
      </w:r>
    </w:p>
    <w:p w:rsidR="001F17B8" w:rsidRPr="0012613B" w:rsidRDefault="005E336B" w:rsidP="00D96757">
      <w:pPr>
        <w:pStyle w:val="Point1"/>
      </w:pPr>
      <w:r>
        <w:br w:type="page"/>
      </w:r>
      <w:r w:rsidR="00D96757">
        <w:t>b</w:t>
      </w:r>
      <w:r w:rsidR="001F17B8">
        <w:t>)</w:t>
      </w:r>
      <w:r w:rsidR="003B2AB3">
        <w:tab/>
      </w:r>
      <w:r w:rsidR="001F17B8">
        <w:t>les parlementaires ou les membres d'organes législatifs similaires;</w:t>
      </w:r>
    </w:p>
    <w:p w:rsidR="001F17B8" w:rsidRPr="0012613B" w:rsidRDefault="00D96757" w:rsidP="00D96757">
      <w:pPr>
        <w:pStyle w:val="Point1"/>
      </w:pPr>
      <w:r>
        <w:t>c</w:t>
      </w:r>
      <w:r w:rsidR="001F17B8">
        <w:t>)</w:t>
      </w:r>
      <w:r w:rsidR="003B2AB3">
        <w:tab/>
      </w:r>
      <w:r w:rsidR="001F17B8">
        <w:t>les membres des organes dirigeants des partis politiques;</w:t>
      </w:r>
    </w:p>
    <w:p w:rsidR="001F17B8" w:rsidRPr="0012613B" w:rsidRDefault="00F55620" w:rsidP="00F55620">
      <w:pPr>
        <w:pStyle w:val="Point1"/>
      </w:pPr>
      <w:r>
        <w:t>d</w:t>
      </w:r>
      <w:r w:rsidR="001F17B8">
        <w:t>)</w:t>
      </w:r>
      <w:r w:rsidR="007E1EBF">
        <w:tab/>
      </w:r>
      <w:r w:rsidR="001F17B8">
        <w:t>les membres des cours suprêmes, des cours constitutionnelles ou d'autres hautes juridictions dont les décisions ne sont pas susceptibles de recours, sauf circonstances exceptionnelles;</w:t>
      </w:r>
    </w:p>
    <w:p w:rsidR="001F17B8" w:rsidRPr="0012613B" w:rsidRDefault="00D96757" w:rsidP="00274539">
      <w:pPr>
        <w:pStyle w:val="Point1"/>
      </w:pPr>
      <w:r>
        <w:t>e</w:t>
      </w:r>
      <w:r w:rsidR="001F17B8">
        <w:t>)</w:t>
      </w:r>
      <w:r w:rsidR="00274539">
        <w:tab/>
      </w:r>
      <w:r w:rsidR="001F17B8">
        <w:t>les membres des cours des comptes ou des conseils ou directoires des banques centrales;</w:t>
      </w:r>
    </w:p>
    <w:p w:rsidR="001F17B8" w:rsidRPr="0012613B" w:rsidRDefault="00D96757" w:rsidP="00274539">
      <w:pPr>
        <w:pStyle w:val="Point1"/>
      </w:pPr>
      <w:r>
        <w:t>f</w:t>
      </w:r>
      <w:r w:rsidR="001F17B8">
        <w:t>)</w:t>
      </w:r>
      <w:r w:rsidR="00274539">
        <w:tab/>
      </w:r>
      <w:r w:rsidR="001F17B8">
        <w:t>les ambassadeurs, les chargés d'affaires et les officiers supérieurs des forces armées;</w:t>
      </w:r>
    </w:p>
    <w:p w:rsidR="001F17B8" w:rsidRPr="0012613B" w:rsidRDefault="00D96757" w:rsidP="00274539">
      <w:pPr>
        <w:pStyle w:val="Point1"/>
      </w:pPr>
      <w:r>
        <w:t>g</w:t>
      </w:r>
      <w:r w:rsidR="001F17B8">
        <w:t>)</w:t>
      </w:r>
      <w:r w:rsidR="00274539">
        <w:tab/>
      </w:r>
      <w:r w:rsidR="001F17B8">
        <w:t>les membres des organes d'administration, de direction ou de surveillance des entreprises publiques;</w:t>
      </w:r>
    </w:p>
    <w:p w:rsidR="001F17B8" w:rsidRPr="0012613B" w:rsidRDefault="00D96757" w:rsidP="00274539">
      <w:pPr>
        <w:pStyle w:val="Point1"/>
      </w:pPr>
      <w:r>
        <w:t>h</w:t>
      </w:r>
      <w:r w:rsidR="001F17B8">
        <w:t>)</w:t>
      </w:r>
      <w:r w:rsidR="00274539">
        <w:tab/>
      </w:r>
      <w:r w:rsidR="001F17B8">
        <w:t>les directeurs, les directeurs adjoints et les membres du conseil d'une organisation internationale, ou les personnes qui occupent une position équivalente en son sein.</w:t>
      </w:r>
    </w:p>
    <w:p w:rsidR="001F17B8" w:rsidRPr="0012613B" w:rsidRDefault="001F17B8" w:rsidP="005E336B">
      <w:pPr>
        <w:pStyle w:val="Text1"/>
      </w:pPr>
      <w:r>
        <w:t xml:space="preserve">Aucune des </w:t>
      </w:r>
      <w:r w:rsidR="003B2AB3">
        <w:t xml:space="preserve">fonctions publiques </w:t>
      </w:r>
      <w:r>
        <w:t xml:space="preserve">visées aux points </w:t>
      </w:r>
      <w:r w:rsidR="00D96757">
        <w:t>a</w:t>
      </w:r>
      <w:r>
        <w:t xml:space="preserve">) à </w:t>
      </w:r>
      <w:r w:rsidR="00D96757">
        <w:t>h</w:t>
      </w:r>
      <w:r>
        <w:t>) ne couvre des personnes occupant une fonction intermédiaire ou inférieure;</w:t>
      </w:r>
    </w:p>
    <w:p w:rsidR="001F17B8" w:rsidRPr="0012613B" w:rsidRDefault="00A540D9" w:rsidP="005E336B">
      <w:pPr>
        <w:pStyle w:val="Point0"/>
      </w:pPr>
      <w:r w:rsidRPr="00B772CF">
        <w:t>10</w:t>
      </w:r>
      <w:r w:rsidR="005E336B">
        <w:t>)</w:t>
      </w:r>
      <w:r w:rsidR="00BF5924">
        <w:tab/>
      </w:r>
      <w:r w:rsidR="001F17B8">
        <w:t>"membre de la famille"</w:t>
      </w:r>
      <w:r w:rsidR="00B7529D">
        <w:t xml:space="preserve"> inclut</w:t>
      </w:r>
      <w:r w:rsidR="001F17B8">
        <w:t>:</w:t>
      </w:r>
    </w:p>
    <w:p w:rsidR="00BF5924" w:rsidRDefault="00657A24">
      <w:pPr>
        <w:pStyle w:val="Point1"/>
      </w:pPr>
      <w:r>
        <w:t>a</w:t>
      </w:r>
      <w:r w:rsidR="001F17B8">
        <w:t>)</w:t>
      </w:r>
      <w:r w:rsidR="00274539">
        <w:tab/>
      </w:r>
      <w:r w:rsidR="001F17B8">
        <w:t>le conjoint</w:t>
      </w:r>
      <w:r>
        <w:t>,</w:t>
      </w:r>
      <w:r w:rsidR="00B7529D">
        <w:t xml:space="preserve"> </w:t>
      </w:r>
      <w:r>
        <w:t xml:space="preserve">ou une personne considérée comme l'équivalent d'un conjoint, </w:t>
      </w:r>
      <w:r w:rsidR="00B7529D">
        <w:t>d'une personne politiquement exposée</w:t>
      </w:r>
      <w:r>
        <w:t>;</w:t>
      </w:r>
    </w:p>
    <w:p w:rsidR="001F17B8" w:rsidRPr="0012613B" w:rsidRDefault="00657A24">
      <w:pPr>
        <w:pStyle w:val="Point1"/>
      </w:pPr>
      <w:r>
        <w:t>b</w:t>
      </w:r>
      <w:r w:rsidR="001F17B8">
        <w:t>)</w:t>
      </w:r>
      <w:r w:rsidR="00274539">
        <w:tab/>
      </w:r>
      <w:r w:rsidR="001F17B8">
        <w:t>les enfants et leurs conjoints</w:t>
      </w:r>
      <w:r>
        <w:t>,</w:t>
      </w:r>
      <w:r w:rsidR="001F17B8">
        <w:t xml:space="preserve"> ou les personnes considérées comme l'équivalent d'un conjoint</w:t>
      </w:r>
      <w:r>
        <w:t>,</w:t>
      </w:r>
      <w:r w:rsidR="00B7529D">
        <w:t xml:space="preserve"> d'une personne politiquement exposée</w:t>
      </w:r>
      <w:r w:rsidR="001F17B8">
        <w:t>;</w:t>
      </w:r>
    </w:p>
    <w:p w:rsidR="001F17B8" w:rsidRPr="0012613B" w:rsidRDefault="00657A24" w:rsidP="00A540D9">
      <w:pPr>
        <w:pStyle w:val="Point1"/>
      </w:pPr>
      <w:r>
        <w:t>c</w:t>
      </w:r>
      <w:r w:rsidR="001F17B8">
        <w:t>)</w:t>
      </w:r>
      <w:r w:rsidR="00274539">
        <w:tab/>
      </w:r>
      <w:r w:rsidR="001F17B8">
        <w:t>les parents</w:t>
      </w:r>
      <w:r w:rsidR="00B7529D" w:rsidRPr="00B7529D">
        <w:t xml:space="preserve"> d'une personne politiquement exposée</w:t>
      </w:r>
      <w:r w:rsidR="001F17B8">
        <w:t>;</w:t>
      </w:r>
    </w:p>
    <w:p w:rsidR="001F17B8" w:rsidRPr="0012613B" w:rsidRDefault="00274539" w:rsidP="00A540D9">
      <w:pPr>
        <w:pStyle w:val="Point0"/>
      </w:pPr>
      <w:r>
        <w:rPr>
          <w:noProof/>
        </w:rPr>
        <w:br w:type="page"/>
      </w:r>
      <w:r w:rsidR="00A540D9" w:rsidRPr="00320A3E">
        <w:rPr>
          <w:iCs/>
          <w:noProof/>
        </w:rPr>
        <w:t>11</w:t>
      </w:r>
      <w:r w:rsidR="003B2AB3" w:rsidRPr="00BF5924">
        <w:rPr>
          <w:noProof/>
        </w:rPr>
        <w:t>)</w:t>
      </w:r>
      <w:r w:rsidR="003B2AB3">
        <w:rPr>
          <w:noProof/>
        </w:rPr>
        <w:tab/>
      </w:r>
      <w:r w:rsidR="001F17B8">
        <w:rPr>
          <w:noProof/>
        </w:rPr>
        <w:t>"personne</w:t>
      </w:r>
      <w:r w:rsidR="00657A24">
        <w:rPr>
          <w:noProof/>
        </w:rPr>
        <w:t>s</w:t>
      </w:r>
      <w:r w:rsidR="001F17B8">
        <w:rPr>
          <w:noProof/>
        </w:rPr>
        <w:t xml:space="preserve"> connue</w:t>
      </w:r>
      <w:r w:rsidR="00657A24">
        <w:rPr>
          <w:noProof/>
        </w:rPr>
        <w:t>s</w:t>
      </w:r>
      <w:r w:rsidR="001F17B8">
        <w:rPr>
          <w:noProof/>
        </w:rPr>
        <w:t xml:space="preserve"> pour être étroitement associée</w:t>
      </w:r>
      <w:r w:rsidR="00657A24">
        <w:rPr>
          <w:noProof/>
        </w:rPr>
        <w:t>s</w:t>
      </w:r>
      <w:r w:rsidR="001F17B8">
        <w:rPr>
          <w:noProof/>
        </w:rPr>
        <w:t>":</w:t>
      </w:r>
    </w:p>
    <w:p w:rsidR="001F17B8" w:rsidRPr="0012613B" w:rsidRDefault="00657A24">
      <w:pPr>
        <w:pStyle w:val="Point1"/>
      </w:pPr>
      <w:r>
        <w:t>a</w:t>
      </w:r>
      <w:r w:rsidR="003B2AB3">
        <w:t>)</w:t>
      </w:r>
      <w:r w:rsidR="003B2AB3">
        <w:tab/>
      </w:r>
      <w:r w:rsidR="001F17B8">
        <w:t>personne</w:t>
      </w:r>
      <w:r>
        <w:t>s</w:t>
      </w:r>
      <w:r w:rsidR="001F17B8">
        <w:t xml:space="preserve"> physique</w:t>
      </w:r>
      <w:r>
        <w:t>s</w:t>
      </w:r>
      <w:r w:rsidR="001F17B8">
        <w:t xml:space="preserve"> connue</w:t>
      </w:r>
      <w:r>
        <w:t>s</w:t>
      </w:r>
      <w:r w:rsidR="001F17B8">
        <w:t xml:space="preserve"> pour être le</w:t>
      </w:r>
      <w:r w:rsidR="00D46885">
        <w:t>s</w:t>
      </w:r>
      <w:r w:rsidR="001F17B8">
        <w:t xml:space="preserve"> bénéficiaire</w:t>
      </w:r>
      <w:r w:rsidR="00D46885">
        <w:t>s</w:t>
      </w:r>
      <w:r w:rsidR="001F17B8">
        <w:t xml:space="preserve"> effectif</w:t>
      </w:r>
      <w:r w:rsidR="00D46885">
        <w:t>s</w:t>
      </w:r>
      <w:r w:rsidR="001F17B8">
        <w:t xml:space="preserve"> d'une entité ou construction juridique conjointement avec une personne </w:t>
      </w:r>
      <w:r>
        <w:t>politiquement exposée</w:t>
      </w:r>
      <w:r w:rsidR="005E336B">
        <w:t xml:space="preserve">, ou pour entretenir toute </w:t>
      </w:r>
      <w:r w:rsidR="001F17B8">
        <w:t>autre relation d'affaires étroite avec une telle personne;</w:t>
      </w:r>
    </w:p>
    <w:p w:rsidR="001F17B8" w:rsidRPr="0012613B" w:rsidRDefault="00657A24">
      <w:pPr>
        <w:pStyle w:val="Point1"/>
      </w:pPr>
      <w:r>
        <w:t>b</w:t>
      </w:r>
      <w:r w:rsidR="003B2AB3">
        <w:t>)</w:t>
      </w:r>
      <w:r w:rsidR="003B2AB3">
        <w:tab/>
      </w:r>
      <w:r w:rsidR="001F17B8">
        <w:t>personne</w:t>
      </w:r>
      <w:r>
        <w:t>s</w:t>
      </w:r>
      <w:r w:rsidR="001F17B8">
        <w:t xml:space="preserve"> physique</w:t>
      </w:r>
      <w:r>
        <w:t>s</w:t>
      </w:r>
      <w:r w:rsidR="001F17B8">
        <w:t xml:space="preserve"> qui </w:t>
      </w:r>
      <w:r>
        <w:t>sont</w:t>
      </w:r>
      <w:r w:rsidR="001F17B8">
        <w:t xml:space="preserve"> le</w:t>
      </w:r>
      <w:r>
        <w:t>s</w:t>
      </w:r>
      <w:r w:rsidR="001F17B8">
        <w:t xml:space="preserve"> seul</w:t>
      </w:r>
      <w:r>
        <w:t>s</w:t>
      </w:r>
      <w:r w:rsidR="001F17B8">
        <w:t xml:space="preserve"> bénéficiaire</w:t>
      </w:r>
      <w:r>
        <w:t>s</w:t>
      </w:r>
      <w:r w:rsidR="001F17B8">
        <w:t xml:space="preserve"> effectif</w:t>
      </w:r>
      <w:r>
        <w:t>s</w:t>
      </w:r>
      <w:r w:rsidR="001F17B8">
        <w:t xml:space="preserve"> d'une entité ou construction juridique connue pour avoir été établie au profit </w:t>
      </w:r>
      <w:r w:rsidR="001F17B8">
        <w:rPr>
          <w:i/>
        </w:rPr>
        <w:t>de facto</w:t>
      </w:r>
      <w:r w:rsidR="001F17B8">
        <w:t xml:space="preserve"> d'une personne </w:t>
      </w:r>
      <w:r>
        <w:t>politiquement exposée</w:t>
      </w:r>
      <w:r w:rsidR="002D1B67">
        <w:t>;</w:t>
      </w:r>
    </w:p>
    <w:p w:rsidR="001F17B8" w:rsidRPr="0012613B" w:rsidRDefault="00A540D9" w:rsidP="00D96757">
      <w:pPr>
        <w:pStyle w:val="Point0"/>
      </w:pPr>
      <w:r>
        <w:t>12</w:t>
      </w:r>
      <w:r w:rsidR="003B2AB3">
        <w:t>)</w:t>
      </w:r>
      <w:r w:rsidR="003B2AB3">
        <w:tab/>
      </w:r>
      <w:r w:rsidR="001F17B8" w:rsidRPr="00C81C06">
        <w:t>"membre d'un niveau élevé de la hiérarchie</w:t>
      </w:r>
      <w:r w:rsidR="001F17B8" w:rsidRPr="00956DA8">
        <w:t>",</w:t>
      </w:r>
      <w:r w:rsidR="001F17B8">
        <w:t xml:space="preserve"> </w:t>
      </w:r>
      <w:r w:rsidR="001F17B8" w:rsidRPr="00F55620">
        <w:t xml:space="preserve">un </w:t>
      </w:r>
      <w:r w:rsidR="00D96757" w:rsidRPr="00F55620">
        <w:t>dirigeant</w:t>
      </w:r>
      <w:r w:rsidR="001F17B8" w:rsidRPr="00F55620">
        <w:t xml:space="preserve"> ou un </w:t>
      </w:r>
      <w:r w:rsidR="00D96757" w:rsidRPr="00F55620">
        <w:t>employé</w:t>
      </w:r>
      <w:r w:rsidR="001F17B8">
        <w:t xml:space="preserve"> possédant une connaissance </w:t>
      </w:r>
      <w:r w:rsidR="001F17B8">
        <w:rPr>
          <w:noProof/>
        </w:rPr>
        <w:t>suffisante</w:t>
      </w:r>
      <w:r w:rsidR="001F17B8">
        <w:t xml:space="preserve"> de l'exposition de son établissement au risque de blanchiment de capitaux et de financement du terrorisme et occupant une position hiérarchique suffisamment élevée pour prendre des décisions ayant une incidence sur cette exposition, sans qu'il s'agisse nécessairement d'un membre du conseil d'administration;</w:t>
      </w:r>
    </w:p>
    <w:p w:rsidR="001F17B8" w:rsidRPr="0012613B" w:rsidRDefault="002D1B67" w:rsidP="00A540D9">
      <w:pPr>
        <w:pStyle w:val="Point0"/>
      </w:pPr>
      <w:r>
        <w:t>1</w:t>
      </w:r>
      <w:r w:rsidR="00A540D9">
        <w:t>3</w:t>
      </w:r>
      <w:r w:rsidR="003B2AB3">
        <w:t>)</w:t>
      </w:r>
      <w:r w:rsidR="003B2AB3">
        <w:tab/>
      </w:r>
      <w:r w:rsidR="001F17B8">
        <w:t xml:space="preserve">"relation d'affaires", une relation d'affaires, professionnelle ou commerciale liée aux activités </w:t>
      </w:r>
      <w:r w:rsidR="001F17B8">
        <w:rPr>
          <w:noProof/>
        </w:rPr>
        <w:t>professionnelles</w:t>
      </w:r>
      <w:r w:rsidR="001F17B8">
        <w:t xml:space="preserve"> d</w:t>
      </w:r>
      <w:r>
        <w:t>'une</w:t>
      </w:r>
      <w:r w:rsidR="001F17B8">
        <w:t xml:space="preserve"> </w:t>
      </w:r>
      <w:r w:rsidR="007468D1">
        <w:t>entité assujettie</w:t>
      </w:r>
      <w:r w:rsidR="001F17B8">
        <w:t xml:space="preserve"> et censée, au moment où le contact est établi, s'inscrire dans une certaine durée;</w:t>
      </w:r>
    </w:p>
    <w:p w:rsidR="001F17B8" w:rsidRPr="0012613B" w:rsidRDefault="002D1B67" w:rsidP="00A540D9">
      <w:pPr>
        <w:pStyle w:val="Point0"/>
      </w:pPr>
      <w:r>
        <w:t>1</w:t>
      </w:r>
      <w:r w:rsidR="00A540D9">
        <w:t>4</w:t>
      </w:r>
      <w:r w:rsidR="001F17B8">
        <w:t>)</w:t>
      </w:r>
      <w:r w:rsidR="003B2AB3">
        <w:tab/>
      </w:r>
      <w:r w:rsidR="001F17B8">
        <w:t xml:space="preserve">"services de jeux d'argent et de hasard", </w:t>
      </w:r>
      <w:r>
        <w:t xml:space="preserve">un </w:t>
      </w:r>
      <w:r w:rsidR="001F17B8">
        <w:t xml:space="preserve">service impliquant une mise ayant une valeur monétaire dans des jeux </w:t>
      </w:r>
      <w:r w:rsidR="001F17B8">
        <w:rPr>
          <w:noProof/>
        </w:rPr>
        <w:t>de</w:t>
      </w:r>
      <w:r w:rsidR="001F17B8">
        <w:t xml:space="preserve"> hasard, y compris les jeux impliquant un élément de compétence, tels que les loteries, les jeux de casino, les jeux de poker et les transactions portant sur des paris, qui sont fournis dans des locaux physiques, ou à distance par tout moyen, par voie électronique ou par toute autre technologie </w:t>
      </w:r>
      <w:r w:rsidR="00D96757">
        <w:t>visant à faciliter</w:t>
      </w:r>
      <w:r w:rsidR="001F17B8">
        <w:t xml:space="preserve"> la communication, à la demande individuelle d'un destinataire de services;</w:t>
      </w:r>
    </w:p>
    <w:p w:rsidR="001F17B8" w:rsidRDefault="00274539" w:rsidP="00A540D9">
      <w:pPr>
        <w:pStyle w:val="Point0"/>
      </w:pPr>
      <w:r>
        <w:br w:type="page"/>
      </w:r>
      <w:r w:rsidR="001F17B8">
        <w:t>1</w:t>
      </w:r>
      <w:r w:rsidR="00A540D9">
        <w:t>5</w:t>
      </w:r>
      <w:r w:rsidR="001F17B8">
        <w:t>)</w:t>
      </w:r>
      <w:r w:rsidR="003B2AB3">
        <w:tab/>
      </w:r>
      <w:r w:rsidR="001F17B8">
        <w:t xml:space="preserve">"groupe", un groupe d'entreprises composé d'une entreprise mère, de ses filiales et des entités dans lesquelles l'entreprise mère ou ses filiales détiennent une participation, ainsi que des entreprises </w:t>
      </w:r>
      <w:r w:rsidR="00657A24">
        <w:t>liées l'une à l'autre par une relation au sens</w:t>
      </w:r>
      <w:r w:rsidR="00F55620">
        <w:t xml:space="preserve"> de</w:t>
      </w:r>
      <w:r w:rsidR="001F17B8">
        <w:t xml:space="preserve"> l'article 22 de la directive 2013/34/UE</w:t>
      </w:r>
      <w:r w:rsidR="002D1B67">
        <w:t>;</w:t>
      </w:r>
    </w:p>
    <w:p w:rsidR="002D1B67" w:rsidRDefault="002D1B67" w:rsidP="00A540D9">
      <w:pPr>
        <w:pStyle w:val="Point0"/>
      </w:pPr>
      <w:r>
        <w:t>1</w:t>
      </w:r>
      <w:r w:rsidR="00A540D9">
        <w:t>6</w:t>
      </w:r>
      <w:r>
        <w:t>)</w:t>
      </w:r>
      <w:r>
        <w:tab/>
        <w:t>"monnaie électronique", monnaie électronique au sens de l'article 2, point 2), de la directive 2009/110/CE;</w:t>
      </w:r>
    </w:p>
    <w:p w:rsidR="002D1B67" w:rsidRPr="0012613B" w:rsidRDefault="002D1B67" w:rsidP="005E336B">
      <w:pPr>
        <w:pStyle w:val="Point0"/>
      </w:pPr>
      <w:r>
        <w:t>1</w:t>
      </w:r>
      <w:r w:rsidR="00A540D9">
        <w:t>7</w:t>
      </w:r>
      <w:r>
        <w:t>)</w:t>
      </w:r>
      <w:r>
        <w:tab/>
        <w:t>"société bancaire écran", un établissement de crédit ou un établissement financier, ou un établissement exerçant des activités équivalentes à celles exercées par des établissements de crédit ou des établissements financiers, constitué dans un pays ou territoire où il n'a aucune présence physique par laquelle s'exerceraient une direction et une gestion véritables et qui n'est pas rattaché à un groupe financier réglementé.</w:t>
      </w:r>
    </w:p>
    <w:p w:rsidR="001F17B8" w:rsidRPr="00274539" w:rsidRDefault="001F17B8" w:rsidP="00274539">
      <w:pPr>
        <w:pStyle w:val="Titrearticle"/>
      </w:pPr>
      <w:r w:rsidRPr="00274539">
        <w:t>Article 4</w:t>
      </w:r>
    </w:p>
    <w:p w:rsidR="001F17B8" w:rsidRPr="0012613B" w:rsidRDefault="001F17B8">
      <w:pPr>
        <w:pStyle w:val="ManualNumPar1"/>
      </w:pPr>
      <w:r>
        <w:t>1.</w:t>
      </w:r>
      <w:r w:rsidR="003B2AB3">
        <w:tab/>
      </w:r>
      <w:r>
        <w:t xml:space="preserve">Les États membres veillent, conformément à l'approche fondée sur les risques, à ce que </w:t>
      </w:r>
      <w:r w:rsidR="00657A24">
        <w:t xml:space="preserve">le champ d'application de </w:t>
      </w:r>
      <w:r>
        <w:t>la présente directive soit étendu en totalité ou en partie aux professions et aux catégories d'entreprises</w:t>
      </w:r>
      <w:r w:rsidR="00D96757">
        <w:t>,</w:t>
      </w:r>
      <w:r>
        <w:t xml:space="preserve"> autres que les </w:t>
      </w:r>
      <w:r w:rsidR="00870FFE">
        <w:t>entités assujetties</w:t>
      </w:r>
      <w:r w:rsidR="005E336B">
        <w:t xml:space="preserve"> visées à l'article </w:t>
      </w:r>
      <w:r>
        <w:t>2, paragraphe 1, qui exercent des activités particulièrement susceptibles d'être utilisées à des fins de blanchiment de capitaux ou de financement du terrorisme.</w:t>
      </w:r>
    </w:p>
    <w:p w:rsidR="001F17B8" w:rsidRPr="0012613B" w:rsidRDefault="001F17B8" w:rsidP="00D96757">
      <w:pPr>
        <w:pStyle w:val="ManualNumPar1"/>
      </w:pPr>
      <w:r>
        <w:t>2.</w:t>
      </w:r>
      <w:r w:rsidR="003B2AB3">
        <w:tab/>
      </w:r>
      <w:r>
        <w:t xml:space="preserve">Lorsqu'un État membre </w:t>
      </w:r>
      <w:r w:rsidR="00D96757">
        <w:t>étend</w:t>
      </w:r>
      <w:r>
        <w:t xml:space="preserve"> </w:t>
      </w:r>
      <w:r w:rsidR="00657A24">
        <w:t xml:space="preserve">le champ d'application de </w:t>
      </w:r>
      <w:r>
        <w:t xml:space="preserve">la présente directive à des professions </w:t>
      </w:r>
      <w:r w:rsidR="002D1B67">
        <w:t xml:space="preserve">ou </w:t>
      </w:r>
      <w:r>
        <w:t>à des catégories d'entreprises autres que celles qui sont visées à l'article 2, paragraphe 1, il en informe la Commission.</w:t>
      </w:r>
    </w:p>
    <w:p w:rsidR="001F17B8" w:rsidRPr="003B2AB3" w:rsidRDefault="005E336B" w:rsidP="003B2AB3">
      <w:pPr>
        <w:pStyle w:val="Titrearticle"/>
        <w:rPr>
          <w:noProof/>
        </w:rPr>
      </w:pPr>
      <w:r>
        <w:br w:type="page"/>
      </w:r>
      <w:r w:rsidR="001F17B8" w:rsidRPr="003B2AB3">
        <w:t>Article</w:t>
      </w:r>
      <w:r w:rsidR="001F17B8" w:rsidRPr="003B2AB3">
        <w:rPr>
          <w:noProof/>
        </w:rPr>
        <w:t xml:space="preserve"> 5</w:t>
      </w:r>
    </w:p>
    <w:p w:rsidR="001F17B8" w:rsidRPr="0012613B" w:rsidRDefault="001F17B8" w:rsidP="001F17B8">
      <w:r>
        <w:t>Les États membres peuvent arrêter ou maintenir en vigueur, dans le domaine régi par la présente directive, des dispositions plus strictes pour prévenir le blanchiment de capitaux et le financement du terrorisme, dans les limites du droit de l'Union.</w:t>
      </w:r>
    </w:p>
    <w:p w:rsidR="001F17B8" w:rsidRPr="0012613B" w:rsidRDefault="001F17B8" w:rsidP="00274539">
      <w:pPr>
        <w:pStyle w:val="SectionTitle"/>
        <w:rPr>
          <w:noProof/>
        </w:rPr>
      </w:pPr>
      <w:r>
        <w:rPr>
          <w:noProof/>
        </w:rPr>
        <w:t>Section 2</w:t>
      </w:r>
      <w:r w:rsidR="003B2AB3">
        <w:rPr>
          <w:noProof/>
        </w:rPr>
        <w:br/>
      </w:r>
      <w:r>
        <w:rPr>
          <w:noProof/>
        </w:rPr>
        <w:t>Évaluation des risques</w:t>
      </w:r>
    </w:p>
    <w:p w:rsidR="001F17B8" w:rsidRPr="00274539" w:rsidRDefault="001F17B8" w:rsidP="00274539">
      <w:pPr>
        <w:pStyle w:val="Titrearticle"/>
      </w:pPr>
      <w:r w:rsidRPr="00274539">
        <w:t>Article 6</w:t>
      </w:r>
    </w:p>
    <w:p w:rsidR="002D1B67" w:rsidRDefault="001F17B8" w:rsidP="00274539">
      <w:pPr>
        <w:pStyle w:val="ManualNumPar1"/>
      </w:pPr>
      <w:r>
        <w:t>1.</w:t>
      </w:r>
      <w:r w:rsidR="00274539">
        <w:tab/>
      </w:r>
      <w:r>
        <w:t>La Commission réalise une évaluation des risques de blanchiment de capitaux et de financement du terrorisme pesant sur le marché intérieur et liés à des activités transfront</w:t>
      </w:r>
      <w:r w:rsidR="00D96757">
        <w:t>al</w:t>
      </w:r>
      <w:r w:rsidR="005E336B">
        <w:t>ières.</w:t>
      </w:r>
    </w:p>
    <w:p w:rsidR="001F17B8" w:rsidRPr="0012613B" w:rsidRDefault="001F17B8" w:rsidP="005E336B">
      <w:pPr>
        <w:pStyle w:val="Text1"/>
      </w:pPr>
      <w:r>
        <w:t>À cette fin, la Commission établit</w:t>
      </w:r>
      <w:r w:rsidR="002D1B67">
        <w:t>, au plus tard le …</w:t>
      </w:r>
      <w:r w:rsidR="002D1B67">
        <w:rPr>
          <w:rStyle w:val="FootnoteReference"/>
        </w:rPr>
        <w:footnoteReference w:customMarkFollows="1" w:id="30"/>
        <w:t>*</w:t>
      </w:r>
      <w:r w:rsidR="00F56487">
        <w:t xml:space="preserve">, </w:t>
      </w:r>
      <w:r>
        <w:t>un rapport consacré à l'identification, à l'analyse et à l'évaluation de ces risques</w:t>
      </w:r>
      <w:r w:rsidR="002D1B67">
        <w:t xml:space="preserve"> au niveau de l'Union</w:t>
      </w:r>
      <w:r>
        <w:t>.</w:t>
      </w:r>
      <w:r w:rsidR="00033617">
        <w:t xml:space="preserve"> </w:t>
      </w:r>
      <w:r w:rsidR="00F56487">
        <w:t>Par la suite</w:t>
      </w:r>
      <w:r w:rsidR="00033617">
        <w:t>, la Commission met son rapport à jour tous les deux ans ou plus fréquemment si nécessaire.</w:t>
      </w:r>
    </w:p>
    <w:p w:rsidR="001F17B8" w:rsidRPr="0012613B" w:rsidRDefault="00033617" w:rsidP="005E336B">
      <w:pPr>
        <w:pStyle w:val="ManualNumPar1"/>
      </w:pPr>
      <w:r>
        <w:t>2.</w:t>
      </w:r>
      <w:r>
        <w:tab/>
      </w:r>
      <w:r w:rsidR="001F17B8">
        <w:t xml:space="preserve">Le </w:t>
      </w:r>
      <w:r>
        <w:t>rapport</w:t>
      </w:r>
      <w:r w:rsidR="001F17B8">
        <w:t xml:space="preserve"> visé au </w:t>
      </w:r>
      <w:r>
        <w:t>paragraphe 1</w:t>
      </w:r>
      <w:r w:rsidR="001F17B8">
        <w:t xml:space="preserve"> porte au moins sur les aspects suivants:</w:t>
      </w:r>
    </w:p>
    <w:p w:rsidR="001F17B8" w:rsidRPr="0012613B" w:rsidRDefault="005E336B" w:rsidP="00274539">
      <w:pPr>
        <w:pStyle w:val="Point1"/>
      </w:pPr>
      <w:r>
        <w:t>a)</w:t>
      </w:r>
      <w:r>
        <w:tab/>
      </w:r>
      <w:r w:rsidR="001F17B8">
        <w:t>les domaines du marché intérieur les plus exposés au risque;</w:t>
      </w:r>
    </w:p>
    <w:p w:rsidR="001F17B8" w:rsidRPr="0012613B" w:rsidRDefault="001F17B8" w:rsidP="00274539">
      <w:pPr>
        <w:pStyle w:val="Point1"/>
      </w:pPr>
      <w:r>
        <w:t>b)</w:t>
      </w:r>
      <w:r w:rsidR="005E336B">
        <w:tab/>
      </w:r>
      <w:r>
        <w:t>les risques ass</w:t>
      </w:r>
      <w:r w:rsidR="005E336B">
        <w:t>ociés à chaque secteur concerné;</w:t>
      </w:r>
    </w:p>
    <w:p w:rsidR="001F17B8" w:rsidRPr="0012613B" w:rsidRDefault="005E336B" w:rsidP="00274539">
      <w:pPr>
        <w:pStyle w:val="Point1"/>
      </w:pPr>
      <w:r>
        <w:t>c)</w:t>
      </w:r>
      <w:r>
        <w:tab/>
      </w:r>
      <w:r w:rsidR="001F17B8">
        <w:t>les moyens les plus répandus utilisés par les criminels pour blanchir les produits illicites.</w:t>
      </w:r>
    </w:p>
    <w:p w:rsidR="00033617" w:rsidRPr="0012613B" w:rsidRDefault="00274539" w:rsidP="005E336B">
      <w:pPr>
        <w:pStyle w:val="ManualNumPar1"/>
      </w:pPr>
      <w:r>
        <w:br w:type="page"/>
      </w:r>
      <w:r w:rsidR="00033617">
        <w:t>3.</w:t>
      </w:r>
      <w:r w:rsidR="00033617">
        <w:tab/>
        <w:t xml:space="preserve">La Commission met le rapport visé au paragraphe 1 à la disposition des États membres et des </w:t>
      </w:r>
      <w:r w:rsidR="00870FFE">
        <w:t>entités assujetties</w:t>
      </w:r>
      <w:r w:rsidR="00033617">
        <w:t xml:space="preserve"> pour les aider à identifier, </w:t>
      </w:r>
      <w:r w:rsidR="00657A24">
        <w:t xml:space="preserve">comprendre, </w:t>
      </w:r>
      <w:r w:rsidR="00033617">
        <w:t>gérer et atténuer les risques de blanchiment de capitaux et de financement du terrorisme et pour permettre à d'autres parties prenantes, y compris les législateurs nationaux, le Parlement européen, les AES et les représentants des CRF de mieux comprendre les risques.</w:t>
      </w:r>
    </w:p>
    <w:p w:rsidR="00033617" w:rsidRDefault="00033617" w:rsidP="005E336B">
      <w:pPr>
        <w:pStyle w:val="ManualNumPar1"/>
      </w:pPr>
      <w:r>
        <w:t>4.</w:t>
      </w:r>
      <w:r>
        <w:tab/>
        <w:t xml:space="preserve">La Commission adresse aux États membres des recommandations sur les mesures qu'il convient de prendre pour faire face aux risques identifiés. </w:t>
      </w:r>
      <w:r w:rsidR="00D96757">
        <w:t xml:space="preserve">Au cas où </w:t>
      </w:r>
      <w:r>
        <w:t xml:space="preserve">des États membres décident de ne pas appliquer </w:t>
      </w:r>
      <w:r w:rsidR="001E4300">
        <w:t xml:space="preserve">certaines </w:t>
      </w:r>
      <w:r w:rsidR="00D96757">
        <w:t>d</w:t>
      </w:r>
      <w:r>
        <w:t xml:space="preserve">es recommandations dans le cadre de leurs dispositifs de lutte contre le blanchiment de capitaux et le financement du terrorisme, ils </w:t>
      </w:r>
      <w:r w:rsidR="00E74E87">
        <w:t xml:space="preserve">le </w:t>
      </w:r>
      <w:r>
        <w:t>notifient</w:t>
      </w:r>
      <w:r w:rsidR="00E74E87">
        <w:t xml:space="preserve"> à</w:t>
      </w:r>
      <w:r>
        <w:t xml:space="preserve"> la Commission et </w:t>
      </w:r>
      <w:r w:rsidRPr="00D96757">
        <w:t>motivent leur décision</w:t>
      </w:r>
      <w:r>
        <w:t>.</w:t>
      </w:r>
    </w:p>
    <w:p w:rsidR="001F17B8" w:rsidRPr="0012613B" w:rsidRDefault="00033617" w:rsidP="005E336B">
      <w:pPr>
        <w:pStyle w:val="ManualNumPar1"/>
      </w:pPr>
      <w:r>
        <w:t>5.</w:t>
      </w:r>
      <w:r>
        <w:tab/>
        <w:t>Au plus tard le …</w:t>
      </w:r>
      <w:r w:rsidRPr="005E336B">
        <w:rPr>
          <w:b/>
          <w:vertAlign w:val="superscript"/>
        </w:rPr>
        <w:footnoteReference w:customMarkFollows="1" w:id="31"/>
        <w:t>*</w:t>
      </w:r>
      <w:r w:rsidR="005E336B">
        <w:rPr>
          <w:bCs/>
        </w:rPr>
        <w:t>, l</w:t>
      </w:r>
      <w:r w:rsidR="002C53AA">
        <w:t>e</w:t>
      </w:r>
      <w:r>
        <w:t>s</w:t>
      </w:r>
      <w:r w:rsidR="002C53AA">
        <w:t xml:space="preserve"> AES</w:t>
      </w:r>
      <w:r w:rsidR="00657A24">
        <w:t xml:space="preserve">, par l'intermédiaire du comité </w:t>
      </w:r>
      <w:r w:rsidR="00D96757">
        <w:t>mixte</w:t>
      </w:r>
      <w:r w:rsidR="00657A24">
        <w:t>,</w:t>
      </w:r>
      <w:r w:rsidR="002C53AA">
        <w:t xml:space="preserve"> </w:t>
      </w:r>
      <w:r w:rsidR="001F17B8">
        <w:t>rend</w:t>
      </w:r>
      <w:r w:rsidR="00657A24">
        <w:t>ent</w:t>
      </w:r>
      <w:r w:rsidR="001F17B8">
        <w:t xml:space="preserve"> un avis sur les risques de blanchiment de capitaux et de financement du terrorisme pesant sur le secteur financier de </w:t>
      </w:r>
      <w:r w:rsidR="003B2AB3">
        <w:t>l'Union (ci-après dénommé "avis conjoint")</w:t>
      </w:r>
      <w:r w:rsidR="001F17B8">
        <w:t>.</w:t>
      </w:r>
      <w:r>
        <w:t xml:space="preserve"> P</w:t>
      </w:r>
      <w:r w:rsidR="00F56487">
        <w:t>ar la suite</w:t>
      </w:r>
      <w:r>
        <w:t xml:space="preserve">, </w:t>
      </w:r>
      <w:r w:rsidR="00022F74">
        <w:t>les AES, par l</w:t>
      </w:r>
      <w:r w:rsidR="00746943">
        <w:t>'</w:t>
      </w:r>
      <w:r w:rsidR="00022F74">
        <w:t>intermédiaire du</w:t>
      </w:r>
      <w:r>
        <w:t xml:space="preserve"> comité </w:t>
      </w:r>
      <w:r w:rsidR="009117E2">
        <w:t>mixte</w:t>
      </w:r>
      <w:r w:rsidR="00022F74">
        <w:t>,</w:t>
      </w:r>
      <w:r w:rsidR="00F56487">
        <w:t xml:space="preserve"> </w:t>
      </w:r>
      <w:r>
        <w:t>rend</w:t>
      </w:r>
      <w:r w:rsidR="001E4300">
        <w:t>ent</w:t>
      </w:r>
      <w:r>
        <w:t xml:space="preserve"> un avis tous les deux ans.</w:t>
      </w:r>
    </w:p>
    <w:p w:rsidR="001F17B8" w:rsidRPr="0012613B" w:rsidRDefault="00F56487" w:rsidP="005E336B">
      <w:pPr>
        <w:pStyle w:val="ManualNumPar1"/>
      </w:pPr>
      <w:r>
        <w:t>6.</w:t>
      </w:r>
      <w:r>
        <w:tab/>
        <w:t xml:space="preserve">Lorsqu'elle </w:t>
      </w:r>
      <w:r w:rsidR="00031EBF">
        <w:t>réalise les évaluations visées au paragraphe 1</w:t>
      </w:r>
      <w:r>
        <w:t>, la Commission organise le travail au niveau de l'Union</w:t>
      </w:r>
      <w:r w:rsidR="00031EBF">
        <w:t>,</w:t>
      </w:r>
      <w:r>
        <w:t xml:space="preserve"> </w:t>
      </w:r>
      <w:r w:rsidRPr="00F56487">
        <w:t>tient compte des avis conjoints</w:t>
      </w:r>
      <w:r w:rsidR="00031EBF">
        <w:t xml:space="preserve"> visés au paragraphe 5</w:t>
      </w:r>
      <w:r w:rsidRPr="00F56487">
        <w:t xml:space="preserve"> </w:t>
      </w:r>
      <w:r w:rsidR="009117E2">
        <w:t>et</w:t>
      </w:r>
      <w:r w:rsidRPr="00F56487" w:rsidDel="00033617">
        <w:t xml:space="preserve"> </w:t>
      </w:r>
      <w:r w:rsidRPr="00F56487">
        <w:t xml:space="preserve">associe les experts des États membres </w:t>
      </w:r>
      <w:r w:rsidR="009117E2">
        <w:t xml:space="preserve">dans le domaine </w:t>
      </w:r>
      <w:r w:rsidRPr="00F56487">
        <w:t>de</w:t>
      </w:r>
      <w:r>
        <w:t xml:space="preserve"> la</w:t>
      </w:r>
      <w:r w:rsidRPr="00F56487">
        <w:t xml:space="preserve"> lutte contre le blanchiment de capitaux et le financement du terrorisme, les représentants des CRF et</w:t>
      </w:r>
      <w:r>
        <w:t xml:space="preserve"> d'autres organismes de l'Union si nécessaire. </w:t>
      </w:r>
      <w:r w:rsidR="001F17B8">
        <w:t>La Commission met l</w:t>
      </w:r>
      <w:r>
        <w:t xml:space="preserve">es </w:t>
      </w:r>
      <w:r w:rsidR="001F17B8">
        <w:t>avis</w:t>
      </w:r>
      <w:r w:rsidR="003B2AB3">
        <w:t xml:space="preserve"> conjoint</w:t>
      </w:r>
      <w:r>
        <w:t>s</w:t>
      </w:r>
      <w:r w:rsidR="001F17B8">
        <w:t xml:space="preserve"> à la disposition des États membres et des </w:t>
      </w:r>
      <w:r w:rsidR="00870FFE">
        <w:t>entités assujetties</w:t>
      </w:r>
      <w:r w:rsidR="001F17B8">
        <w:t xml:space="preserve"> pour les aider à identifier, gérer et atténuer les risques de blanchiment de capitaux et de financement du terrorisme.</w:t>
      </w:r>
    </w:p>
    <w:p w:rsidR="003B2AB3" w:rsidRDefault="005E336B">
      <w:pPr>
        <w:pStyle w:val="ManualNumPar1"/>
      </w:pPr>
      <w:r>
        <w:br w:type="page"/>
      </w:r>
      <w:r w:rsidR="00F56487">
        <w:t>7</w:t>
      </w:r>
      <w:r w:rsidR="001F17B8">
        <w:t>.</w:t>
      </w:r>
      <w:r w:rsidR="00274539">
        <w:tab/>
      </w:r>
      <w:r w:rsidR="001F17B8">
        <w:t xml:space="preserve">La Commission transmet au Parlement européen et au Conseil tous les deux ans, ou plus fréquemment si nécessaire, un rapport portant sur les conclusions tirées des évaluations périodiques des risques et sur les mesures prises </w:t>
      </w:r>
      <w:r w:rsidR="00363934">
        <w:t>sur la base</w:t>
      </w:r>
      <w:r>
        <w:t xml:space="preserve"> de ces conclusions.</w:t>
      </w:r>
    </w:p>
    <w:p w:rsidR="001F17B8" w:rsidRPr="00274539" w:rsidRDefault="001F17B8" w:rsidP="00274539">
      <w:pPr>
        <w:pStyle w:val="Titrearticle"/>
      </w:pPr>
      <w:r w:rsidRPr="00274539">
        <w:t>Article 7</w:t>
      </w:r>
    </w:p>
    <w:p w:rsidR="001F17B8" w:rsidRPr="0012613B" w:rsidRDefault="00274539" w:rsidP="009117E2">
      <w:pPr>
        <w:pStyle w:val="ManualNumPar1"/>
        <w:rPr>
          <w:highlight w:val="green"/>
        </w:rPr>
      </w:pPr>
      <w:r>
        <w:t>1.</w:t>
      </w:r>
      <w:r>
        <w:tab/>
      </w:r>
      <w:r w:rsidR="001F17B8">
        <w:t>Chaque État membre prend des mesures appropriées pour identifier, évaluer, comprendre et atténuer les risques de blanchiment de capitaux et de financement du terrorisme auxquels il est exposé, ainsi que tout problème relatif à la protection des données qui y est lié</w:t>
      </w:r>
      <w:r w:rsidR="00F56487">
        <w:t>. Il</w:t>
      </w:r>
      <w:r w:rsidR="001F17B8">
        <w:t xml:space="preserve"> tient à jour cette évaluation</w:t>
      </w:r>
      <w:r w:rsidR="00B43B28">
        <w:t xml:space="preserve"> des risques</w:t>
      </w:r>
      <w:r w:rsidR="001F17B8">
        <w:t>.</w:t>
      </w:r>
    </w:p>
    <w:p w:rsidR="001F17B8" w:rsidRPr="0012613B" w:rsidRDefault="001F17B8" w:rsidP="005E336B">
      <w:pPr>
        <w:pStyle w:val="ManualNumPar1"/>
      </w:pPr>
      <w:r>
        <w:t>2.</w:t>
      </w:r>
      <w:r w:rsidR="00274539">
        <w:tab/>
      </w:r>
      <w:r>
        <w:t>Chaque État membre désigne une autorité ou met en place un mécanisme pour coordonner la</w:t>
      </w:r>
      <w:r w:rsidR="005E336B">
        <w:t xml:space="preserve"> </w:t>
      </w:r>
      <w:r>
        <w:t xml:space="preserve">réponse nationale aux risques visés au paragraphe 1. L'identité de cette autorité ou la description du mécanisme est notifiée à la Commission, </w:t>
      </w:r>
      <w:r w:rsidR="003B2AB3">
        <w:t xml:space="preserve">aux </w:t>
      </w:r>
      <w:r w:rsidR="00B43B28">
        <w:t>AES</w:t>
      </w:r>
      <w:r>
        <w:t xml:space="preserve"> et aux autres États membres.</w:t>
      </w:r>
    </w:p>
    <w:p w:rsidR="001F17B8" w:rsidRPr="0012613B" w:rsidRDefault="001F17B8" w:rsidP="00274539">
      <w:pPr>
        <w:pStyle w:val="ManualNumPar1"/>
      </w:pPr>
      <w:r>
        <w:t>3.</w:t>
      </w:r>
      <w:r w:rsidR="00274539">
        <w:tab/>
      </w:r>
      <w:r>
        <w:t xml:space="preserve">Pour effectuer les évaluations </w:t>
      </w:r>
      <w:r w:rsidR="00CC5BCB">
        <w:t xml:space="preserve">des risques </w:t>
      </w:r>
      <w:r>
        <w:t>visées au paragraphe 1</w:t>
      </w:r>
      <w:r w:rsidR="001C72E4">
        <w:t xml:space="preserve"> du présent article</w:t>
      </w:r>
      <w:r>
        <w:t>, les États membres se servent des conclusions du rapport visé à l'article 6, paragraphe 1.</w:t>
      </w:r>
    </w:p>
    <w:p w:rsidR="001F17B8" w:rsidRPr="0012613B" w:rsidRDefault="001F17B8" w:rsidP="009117E2">
      <w:pPr>
        <w:pStyle w:val="ManualNumPar1"/>
      </w:pPr>
      <w:r>
        <w:t>4.</w:t>
      </w:r>
      <w:r w:rsidR="00274539">
        <w:tab/>
      </w:r>
      <w:r w:rsidR="00B43B28">
        <w:t>En ce qui concerne l'évaluation des risques visée au paragraphe 1, c</w:t>
      </w:r>
      <w:r>
        <w:t>haque État membre:</w:t>
      </w:r>
    </w:p>
    <w:p w:rsidR="001F17B8" w:rsidRPr="0012613B" w:rsidRDefault="001F17B8" w:rsidP="009117E2">
      <w:pPr>
        <w:pStyle w:val="Point1"/>
      </w:pPr>
      <w:r>
        <w:t>a)</w:t>
      </w:r>
      <w:r w:rsidR="00274539">
        <w:tab/>
      </w:r>
      <w:r>
        <w:t xml:space="preserve">utilise </w:t>
      </w:r>
      <w:r w:rsidR="009117E2">
        <w:t>cette évaluation</w:t>
      </w:r>
      <w:r>
        <w:t xml:space="preserve"> pour améliorer son dispositif de lutte contre le blanchiment de capitaux et le financement du terrorisme, en particulier en identifiant les éventuels domaines dans lesquels les </w:t>
      </w:r>
      <w:r w:rsidR="00870FFE">
        <w:t>entités assujetties</w:t>
      </w:r>
      <w:r>
        <w:t xml:space="preserve"> doivent appliquer des mesures renforcées et, s'il y a lieu, en précisant les mesures à prendre;</w:t>
      </w:r>
    </w:p>
    <w:p w:rsidR="001F17B8" w:rsidRPr="0012613B" w:rsidRDefault="00CC5BCB">
      <w:pPr>
        <w:pStyle w:val="Point1"/>
      </w:pPr>
      <w:r>
        <w:t>b</w:t>
      </w:r>
      <w:r w:rsidR="005E336B">
        <w:t>)</w:t>
      </w:r>
      <w:r w:rsidR="001E4300">
        <w:tab/>
      </w:r>
      <w:r w:rsidR="00363934">
        <w:t>identifie</w:t>
      </w:r>
      <w:r w:rsidR="001F17B8">
        <w:t>, le cas échéant, les secteurs ou domaines comportant un risque plus faible ou plus élevé de blanchiment de capitaux et de financement du terrorisme;</w:t>
      </w:r>
    </w:p>
    <w:p w:rsidR="001F17B8" w:rsidRPr="0012613B" w:rsidRDefault="005E336B" w:rsidP="009117E2">
      <w:pPr>
        <w:pStyle w:val="Point1"/>
      </w:pPr>
      <w:r>
        <w:br w:type="page"/>
      </w:r>
      <w:r w:rsidR="00CC5BCB">
        <w:t>c</w:t>
      </w:r>
      <w:r>
        <w:t>)</w:t>
      </w:r>
      <w:r w:rsidR="001E4300">
        <w:tab/>
      </w:r>
      <w:r w:rsidR="00CC5BCB">
        <w:t>utilise</w:t>
      </w:r>
      <w:r w:rsidR="009117E2">
        <w:t xml:space="preserve"> cette évaluation</w:t>
      </w:r>
      <w:r w:rsidR="001F17B8">
        <w:t xml:space="preserve"> pour </w:t>
      </w:r>
      <w:r w:rsidR="009117E2">
        <w:t xml:space="preserve">l'aider à </w:t>
      </w:r>
      <w:r w:rsidR="001F17B8">
        <w:t>répartir et hiérarchiser les ressources consacrées à la lutte contre le blanchiment de capitaux et le financement du terrorisme;</w:t>
      </w:r>
    </w:p>
    <w:p w:rsidR="001F17B8" w:rsidRPr="0012613B" w:rsidRDefault="00CC5BCB" w:rsidP="009117E2">
      <w:pPr>
        <w:pStyle w:val="Point1"/>
      </w:pPr>
      <w:r w:rsidRPr="00320A3E">
        <w:t>d</w:t>
      </w:r>
      <w:r w:rsidR="001F17B8" w:rsidRPr="001E4300">
        <w:t>)</w:t>
      </w:r>
      <w:r w:rsidR="001E4300">
        <w:tab/>
      </w:r>
      <w:r w:rsidR="001F17B8">
        <w:t>utilise</w:t>
      </w:r>
      <w:r w:rsidR="009117E2">
        <w:t xml:space="preserve"> cette évaluation</w:t>
      </w:r>
      <w:r w:rsidR="001F17B8">
        <w:t xml:space="preserve"> pour veiller à l'élab</w:t>
      </w:r>
      <w:r w:rsidR="005E336B">
        <w:t xml:space="preserve">oration, pour chaque secteur ou </w:t>
      </w:r>
      <w:r w:rsidR="001F17B8">
        <w:t>domaine, de règles appropriées en fonction d</w:t>
      </w:r>
      <w:r w:rsidR="001C72E4">
        <w:t>es</w:t>
      </w:r>
      <w:r w:rsidR="001F17B8">
        <w:t xml:space="preserve"> risque</w:t>
      </w:r>
      <w:r w:rsidR="001C72E4">
        <w:t>s</w:t>
      </w:r>
      <w:r w:rsidR="001F17B8">
        <w:t xml:space="preserve"> de blanchiment de capitaux</w:t>
      </w:r>
      <w:r w:rsidR="001C72E4">
        <w:t xml:space="preserve"> </w:t>
      </w:r>
      <w:r w:rsidR="001C72E4" w:rsidRPr="001C72E4">
        <w:t>et de financement du terrorisme</w:t>
      </w:r>
      <w:r w:rsidR="001F17B8">
        <w:t>;</w:t>
      </w:r>
    </w:p>
    <w:p w:rsidR="001F17B8" w:rsidRPr="0012613B" w:rsidRDefault="00CC5BCB" w:rsidP="005E336B">
      <w:pPr>
        <w:pStyle w:val="Point1"/>
      </w:pPr>
      <w:r>
        <w:t>e</w:t>
      </w:r>
      <w:r w:rsidR="001F17B8">
        <w:t>)</w:t>
      </w:r>
      <w:r w:rsidR="001E4300">
        <w:tab/>
      </w:r>
      <w:r w:rsidR="001F17B8">
        <w:t xml:space="preserve">met rapidement à la disposition des </w:t>
      </w:r>
      <w:r w:rsidR="00870FFE">
        <w:t>entités assujetties</w:t>
      </w:r>
      <w:r w:rsidR="001F17B8">
        <w:t xml:space="preserve"> des informations appropriées leur permettant de réaliser plus facilement leurs propres évaluations des risques de blanchiment de capitaux et de financement du terrorisme.</w:t>
      </w:r>
    </w:p>
    <w:p w:rsidR="001F17B8" w:rsidRPr="0012613B" w:rsidRDefault="001F17B8" w:rsidP="00CC5BCB">
      <w:pPr>
        <w:pStyle w:val="ManualNumPar1"/>
      </w:pPr>
      <w:r>
        <w:t>5.</w:t>
      </w:r>
      <w:r w:rsidR="00977D98">
        <w:tab/>
      </w:r>
      <w:r>
        <w:t>Les États membres mettent les résultats de leurs évaluations des risques à la disposition de la Commission</w:t>
      </w:r>
      <w:r w:rsidR="003B2AB3">
        <w:t>,</w:t>
      </w:r>
      <w:r>
        <w:t xml:space="preserve"> des </w:t>
      </w:r>
      <w:r w:rsidR="00B43B28">
        <w:t>AES</w:t>
      </w:r>
      <w:r w:rsidR="005E336B">
        <w:t xml:space="preserve"> ainsi que des </w:t>
      </w:r>
      <w:r w:rsidR="003B2AB3">
        <w:t>autres États membres</w:t>
      </w:r>
      <w:r>
        <w:t>.</w:t>
      </w:r>
    </w:p>
    <w:p w:rsidR="001F17B8" w:rsidRPr="00977D98" w:rsidRDefault="001F17B8" w:rsidP="00977D98">
      <w:pPr>
        <w:pStyle w:val="Titrearticle"/>
      </w:pPr>
      <w:r w:rsidRPr="00977D98">
        <w:t>Article 8</w:t>
      </w:r>
    </w:p>
    <w:p w:rsidR="001F17B8" w:rsidRPr="0012613B" w:rsidRDefault="005E336B" w:rsidP="00746943">
      <w:pPr>
        <w:pStyle w:val="ManualNumPar1"/>
      </w:pPr>
      <w:r>
        <w:t>1.</w:t>
      </w:r>
      <w:r w:rsidR="00CC5BCB">
        <w:tab/>
      </w:r>
      <w:r w:rsidR="001F17B8">
        <w:t xml:space="preserve">Les États membres veillent à ce que les </w:t>
      </w:r>
      <w:r w:rsidR="00870FFE">
        <w:t>entités assujetties</w:t>
      </w:r>
      <w:r w:rsidR="001F17B8">
        <w:t xml:space="preserve"> prennent des mesures appropriées pour identifier et évaluer les risques de blanchiment de capitaux et de financement du terrorisme auxquels elles sont exposées, en tenant compte de facteurs de risques </w:t>
      </w:r>
      <w:r w:rsidR="00363934">
        <w:t>y compris</w:t>
      </w:r>
      <w:r w:rsidR="001F17B8">
        <w:t xml:space="preserve"> </w:t>
      </w:r>
      <w:r w:rsidR="00CC5BCB">
        <w:t>ceux liés à leurs</w:t>
      </w:r>
      <w:r w:rsidR="001F17B8">
        <w:t xml:space="preserve"> clients, pays ou zones géographiques, produits, services, transactions ou canaux de distribution. Ces mesures sont proportionnées à la nature et à la taille des </w:t>
      </w:r>
      <w:r w:rsidR="00870FFE">
        <w:t>entités assujetties</w:t>
      </w:r>
      <w:r w:rsidR="001F17B8">
        <w:t>.</w:t>
      </w:r>
    </w:p>
    <w:p w:rsidR="001F17B8" w:rsidRPr="0012613B" w:rsidRDefault="001F17B8" w:rsidP="00977D98">
      <w:pPr>
        <w:pStyle w:val="ManualNumPar1"/>
      </w:pPr>
      <w:r>
        <w:t>2.</w:t>
      </w:r>
      <w:r w:rsidR="00977D98">
        <w:tab/>
      </w:r>
      <w:r>
        <w:t xml:space="preserve">Les évaluations </w:t>
      </w:r>
      <w:r w:rsidR="00CC5BCB">
        <w:t xml:space="preserve">des risques </w:t>
      </w:r>
      <w:r>
        <w:t>visées au paragraphe 1 sont documentées, tenues à jour et mises à la disposition des autorités compétentes et des organismes d'autorégulation concernés. Les autorités compétentes peuvent décider que certaines évaluations des risques documentées ne sont pas nécessaires si les risques propres au secteur sont bien précisés et compris.</w:t>
      </w:r>
    </w:p>
    <w:p w:rsidR="001F17B8" w:rsidRPr="0012613B" w:rsidRDefault="005E336B" w:rsidP="00AB7717">
      <w:pPr>
        <w:pStyle w:val="ManualNumPar1"/>
      </w:pPr>
      <w:r>
        <w:br w:type="page"/>
      </w:r>
      <w:r w:rsidR="001F17B8">
        <w:t>3.</w:t>
      </w:r>
      <w:r w:rsidR="00977D98">
        <w:tab/>
      </w:r>
      <w:r w:rsidR="001F17B8">
        <w:t xml:space="preserve">Les États membres veillent à ce que les </w:t>
      </w:r>
      <w:r w:rsidR="00870FFE">
        <w:t>entités assujetties</w:t>
      </w:r>
      <w:r w:rsidR="001F17B8">
        <w:t xml:space="preserve"> disposent de politiques, de </w:t>
      </w:r>
      <w:r w:rsidR="00B43B28">
        <w:t xml:space="preserve">contrôles </w:t>
      </w:r>
      <w:r w:rsidR="001F17B8">
        <w:t xml:space="preserve">et de </w:t>
      </w:r>
      <w:r w:rsidR="00B43B28">
        <w:t>procédures</w:t>
      </w:r>
      <w:r w:rsidR="00B43B28" w:rsidDel="00B43B28">
        <w:t xml:space="preserve"> </w:t>
      </w:r>
      <w:r w:rsidR="001F17B8">
        <w:t xml:space="preserve">pour atténuer et gérer efficacement les risques de blanchiment de capitaux et de financement du terrorisme identifiés au niveau de l'Union, de </w:t>
      </w:r>
      <w:r w:rsidR="00CC5BCB">
        <w:t>l'</w:t>
      </w:r>
      <w:r w:rsidR="001F17B8">
        <w:t xml:space="preserve">État membre et de </w:t>
      </w:r>
      <w:r w:rsidR="00CC5BCB">
        <w:t>l'</w:t>
      </w:r>
      <w:r w:rsidR="007468D1">
        <w:t>entité assujettie</w:t>
      </w:r>
      <w:r w:rsidR="001F17B8">
        <w:t xml:space="preserve">. Ces politiques, </w:t>
      </w:r>
      <w:r w:rsidR="00B43B28">
        <w:t xml:space="preserve">contrôles et </w:t>
      </w:r>
      <w:r w:rsidR="001F17B8">
        <w:t xml:space="preserve">procédures </w:t>
      </w:r>
      <w:r w:rsidR="00AB7717">
        <w:t>sont</w:t>
      </w:r>
      <w:r w:rsidR="001F17B8">
        <w:t xml:space="preserve"> proportionnés à la nature et à la taille de</w:t>
      </w:r>
      <w:r w:rsidR="00B43B28">
        <w:t>s</w:t>
      </w:r>
      <w:r w:rsidR="001F17B8">
        <w:t xml:space="preserve"> </w:t>
      </w:r>
      <w:r w:rsidR="00870FFE">
        <w:t>entités assujetties</w:t>
      </w:r>
      <w:r w:rsidR="001F17B8">
        <w:t>.</w:t>
      </w:r>
    </w:p>
    <w:p w:rsidR="001F17B8" w:rsidRPr="0012613B" w:rsidRDefault="001F17B8" w:rsidP="00977D98">
      <w:pPr>
        <w:pStyle w:val="ManualNumPar1"/>
        <w:rPr>
          <w:noProof/>
        </w:rPr>
      </w:pPr>
      <w:r>
        <w:t>4.</w:t>
      </w:r>
      <w:r w:rsidR="00977D98">
        <w:tab/>
      </w:r>
      <w:r>
        <w:t>Les politiques</w:t>
      </w:r>
      <w:r w:rsidR="003B2AB3">
        <w:t>,</w:t>
      </w:r>
      <w:r>
        <w:t xml:space="preserve"> </w:t>
      </w:r>
      <w:r w:rsidR="003B2AB3">
        <w:t xml:space="preserve">contrôles </w:t>
      </w:r>
      <w:r>
        <w:t>et procédures visées au paragraphe 3 comprennent:</w:t>
      </w:r>
    </w:p>
    <w:p w:rsidR="001F17B8" w:rsidRPr="0012613B" w:rsidRDefault="001F17B8" w:rsidP="00650A73">
      <w:pPr>
        <w:pStyle w:val="Point1"/>
      </w:pPr>
      <w:r>
        <w:t>a)</w:t>
      </w:r>
      <w:r w:rsidR="00977D98">
        <w:tab/>
      </w:r>
      <w:r>
        <w:t xml:space="preserve">l'élaboration de politiques, </w:t>
      </w:r>
      <w:r w:rsidR="003B2AB3">
        <w:t xml:space="preserve">contrôles et </w:t>
      </w:r>
      <w:r>
        <w:t xml:space="preserve">procédures internes, y compris </w:t>
      </w:r>
      <w:r w:rsidR="00AB7717">
        <w:t xml:space="preserve">les </w:t>
      </w:r>
      <w:r w:rsidR="0062290A">
        <w:t xml:space="preserve">modèles </w:t>
      </w:r>
      <w:r>
        <w:t xml:space="preserve">en matière de gestion des risques, </w:t>
      </w:r>
      <w:r w:rsidR="00AB7717">
        <w:t>la</w:t>
      </w:r>
      <w:r>
        <w:t xml:space="preserve"> vigilance à l'égard de la clientèle, </w:t>
      </w:r>
      <w:r w:rsidR="00AB7717">
        <w:t>l</w:t>
      </w:r>
      <w:r w:rsidR="00650A73">
        <w:t>a</w:t>
      </w:r>
      <w:r>
        <w:t xml:space="preserve"> </w:t>
      </w:r>
      <w:r w:rsidR="00650A73">
        <w:t>déclaration</w:t>
      </w:r>
      <w:r w:rsidR="00956DA8">
        <w:t>,</w:t>
      </w:r>
      <w:r>
        <w:t xml:space="preserve"> </w:t>
      </w:r>
      <w:r w:rsidR="00AB7717">
        <w:t>la</w:t>
      </w:r>
      <w:r>
        <w:t xml:space="preserve"> conservation des documents et pièces, </w:t>
      </w:r>
      <w:r w:rsidR="00AB7717">
        <w:t>le</w:t>
      </w:r>
      <w:r>
        <w:t xml:space="preserve"> contrôle interne, </w:t>
      </w:r>
      <w:r w:rsidR="00AB7717">
        <w:t>la</w:t>
      </w:r>
      <w:r>
        <w:t xml:space="preserve"> gestion du respect des obligations y compris, si la taille et la nature de l'activité le justifient, la nomination, au niveau de l'encadrement, d'un responsable du contrôle du respect des obligations et </w:t>
      </w:r>
      <w:r w:rsidR="00AB7717">
        <w:t>la sélection</w:t>
      </w:r>
      <w:r>
        <w:t xml:space="preserve"> </w:t>
      </w:r>
      <w:r w:rsidR="00AB7717">
        <w:t>du</w:t>
      </w:r>
      <w:r w:rsidR="005E336B">
        <w:t xml:space="preserve"> </w:t>
      </w:r>
      <w:r>
        <w:t>personnel;</w:t>
      </w:r>
    </w:p>
    <w:p w:rsidR="001F17B8" w:rsidRPr="0012613B" w:rsidRDefault="001F17B8" w:rsidP="00977D98">
      <w:pPr>
        <w:pStyle w:val="Point1"/>
      </w:pPr>
      <w:r>
        <w:t>b)</w:t>
      </w:r>
      <w:r w:rsidR="00977D98">
        <w:tab/>
      </w:r>
      <w:r>
        <w:t>lorsque cela est approprié eu égard à la taille et à la nature des activités, une fonction d'audit indépendante chargée de tester les politiques,</w:t>
      </w:r>
      <w:r w:rsidR="003B2AB3">
        <w:t xml:space="preserve"> contrôles</w:t>
      </w:r>
      <w:r>
        <w:t xml:space="preserve"> et </w:t>
      </w:r>
      <w:r w:rsidR="003B2AB3">
        <w:t xml:space="preserve">procédures </w:t>
      </w:r>
      <w:r>
        <w:t>visés au point a).</w:t>
      </w:r>
    </w:p>
    <w:p w:rsidR="001F17B8" w:rsidRPr="0012613B" w:rsidRDefault="001F17B8" w:rsidP="00B7164D">
      <w:pPr>
        <w:pStyle w:val="ManualNumPar1"/>
      </w:pPr>
      <w:r>
        <w:t>5.</w:t>
      </w:r>
      <w:r>
        <w:tab/>
        <w:t xml:space="preserve">Les États membres </w:t>
      </w:r>
      <w:r w:rsidR="009117E2">
        <w:t>exigent des</w:t>
      </w:r>
      <w:r>
        <w:t xml:space="preserve"> </w:t>
      </w:r>
      <w:r w:rsidR="00870FFE">
        <w:t>entités assujetties</w:t>
      </w:r>
      <w:r>
        <w:t xml:space="preserve"> </w:t>
      </w:r>
      <w:r w:rsidRPr="00C81C06">
        <w:t xml:space="preserve">d'obtenir l'autorisation </w:t>
      </w:r>
      <w:r w:rsidR="007E1EBF">
        <w:t xml:space="preserve">d'un </w:t>
      </w:r>
      <w:r w:rsidRPr="00686D63">
        <w:t>membre d'un niveau élevé de l</w:t>
      </w:r>
      <w:r w:rsidR="00956DA8" w:rsidRPr="00C81C06">
        <w:t>eur</w:t>
      </w:r>
      <w:r w:rsidRPr="00C81C06">
        <w:t xml:space="preserve"> hiérarchie pour les politiques</w:t>
      </w:r>
      <w:r w:rsidR="003B2AB3" w:rsidRPr="00C81C06">
        <w:t>, contr</w:t>
      </w:r>
      <w:r w:rsidR="003B2AB3">
        <w:t>ôles</w:t>
      </w:r>
      <w:r>
        <w:t xml:space="preserve"> et procédures qu'elles mettent en place </w:t>
      </w:r>
      <w:r w:rsidR="00031EBF">
        <w:t xml:space="preserve">et </w:t>
      </w:r>
      <w:r w:rsidR="0062290A">
        <w:t xml:space="preserve">de </w:t>
      </w:r>
      <w:r w:rsidR="00B7164D">
        <w:t>contrôler</w:t>
      </w:r>
      <w:r>
        <w:t xml:space="preserve"> et </w:t>
      </w:r>
      <w:r w:rsidR="0062290A">
        <w:t xml:space="preserve">de </w:t>
      </w:r>
      <w:r>
        <w:t>renforce</w:t>
      </w:r>
      <w:r w:rsidR="0062290A">
        <w:t>r</w:t>
      </w:r>
      <w:r>
        <w:t>, s'il y a lieu, les mesures prises.</w:t>
      </w:r>
    </w:p>
    <w:p w:rsidR="001F17B8" w:rsidRPr="0012613B" w:rsidRDefault="005E336B" w:rsidP="00977D98">
      <w:pPr>
        <w:pStyle w:val="SectionTitle"/>
      </w:pPr>
      <w:r>
        <w:rPr>
          <w:noProof/>
        </w:rPr>
        <w:br w:type="page"/>
      </w:r>
      <w:r w:rsidR="001F17B8">
        <w:rPr>
          <w:noProof/>
        </w:rPr>
        <w:t>Section 3</w:t>
      </w:r>
      <w:r w:rsidR="00977D98">
        <w:rPr>
          <w:noProof/>
        </w:rPr>
        <w:br/>
      </w:r>
      <w:r w:rsidR="001F17B8">
        <w:rPr>
          <w:noProof/>
        </w:rPr>
        <w:t>Politique à l'égard des pays tiers</w:t>
      </w:r>
    </w:p>
    <w:p w:rsidR="001F17B8" w:rsidRPr="00977D98" w:rsidRDefault="001F17B8">
      <w:pPr>
        <w:pStyle w:val="Titrearticle"/>
      </w:pPr>
      <w:r w:rsidRPr="00977D98">
        <w:t xml:space="preserve">Article </w:t>
      </w:r>
      <w:r w:rsidR="00DC09DC">
        <w:t>9</w:t>
      </w:r>
    </w:p>
    <w:p w:rsidR="001F17B8" w:rsidRPr="0012613B" w:rsidRDefault="001F17B8" w:rsidP="00AB7717">
      <w:pPr>
        <w:pStyle w:val="ManualNumPar1"/>
      </w:pPr>
      <w:r>
        <w:t>1.</w:t>
      </w:r>
      <w:r w:rsidR="00977D98">
        <w:tab/>
      </w:r>
      <w:r>
        <w:t xml:space="preserve">Les pays tiers dont les dispositifs de lutte contre le blanchiment de capitaux et le financement du terrorisme présentent des </w:t>
      </w:r>
      <w:r w:rsidR="00AB7717">
        <w:t>carences</w:t>
      </w:r>
      <w:r>
        <w:t xml:space="preserve"> stratégiques qui font peser une menace </w:t>
      </w:r>
      <w:r w:rsidR="00AB7717">
        <w:t>significative</w:t>
      </w:r>
      <w:r>
        <w:t xml:space="preserve"> sur le système financier de l'Union </w:t>
      </w:r>
      <w:r w:rsidR="00CC5BCB">
        <w:t xml:space="preserve">(ci-après dénommés "pays tiers à haut risque") </w:t>
      </w:r>
      <w:r>
        <w:t>sont recensés afin de pr</w:t>
      </w:r>
      <w:r w:rsidR="005E336B">
        <w:t xml:space="preserve">otéger le bon fonctionnement du </w:t>
      </w:r>
      <w:r>
        <w:t>marché intérieur.</w:t>
      </w:r>
    </w:p>
    <w:p w:rsidR="001F17B8" w:rsidRPr="0012613B" w:rsidRDefault="00031EBF" w:rsidP="00224FF1">
      <w:pPr>
        <w:pStyle w:val="ManualNumPar1"/>
        <w:rPr>
          <w:rFonts w:eastAsia="Calibri"/>
        </w:rPr>
      </w:pPr>
      <w:r>
        <w:t>2</w:t>
      </w:r>
      <w:r w:rsidR="001F17B8">
        <w:t>.</w:t>
      </w:r>
      <w:r w:rsidR="00977D98">
        <w:tab/>
      </w:r>
      <w:r w:rsidR="001F17B8">
        <w:t xml:space="preserve">La Commission est habilitée à adopter des actes délégués </w:t>
      </w:r>
      <w:r w:rsidR="009117E2">
        <w:t xml:space="preserve">en </w:t>
      </w:r>
      <w:r w:rsidR="00CC5BCB">
        <w:t>conform</w:t>
      </w:r>
      <w:r w:rsidR="009117E2">
        <w:t>it</w:t>
      </w:r>
      <w:r w:rsidR="00CC5BCB">
        <w:t xml:space="preserve">é </w:t>
      </w:r>
      <w:r w:rsidR="009117E2">
        <w:t>avec</w:t>
      </w:r>
      <w:r w:rsidR="00CC5BCB">
        <w:t xml:space="preserve"> l'article </w:t>
      </w:r>
      <w:r w:rsidR="00224FF1">
        <w:t>64</w:t>
      </w:r>
      <w:r w:rsidR="00CC5BCB">
        <w:t xml:space="preserve"> </w:t>
      </w:r>
      <w:r w:rsidR="001F17B8">
        <w:t xml:space="preserve">pour recenser les pays </w:t>
      </w:r>
      <w:r w:rsidR="00B7164D">
        <w:t xml:space="preserve">tiers </w:t>
      </w:r>
      <w:r w:rsidR="001F17B8">
        <w:t xml:space="preserve">à haut risque, en prenant en compte leurs </w:t>
      </w:r>
      <w:r w:rsidR="00AB7717">
        <w:t>carences</w:t>
      </w:r>
      <w:r w:rsidR="001F17B8">
        <w:t xml:space="preserve"> stratégiques, notamment en ce qui concerne:</w:t>
      </w:r>
    </w:p>
    <w:p w:rsidR="001F17B8" w:rsidRPr="0012613B" w:rsidRDefault="001F17B8" w:rsidP="00977D98">
      <w:pPr>
        <w:pStyle w:val="Point1"/>
      </w:pPr>
      <w:r>
        <w:t>a)</w:t>
      </w:r>
      <w:r w:rsidR="00977D98">
        <w:tab/>
      </w:r>
      <w:r>
        <w:t>le cadre juridique et institutionnel du pays tiers en matière de lutte contre le blanchiment de capitaux et le financement du terrorisme, en particulier:</w:t>
      </w:r>
    </w:p>
    <w:p w:rsidR="001F17B8" w:rsidRPr="0012613B" w:rsidRDefault="001F17B8">
      <w:pPr>
        <w:pStyle w:val="Point2"/>
      </w:pPr>
      <w:r>
        <w:t>i)</w:t>
      </w:r>
      <w:r w:rsidR="00977D98">
        <w:tab/>
      </w:r>
      <w:r w:rsidR="00031EBF">
        <w:t>l'</w:t>
      </w:r>
      <w:r>
        <w:t>incrimination du blanchiment de capitaux et du financement du terrorisme;</w:t>
      </w:r>
    </w:p>
    <w:p w:rsidR="001F17B8" w:rsidRPr="0012613B" w:rsidRDefault="001F17B8" w:rsidP="00977D98">
      <w:pPr>
        <w:pStyle w:val="Point2"/>
      </w:pPr>
      <w:r>
        <w:t>ii)</w:t>
      </w:r>
      <w:r w:rsidR="00977D98">
        <w:tab/>
      </w:r>
      <w:r>
        <w:t>les mesures de vigilance à l'égard de la clientèle;</w:t>
      </w:r>
    </w:p>
    <w:p w:rsidR="001F17B8" w:rsidRPr="0012613B" w:rsidRDefault="001F17B8" w:rsidP="00977D98">
      <w:pPr>
        <w:pStyle w:val="Point2"/>
      </w:pPr>
      <w:r>
        <w:t>iii)</w:t>
      </w:r>
      <w:r w:rsidR="00977D98">
        <w:tab/>
      </w:r>
      <w:r>
        <w:t>les obligations en matière de conservation des documents et pièces; et</w:t>
      </w:r>
    </w:p>
    <w:p w:rsidR="001F17B8" w:rsidRPr="0012613B" w:rsidRDefault="001F17B8">
      <w:pPr>
        <w:pStyle w:val="Point2"/>
      </w:pPr>
      <w:r>
        <w:t>iv)</w:t>
      </w:r>
      <w:r w:rsidR="00977D98">
        <w:tab/>
      </w:r>
      <w:r>
        <w:t>le</w:t>
      </w:r>
      <w:r w:rsidR="00CC5BCB">
        <w:t>s obligations en matière de</w:t>
      </w:r>
      <w:r>
        <w:t xml:space="preserve"> </w:t>
      </w:r>
      <w:r w:rsidR="00650A73">
        <w:t xml:space="preserve">déclaration </w:t>
      </w:r>
      <w:r>
        <w:t>des transactions suspectes;</w:t>
      </w:r>
    </w:p>
    <w:p w:rsidR="001F17B8" w:rsidRPr="0012613B" w:rsidRDefault="005E336B" w:rsidP="00977D98">
      <w:pPr>
        <w:pStyle w:val="Point1"/>
      </w:pPr>
      <w:r>
        <w:br w:type="page"/>
      </w:r>
      <w:r w:rsidR="001F17B8">
        <w:t>b)</w:t>
      </w:r>
      <w:r w:rsidR="00977D98">
        <w:tab/>
      </w:r>
      <w:r w:rsidR="001F17B8">
        <w:t>les pouvoirs des autorités compétentes du pays tiers et les procédures qu'elles appliquent aux fins de la lutte contre le blanchiment de capitaux e</w:t>
      </w:r>
      <w:r>
        <w:t>t le financement du terrorisme;</w:t>
      </w:r>
    </w:p>
    <w:p w:rsidR="001F17B8" w:rsidRPr="0012613B" w:rsidRDefault="001F17B8" w:rsidP="009117E2">
      <w:pPr>
        <w:pStyle w:val="Point1"/>
      </w:pPr>
      <w:r>
        <w:t>c)</w:t>
      </w:r>
      <w:r w:rsidR="00977D98">
        <w:tab/>
      </w:r>
      <w:r>
        <w:t xml:space="preserve">l'efficacité du dispositif de lutte contre le blanchiment de capitaux et le financement du terrorisme pour </w:t>
      </w:r>
      <w:r w:rsidR="009117E2">
        <w:t>faire face aux</w:t>
      </w:r>
      <w:r>
        <w:t xml:space="preserve"> risques de blanchiment de capitaux et de financement du terrorisme dans le pays tiers.</w:t>
      </w:r>
    </w:p>
    <w:p w:rsidR="001F17B8" w:rsidRPr="0012613B" w:rsidRDefault="00031EBF" w:rsidP="00746943">
      <w:pPr>
        <w:pStyle w:val="ManualNumPar1"/>
        <w:rPr>
          <w:rFonts w:eastAsia="Calibri"/>
        </w:rPr>
      </w:pPr>
      <w:r>
        <w:t>3</w:t>
      </w:r>
      <w:r w:rsidR="001F17B8">
        <w:t>.</w:t>
      </w:r>
      <w:r w:rsidR="00977D98">
        <w:tab/>
      </w:r>
      <w:r w:rsidR="00B7164D">
        <w:t>L</w:t>
      </w:r>
      <w:r w:rsidR="001F17B8">
        <w:t xml:space="preserve">es actes délégués </w:t>
      </w:r>
      <w:r w:rsidR="003B2AB3">
        <w:t xml:space="preserve">visés au paragraphe </w:t>
      </w:r>
      <w:r w:rsidR="009117E2">
        <w:t>2</w:t>
      </w:r>
      <w:r w:rsidR="003B2AB3">
        <w:t xml:space="preserve"> </w:t>
      </w:r>
      <w:r w:rsidR="001F17B8">
        <w:t xml:space="preserve">sont adoptés dans un délai d'un mois après le recensement des </w:t>
      </w:r>
      <w:r w:rsidR="00C6391C">
        <w:t>carences</w:t>
      </w:r>
      <w:r w:rsidR="001F17B8">
        <w:t xml:space="preserve"> stratégiques visé au</w:t>
      </w:r>
      <w:r w:rsidR="00CC5BCB">
        <w:t>dit</w:t>
      </w:r>
      <w:r w:rsidR="001F17B8">
        <w:t xml:space="preserve"> paragraphe.</w:t>
      </w:r>
    </w:p>
    <w:p w:rsidR="001F17B8" w:rsidRPr="0012613B" w:rsidRDefault="00031EBF" w:rsidP="009117E2">
      <w:pPr>
        <w:pStyle w:val="ManualNumPar1"/>
      </w:pPr>
      <w:r>
        <w:t>4</w:t>
      </w:r>
      <w:r w:rsidR="001F17B8">
        <w:t>.</w:t>
      </w:r>
      <w:r w:rsidR="00977D98">
        <w:tab/>
      </w:r>
      <w:r w:rsidR="001F17B8">
        <w:t xml:space="preserve">La Commission prend en compte, au besoin, </w:t>
      </w:r>
      <w:r w:rsidR="00EC2163">
        <w:t xml:space="preserve">lorsqu'elle rédige les actes délégués visés au paragraphe </w:t>
      </w:r>
      <w:r w:rsidR="009117E2">
        <w:t>2</w:t>
      </w:r>
      <w:r w:rsidR="00EC2163">
        <w:t xml:space="preserve">, </w:t>
      </w:r>
      <w:r w:rsidR="001F17B8">
        <w:t xml:space="preserve">les </w:t>
      </w:r>
      <w:r w:rsidR="001F17B8" w:rsidRPr="00AB7717">
        <w:t>évaluations</w:t>
      </w:r>
      <w:r w:rsidR="001F17B8">
        <w:t xml:space="preserve"> et rapports établis en la matière par les organisations internationales et instances normatives </w:t>
      </w:r>
      <w:r w:rsidR="00AB7717">
        <w:t>compétentes en matière de prévention du</w:t>
      </w:r>
      <w:r w:rsidR="001F17B8">
        <w:t xml:space="preserve"> blanchiment de capitaux et </w:t>
      </w:r>
      <w:r w:rsidR="00AB7717">
        <w:t xml:space="preserve">de </w:t>
      </w:r>
      <w:r w:rsidR="001F17B8">
        <w:t xml:space="preserve">lutte contre le financement du terrorisme </w:t>
      </w:r>
      <w:r w:rsidR="009117E2">
        <w:t>en ce qui concerne</w:t>
      </w:r>
      <w:r w:rsidR="001F17B8">
        <w:t xml:space="preserve"> les risques présentés par des pays tiers particuliers.</w:t>
      </w:r>
    </w:p>
    <w:p w:rsidR="001F17B8" w:rsidRPr="00977D98" w:rsidRDefault="00977D98" w:rsidP="00977D98">
      <w:pPr>
        <w:pStyle w:val="ChapterTitle"/>
      </w:pPr>
      <w:r>
        <w:rPr>
          <w:noProof/>
        </w:rPr>
        <w:br w:type="page"/>
      </w:r>
      <w:r w:rsidR="001F17B8" w:rsidRPr="00977D98">
        <w:t>CHAPITRE II</w:t>
      </w:r>
      <w:r w:rsidRPr="00977D98">
        <w:br/>
      </w:r>
      <w:r w:rsidR="005E336B">
        <w:t>OBLIGATIONS DE VIGILANCE</w:t>
      </w:r>
      <w:r w:rsidR="005E336B">
        <w:br/>
      </w:r>
      <w:r w:rsidR="001F17B8" w:rsidRPr="00977D98">
        <w:t>À L'ÉGARD DE LA CLIENTÈLE</w:t>
      </w:r>
    </w:p>
    <w:p w:rsidR="001F17B8" w:rsidRPr="00977D98" w:rsidRDefault="001F17B8" w:rsidP="00977D98">
      <w:pPr>
        <w:pStyle w:val="SectionTitle"/>
      </w:pPr>
      <w:r w:rsidRPr="00977D98">
        <w:t>Section 1</w:t>
      </w:r>
      <w:r w:rsidR="00977D98" w:rsidRPr="00977D98">
        <w:br/>
      </w:r>
      <w:r w:rsidRPr="00977D98">
        <w:t>Dispositions générales</w:t>
      </w:r>
    </w:p>
    <w:p w:rsidR="001F17B8" w:rsidRPr="005E336B" w:rsidRDefault="001F17B8" w:rsidP="005E336B">
      <w:pPr>
        <w:pStyle w:val="Titrearticle"/>
      </w:pPr>
      <w:r w:rsidRPr="005E336B">
        <w:t xml:space="preserve">Article </w:t>
      </w:r>
      <w:r w:rsidR="00224FF1" w:rsidRPr="005E336B">
        <w:t>10</w:t>
      </w:r>
    </w:p>
    <w:p w:rsidR="001F17B8" w:rsidRPr="0012613B" w:rsidRDefault="001F17B8" w:rsidP="0013313F">
      <w:pPr>
        <w:pStyle w:val="ManualNumPar1"/>
        <w:rPr>
          <w:noProof/>
        </w:rPr>
      </w:pPr>
      <w:r>
        <w:t>1.</w:t>
      </w:r>
      <w:r w:rsidR="00977D98">
        <w:tab/>
      </w:r>
      <w:r>
        <w:t>Les États membres interdisent à leurs établissements de crédit et établissements financiers de tenir des comptes anonymes ou des livrets d'épargne anonymes. Ils exigent dans tous les cas que les titulaires et les bénéficiaires de comptes anonymes ou de livrets d'épargne anonymes existants soient soumis aux mesures de vigilance à l'égard de la clientèle dès que possible et, en tout état de cause, avant que ces comptes ou livrets ne soient utilisés de quelque façon que ce soit.</w:t>
      </w:r>
    </w:p>
    <w:p w:rsidR="001F17B8" w:rsidRPr="0012613B" w:rsidRDefault="001F17B8" w:rsidP="00977D98">
      <w:pPr>
        <w:pStyle w:val="ManualNumPar1"/>
      </w:pPr>
      <w:r>
        <w:t>2.</w:t>
      </w:r>
      <w:r w:rsidR="00977D98">
        <w:tab/>
      </w:r>
      <w:r>
        <w:t>Les États membres prennent des mesures pour prévenir l'utilisation abusive des actions au porteur et des bons de souscriptions d'actions au porteur.</w:t>
      </w:r>
    </w:p>
    <w:p w:rsidR="001F17B8" w:rsidRPr="005E336B" w:rsidRDefault="001F17B8" w:rsidP="005E336B">
      <w:pPr>
        <w:pStyle w:val="Titrearticle"/>
      </w:pPr>
      <w:r>
        <w:t xml:space="preserve">Article </w:t>
      </w:r>
      <w:r w:rsidR="00224FF1">
        <w:t>11</w:t>
      </w:r>
    </w:p>
    <w:p w:rsidR="001F17B8" w:rsidRPr="0012613B" w:rsidRDefault="001F17B8">
      <w:r>
        <w:t xml:space="preserve">Les États membres veillent à ce que les </w:t>
      </w:r>
      <w:r w:rsidR="00870FFE">
        <w:t>entités assujetties</w:t>
      </w:r>
      <w:r>
        <w:t xml:space="preserve"> appliquent des mesures de vigilance à l'égard de leur clientèle dans les cas suivants:</w:t>
      </w:r>
    </w:p>
    <w:p w:rsidR="001F17B8" w:rsidRPr="0012613B" w:rsidRDefault="001F17B8" w:rsidP="00977D98">
      <w:pPr>
        <w:pStyle w:val="Point0"/>
      </w:pPr>
      <w:r>
        <w:t>a)</w:t>
      </w:r>
      <w:r w:rsidR="00977D98">
        <w:tab/>
      </w:r>
      <w:r>
        <w:t>lorsqu'elles nouent une relation d'affaires;</w:t>
      </w:r>
    </w:p>
    <w:p w:rsidR="001F17B8" w:rsidRPr="00DC09DC" w:rsidRDefault="00977D98" w:rsidP="00B7164D">
      <w:pPr>
        <w:pStyle w:val="Point0"/>
      </w:pPr>
      <w:r>
        <w:br w:type="page"/>
      </w:r>
      <w:r w:rsidR="001F17B8">
        <w:t>b)</w:t>
      </w:r>
      <w:r>
        <w:tab/>
      </w:r>
      <w:r w:rsidR="001F17B8" w:rsidRPr="00DC09DC">
        <w:t xml:space="preserve">lorsqu'elles </w:t>
      </w:r>
      <w:r w:rsidR="00B7164D">
        <w:t>exécutent</w:t>
      </w:r>
      <w:r w:rsidR="001F17B8" w:rsidRPr="00DC09DC">
        <w:t>, à titre occasionnel, une transaction:</w:t>
      </w:r>
    </w:p>
    <w:p w:rsidR="001F17B8" w:rsidRPr="00DC09DC" w:rsidRDefault="001F17B8" w:rsidP="00684B9C">
      <w:pPr>
        <w:pStyle w:val="Point1"/>
      </w:pPr>
      <w:r w:rsidRPr="00DC09DC">
        <w:t>i)</w:t>
      </w:r>
      <w:r w:rsidR="00977D98" w:rsidRPr="00DC09DC">
        <w:tab/>
      </w:r>
      <w:r w:rsidRPr="00DC09DC">
        <w:t xml:space="preserve">d'un montant égal ou supérieur à 15 000 EUR, que </w:t>
      </w:r>
      <w:r w:rsidR="00EC2163" w:rsidRPr="00DC09DC">
        <w:t>cette</w:t>
      </w:r>
      <w:r w:rsidRPr="00DC09DC">
        <w:t xml:space="preserve"> transaction soit </w:t>
      </w:r>
      <w:r w:rsidR="00B7164D">
        <w:t>exécutée</w:t>
      </w:r>
      <w:r w:rsidRPr="00DC09DC">
        <w:t xml:space="preserve"> en une seule ou en plusieurs opérations </w:t>
      </w:r>
      <w:r w:rsidR="00684B9C">
        <w:t>qui semblent être liées</w:t>
      </w:r>
      <w:r w:rsidRPr="00DC09DC">
        <w:t>; ou</w:t>
      </w:r>
    </w:p>
    <w:p w:rsidR="001F17B8" w:rsidRPr="0012613B" w:rsidRDefault="001F17B8" w:rsidP="007E1EBF">
      <w:pPr>
        <w:pStyle w:val="Point1"/>
      </w:pPr>
      <w:r w:rsidRPr="00DC09DC">
        <w:t>ii)</w:t>
      </w:r>
      <w:r w:rsidR="00977D98" w:rsidRPr="00DC09DC">
        <w:tab/>
      </w:r>
      <w:r w:rsidRPr="00DC09DC">
        <w:t xml:space="preserve">constituant un </w:t>
      </w:r>
      <w:r w:rsidR="00956DA8" w:rsidRPr="00DC09DC">
        <w:t>transfert</w:t>
      </w:r>
      <w:r w:rsidR="00956DA8">
        <w:t xml:space="preserve"> </w:t>
      </w:r>
      <w:r>
        <w:t>de fonds au sens de l'article </w:t>
      </w:r>
      <w:r w:rsidR="00224FF1">
        <w:t>3</w:t>
      </w:r>
      <w:r>
        <w:t>, point </w:t>
      </w:r>
      <w:r w:rsidR="00031EBF">
        <w:t>9</w:t>
      </w:r>
      <w:r w:rsidR="005E336B">
        <w:t xml:space="preserve">), du règlement </w:t>
      </w:r>
      <w:r>
        <w:t>(UE) 2015</w:t>
      </w:r>
      <w:r w:rsidR="00956DA8">
        <w:t>/…</w:t>
      </w:r>
      <w:r w:rsidR="005E336B">
        <w:t xml:space="preserve"> du </w:t>
      </w:r>
      <w:r>
        <w:t>Parlement européen et du Conseil</w:t>
      </w:r>
      <w:r w:rsidRPr="007E1EBF">
        <w:rPr>
          <w:rStyle w:val="FootnoteReference"/>
        </w:rPr>
        <w:footnoteReference w:id="32"/>
      </w:r>
      <w:r w:rsidR="00956DA8">
        <w:rPr>
          <w:rStyle w:val="FootnoteReference"/>
        </w:rPr>
        <w:footnoteReference w:customMarkFollows="1" w:id="33"/>
        <w:t>*</w:t>
      </w:r>
      <w:r>
        <w:t xml:space="preserve"> supérieur à 1 000 EUR;</w:t>
      </w:r>
    </w:p>
    <w:p w:rsidR="001F17B8" w:rsidRPr="0012613B" w:rsidRDefault="005E336B" w:rsidP="00684B9C">
      <w:pPr>
        <w:pStyle w:val="Point0"/>
        <w:rPr>
          <w:noProof/>
        </w:rPr>
      </w:pPr>
      <w:r>
        <w:t>c)</w:t>
      </w:r>
      <w:r w:rsidR="00977D98">
        <w:tab/>
      </w:r>
      <w:r w:rsidR="001F17B8">
        <w:t xml:space="preserve">dans le cas de personnes négociant des biens, lorsqu'elles </w:t>
      </w:r>
      <w:r w:rsidR="00B7164D">
        <w:t>exécutent</w:t>
      </w:r>
      <w:r w:rsidR="001F17B8">
        <w:t xml:space="preserve">, </w:t>
      </w:r>
      <w:r w:rsidR="001F17B8" w:rsidRPr="00DC09DC">
        <w:t>à titre occasionnel</w:t>
      </w:r>
      <w:r w:rsidR="001F17B8">
        <w:t xml:space="preserve">, </w:t>
      </w:r>
      <w:r w:rsidR="00326C3A">
        <w:t>des</w:t>
      </w:r>
      <w:r w:rsidR="001F17B8">
        <w:t xml:space="preserve"> transaction</w:t>
      </w:r>
      <w:r w:rsidR="00326C3A">
        <w:t>s</w:t>
      </w:r>
      <w:r w:rsidR="001F17B8">
        <w:t xml:space="preserve"> en espèces d'un montant égal ou supérieur à 10 000 EUR, que la transaction soit </w:t>
      </w:r>
      <w:r w:rsidR="00B7164D">
        <w:t>exécutée</w:t>
      </w:r>
      <w:r w:rsidR="001F17B8">
        <w:t xml:space="preserve"> en une seule ou en plusieurs opérations </w:t>
      </w:r>
      <w:r w:rsidR="00684B9C">
        <w:t>qui semblent être liées</w:t>
      </w:r>
      <w:r w:rsidR="001F17B8">
        <w:t>;</w:t>
      </w:r>
    </w:p>
    <w:p w:rsidR="001F17B8" w:rsidRPr="0012613B" w:rsidRDefault="001F17B8" w:rsidP="00684B9C">
      <w:pPr>
        <w:pStyle w:val="Point0"/>
      </w:pPr>
      <w:r>
        <w:t>d)</w:t>
      </w:r>
      <w:r w:rsidR="00977D98">
        <w:tab/>
      </w:r>
      <w:r>
        <w:t xml:space="preserve">dans le cas de prestataires de services de jeux d'argent et de hasard, lors de la collecte de gains, lors de l'engagement d'une mise, ou dans les deux cas, lorsqu'ils concluent une transaction d'un montant égal ou supérieur à 2 000 EUR, que la transaction soit </w:t>
      </w:r>
      <w:r w:rsidR="00E71AE7">
        <w:t>exécutée</w:t>
      </w:r>
      <w:r>
        <w:t xml:space="preserve"> en une seule ou en plusieurs opérations </w:t>
      </w:r>
      <w:r w:rsidR="00684B9C">
        <w:t>qui semblent être liées</w:t>
      </w:r>
      <w:r>
        <w:t>;</w:t>
      </w:r>
    </w:p>
    <w:p w:rsidR="001F17B8" w:rsidRPr="0012613B" w:rsidRDefault="001F17B8" w:rsidP="00977D98">
      <w:pPr>
        <w:pStyle w:val="Point0"/>
        <w:rPr>
          <w:noProof/>
        </w:rPr>
      </w:pPr>
      <w:r>
        <w:t>e)</w:t>
      </w:r>
      <w:r w:rsidR="00977D98">
        <w:tab/>
      </w:r>
      <w:r>
        <w:t>lorsqu'il y a suspicion de blanchiment de capitaux ou de financement du terrorisme, indépendamment de tous seuils, exemptions ou dérogations applicables;</w:t>
      </w:r>
    </w:p>
    <w:p w:rsidR="001F17B8" w:rsidRPr="0012613B" w:rsidRDefault="001F17B8" w:rsidP="00326C3A">
      <w:pPr>
        <w:pStyle w:val="Point0"/>
        <w:rPr>
          <w:noProof/>
        </w:rPr>
      </w:pPr>
      <w:r>
        <w:t>f)</w:t>
      </w:r>
      <w:r w:rsidR="00977D98">
        <w:tab/>
      </w:r>
      <w:r w:rsidRPr="00326C3A">
        <w:t xml:space="preserve">lorsqu'il existe des doutes concernant la véracité ou la </w:t>
      </w:r>
      <w:r w:rsidR="00326C3A" w:rsidRPr="00326C3A">
        <w:t xml:space="preserve">pertinence </w:t>
      </w:r>
      <w:r w:rsidRPr="00326C3A">
        <w:t>de</w:t>
      </w:r>
      <w:r w:rsidR="00326C3A" w:rsidRPr="00326C3A">
        <w:t>s</w:t>
      </w:r>
      <w:r w:rsidRPr="00326C3A">
        <w:t xml:space="preserve"> données précédemment obtenues aux fins de l'identification</w:t>
      </w:r>
      <w:r>
        <w:t xml:space="preserve"> d'un client.</w:t>
      </w:r>
    </w:p>
    <w:p w:rsidR="001F17B8" w:rsidRPr="00A6250B" w:rsidRDefault="00977D98" w:rsidP="005E336B">
      <w:pPr>
        <w:pStyle w:val="Titrearticle"/>
        <w:rPr>
          <w:iCs/>
        </w:rPr>
      </w:pPr>
      <w:r>
        <w:br w:type="page"/>
      </w:r>
      <w:r w:rsidR="001F17B8" w:rsidRPr="00A6250B">
        <w:t xml:space="preserve">Article </w:t>
      </w:r>
      <w:r w:rsidR="00224FF1">
        <w:t>12</w:t>
      </w:r>
    </w:p>
    <w:p w:rsidR="001F17B8" w:rsidRPr="0012613B" w:rsidRDefault="001F17B8" w:rsidP="00224FF1">
      <w:pPr>
        <w:pStyle w:val="ManualNumPar1"/>
      </w:pPr>
      <w:r w:rsidRPr="00A6250B">
        <w:t>1.</w:t>
      </w:r>
      <w:r w:rsidR="00977D98">
        <w:tab/>
      </w:r>
      <w:r w:rsidRPr="00A6250B">
        <w:t xml:space="preserve">Par dérogation </w:t>
      </w:r>
      <w:r w:rsidR="00031EBF">
        <w:t>à</w:t>
      </w:r>
      <w:r w:rsidRPr="00A6250B">
        <w:t xml:space="preserve"> </w:t>
      </w:r>
      <w:r w:rsidR="00031EBF">
        <w:t>l'</w:t>
      </w:r>
      <w:r w:rsidRPr="00A6250B">
        <w:t>article 1</w:t>
      </w:r>
      <w:r w:rsidR="00224FF1">
        <w:t>3</w:t>
      </w:r>
      <w:r w:rsidR="00031EBF">
        <w:t>, paragraphe 1,</w:t>
      </w:r>
      <w:r w:rsidRPr="00A6250B">
        <w:t xml:space="preserve"> </w:t>
      </w:r>
      <w:r w:rsidR="00031EBF">
        <w:t xml:space="preserve">premier alinéa, points a), b) et c), </w:t>
      </w:r>
      <w:r w:rsidRPr="00A6250B">
        <w:t>et</w:t>
      </w:r>
      <w:r w:rsidR="00031EBF">
        <w:t xml:space="preserve"> à l'article</w:t>
      </w:r>
      <w:r w:rsidRPr="00A6250B">
        <w:t> </w:t>
      </w:r>
      <w:r w:rsidR="00224FF1" w:rsidRPr="00A6250B">
        <w:t>1</w:t>
      </w:r>
      <w:r w:rsidR="00224FF1">
        <w:t>4</w:t>
      </w:r>
      <w:r w:rsidR="007B49A4">
        <w:t>,</w:t>
      </w:r>
      <w:r w:rsidR="00224FF1" w:rsidRPr="00A6250B">
        <w:t xml:space="preserve"> </w:t>
      </w:r>
      <w:r w:rsidRPr="00A6250B">
        <w:t xml:space="preserve">et sur la base d'une évaluation des risques </w:t>
      </w:r>
      <w:r w:rsidR="00A6250B">
        <w:t xml:space="preserve">appropriée </w:t>
      </w:r>
      <w:r w:rsidRPr="00A6250B">
        <w:t xml:space="preserve">attestant de la faiblesse du risque, </w:t>
      </w:r>
      <w:r w:rsidR="00A6250B">
        <w:t>un</w:t>
      </w:r>
      <w:r w:rsidRPr="00A6250B">
        <w:t xml:space="preserve"> État membre peut autoriser les </w:t>
      </w:r>
      <w:r w:rsidR="00870FFE">
        <w:t>entités assujetties</w:t>
      </w:r>
      <w:r w:rsidRPr="00A6250B">
        <w:t xml:space="preserve"> à ne pas appliquer certaines mesures de vigilance à l'égard de la clientèle </w:t>
      </w:r>
      <w:r w:rsidRPr="00DC09DC">
        <w:t>pour la monnaie électronique, s</w:t>
      </w:r>
      <w:r w:rsidRPr="00A6250B">
        <w:t xml:space="preserve">i toutes les conditions d'atténuation du </w:t>
      </w:r>
      <w:r w:rsidRPr="00EC2163">
        <w:t xml:space="preserve">risque </w:t>
      </w:r>
      <w:r w:rsidR="009117E2">
        <w:t>suivantes</w:t>
      </w:r>
      <w:r w:rsidRPr="00A6250B">
        <w:t xml:space="preserve"> sont remplies:</w:t>
      </w:r>
    </w:p>
    <w:p w:rsidR="001F17B8" w:rsidRPr="0012613B" w:rsidRDefault="001F17B8" w:rsidP="00977D98">
      <w:pPr>
        <w:pStyle w:val="Point1"/>
      </w:pPr>
      <w:r>
        <w:t>a)</w:t>
      </w:r>
      <w:r w:rsidR="00977D98">
        <w:tab/>
      </w:r>
      <w:r>
        <w:t>l'instrument de paiement n'est pas rechargeable</w:t>
      </w:r>
      <w:r w:rsidR="00363934">
        <w:t>,</w:t>
      </w:r>
      <w:r>
        <w:t xml:space="preserve"> ou est assorti d'une limite maximale mensuelle de 250 EUR pour </w:t>
      </w:r>
      <w:r w:rsidRPr="00A6250B">
        <w:t>les opérations de paiement</w:t>
      </w:r>
      <w:r>
        <w:t xml:space="preserve"> utilisable uniquement dans </w:t>
      </w:r>
      <w:r w:rsidR="00A6250B">
        <w:t xml:space="preserve">cet </w:t>
      </w:r>
      <w:r>
        <w:t>État membre;</w:t>
      </w:r>
    </w:p>
    <w:p w:rsidR="003708EF" w:rsidRDefault="001F17B8" w:rsidP="00EC2163">
      <w:pPr>
        <w:pStyle w:val="Point1"/>
      </w:pPr>
      <w:r>
        <w:t>b)</w:t>
      </w:r>
      <w:r w:rsidR="00977D98">
        <w:tab/>
      </w:r>
      <w:r>
        <w:t>le montant maximal stocké sur un support électronique n'</w:t>
      </w:r>
      <w:r w:rsidR="00326C3A">
        <w:t>excède</w:t>
      </w:r>
      <w:r>
        <w:t xml:space="preserve"> pas 250 EUR</w:t>
      </w:r>
      <w:r w:rsidR="00EC2163">
        <w:t>;</w:t>
      </w:r>
    </w:p>
    <w:p w:rsidR="001F17B8" w:rsidRPr="0012613B" w:rsidRDefault="001F17B8" w:rsidP="00EC2163">
      <w:pPr>
        <w:pStyle w:val="Point1"/>
      </w:pPr>
      <w:r>
        <w:t>c)</w:t>
      </w:r>
      <w:r w:rsidR="00977D98">
        <w:tab/>
      </w:r>
      <w:r>
        <w:t>l'instrument de paiement est utilisé exclusivement pour l'achat de biens ou de services;</w:t>
      </w:r>
    </w:p>
    <w:p w:rsidR="001F17B8" w:rsidRPr="0012613B" w:rsidRDefault="001F17B8" w:rsidP="00977D98">
      <w:pPr>
        <w:pStyle w:val="Point1"/>
      </w:pPr>
      <w:r>
        <w:t>d)</w:t>
      </w:r>
      <w:r w:rsidR="00977D98">
        <w:tab/>
      </w:r>
      <w:r>
        <w:t>l'instrument de paiement ne peut être crédité au moyen de monnaie électronique anonyme;</w:t>
      </w:r>
    </w:p>
    <w:p w:rsidR="001F17B8" w:rsidRDefault="001F17B8" w:rsidP="00C91F3C">
      <w:pPr>
        <w:pStyle w:val="Point1"/>
      </w:pPr>
      <w:r>
        <w:t>e)</w:t>
      </w:r>
      <w:r w:rsidR="00977D98">
        <w:tab/>
      </w:r>
      <w:r>
        <w:t xml:space="preserve">l'émetteur exerce un </w:t>
      </w:r>
      <w:r w:rsidR="00C91F3C">
        <w:t>contrôle</w:t>
      </w:r>
      <w:r w:rsidR="00E359B3" w:rsidRPr="00D91B4E">
        <w:t xml:space="preserve"> </w:t>
      </w:r>
      <w:r w:rsidRPr="00D91B4E">
        <w:t>s</w:t>
      </w:r>
      <w:r>
        <w:t>uffisant de</w:t>
      </w:r>
      <w:r w:rsidR="00A6250B">
        <w:t>s</w:t>
      </w:r>
      <w:r>
        <w:t xml:space="preserve"> transaction</w:t>
      </w:r>
      <w:r w:rsidR="00A6250B">
        <w:t>s</w:t>
      </w:r>
      <w:r>
        <w:t xml:space="preserve"> ou de la relation d'affaires pour être en mesure de détecter toute transaction inhabituelle ou suspecte.</w:t>
      </w:r>
    </w:p>
    <w:p w:rsidR="00EC2163" w:rsidRPr="0012613B" w:rsidRDefault="00EC2163" w:rsidP="005E336B">
      <w:pPr>
        <w:pStyle w:val="Text1"/>
      </w:pPr>
      <w:r>
        <w:t xml:space="preserve">Aux fins du </w:t>
      </w:r>
      <w:r w:rsidR="009117E2">
        <w:t xml:space="preserve">premier alinéa, </w:t>
      </w:r>
      <w:r>
        <w:t xml:space="preserve">point b), </w:t>
      </w:r>
      <w:r w:rsidR="00363934">
        <w:t>un</w:t>
      </w:r>
      <w:r w:rsidR="005E336B">
        <w:t xml:space="preserve"> </w:t>
      </w:r>
      <w:r>
        <w:t xml:space="preserve">État membre peut </w:t>
      </w:r>
      <w:r w:rsidR="00326C3A">
        <w:t>porter</w:t>
      </w:r>
      <w:r>
        <w:t xml:space="preserve"> cette limite</w:t>
      </w:r>
      <w:r w:rsidR="00326C3A">
        <w:t xml:space="preserve"> maximale</w:t>
      </w:r>
      <w:r w:rsidR="005E336B">
        <w:t xml:space="preserve"> à </w:t>
      </w:r>
      <w:r>
        <w:t xml:space="preserve">500 EUR pour les instruments de paiement utilisables uniquement dans </w:t>
      </w:r>
      <w:r w:rsidR="00363934">
        <w:t>cet</w:t>
      </w:r>
      <w:r>
        <w:t xml:space="preserve"> État membre.</w:t>
      </w:r>
    </w:p>
    <w:p w:rsidR="001F17B8" w:rsidRPr="0012613B" w:rsidRDefault="001F17B8" w:rsidP="009117E2">
      <w:pPr>
        <w:pStyle w:val="ManualNumPar1"/>
      </w:pPr>
      <w:r>
        <w:t>2.</w:t>
      </w:r>
      <w:r w:rsidR="00977D98">
        <w:tab/>
      </w:r>
      <w:r>
        <w:t xml:space="preserve">Les États membres </w:t>
      </w:r>
      <w:r w:rsidR="009117E2">
        <w:t>veillent à ce</w:t>
      </w:r>
      <w:r>
        <w:t xml:space="preserve"> que la dérogation </w:t>
      </w:r>
      <w:r w:rsidR="00EC2163">
        <w:t xml:space="preserve">prévue </w:t>
      </w:r>
      <w:r w:rsidR="005E336B">
        <w:t xml:space="preserve">au </w:t>
      </w:r>
      <w:r>
        <w:t>paragraphe 1 ne soit pas applicable en cas de remboursement en espèces ou de retrait d'espèces de la valeur monétaire de la monnaie électronique lorsque le montant remboursé est supérieur à 100 EUR.</w:t>
      </w:r>
    </w:p>
    <w:p w:rsidR="001F17B8" w:rsidRPr="00977D98" w:rsidRDefault="00977D98" w:rsidP="003708EF">
      <w:pPr>
        <w:pStyle w:val="Titrearticle"/>
      </w:pPr>
      <w:r>
        <w:br w:type="page"/>
      </w:r>
      <w:r w:rsidR="001F17B8" w:rsidRPr="00977D98">
        <w:t xml:space="preserve">Article </w:t>
      </w:r>
      <w:r w:rsidR="003708EF">
        <w:t>13</w:t>
      </w:r>
    </w:p>
    <w:p w:rsidR="001F17B8" w:rsidRPr="0012613B" w:rsidRDefault="001F17B8" w:rsidP="00977D98">
      <w:pPr>
        <w:pStyle w:val="ManualNumPar1"/>
        <w:rPr>
          <w:noProof/>
        </w:rPr>
      </w:pPr>
      <w:r>
        <w:t>1.</w:t>
      </w:r>
      <w:r w:rsidR="00977D98">
        <w:tab/>
      </w:r>
      <w:r>
        <w:t>Les mesures de vigilance à l'égard de la clientèle comprennent:</w:t>
      </w:r>
    </w:p>
    <w:p w:rsidR="001F17B8" w:rsidRPr="0012613B" w:rsidRDefault="001F17B8" w:rsidP="00977D98">
      <w:pPr>
        <w:pStyle w:val="Point1"/>
        <w:rPr>
          <w:noProof/>
        </w:rPr>
      </w:pPr>
      <w:r>
        <w:t>a)</w:t>
      </w:r>
      <w:r w:rsidR="00977D98">
        <w:tab/>
      </w:r>
      <w:r>
        <w:t>l'identification du client et la vérification de son identité, sur la b</w:t>
      </w:r>
      <w:r w:rsidR="005E336B">
        <w:t xml:space="preserve">ase de documents, de données ou </w:t>
      </w:r>
      <w:r>
        <w:t>d'informations obtenus d'une source fiable et indépendante;</w:t>
      </w:r>
    </w:p>
    <w:p w:rsidR="001F17B8" w:rsidRPr="0012613B" w:rsidRDefault="001F17B8" w:rsidP="005E336B">
      <w:pPr>
        <w:pStyle w:val="Point1"/>
      </w:pPr>
      <w:r>
        <w:t>b)</w:t>
      </w:r>
      <w:r w:rsidR="00977D98">
        <w:tab/>
      </w:r>
      <w:r>
        <w:t xml:space="preserve">l'identification du bénéficiaire effectif et la prise de mesures raisonnables pour vérifier </w:t>
      </w:r>
      <w:r w:rsidR="00EC2163">
        <w:t>l'</w:t>
      </w:r>
      <w:r>
        <w:t>identité</w:t>
      </w:r>
      <w:r w:rsidR="00EC2163">
        <w:t xml:space="preserve"> de cette personne</w:t>
      </w:r>
      <w:r>
        <w:t xml:space="preserve">, de telle manière que </w:t>
      </w:r>
      <w:r w:rsidR="00A6250B">
        <w:t>l'</w:t>
      </w:r>
      <w:r w:rsidR="007468D1">
        <w:t>entité assujettie</w:t>
      </w:r>
      <w:r>
        <w:t xml:space="preserve"> ait l'assurance de savoir qui est le bénéficiaire effectif, </w:t>
      </w:r>
      <w:r w:rsidR="00326C3A">
        <w:t>y compris</w:t>
      </w:r>
      <w:r>
        <w:t>, pour les personnes morales, les</w:t>
      </w:r>
      <w:r w:rsidR="005E336B">
        <w:t xml:space="preserve"> </w:t>
      </w:r>
      <w:r w:rsidRPr="00EC2163">
        <w:t>fiducies</w:t>
      </w:r>
      <w:r w:rsidR="00870FFE">
        <w:t>/trusts</w:t>
      </w:r>
      <w:r w:rsidRPr="00EC2163">
        <w:t>,</w:t>
      </w:r>
      <w:r>
        <w:t xml:space="preserve"> les sociétés, les fondations et les constructions juridiques similaires, la prise de mesures raisonnables pour comprendre la structure de propriété et de contrôle du client;</w:t>
      </w:r>
    </w:p>
    <w:p w:rsidR="001F17B8" w:rsidRPr="0012613B" w:rsidRDefault="001F17B8" w:rsidP="00977D98">
      <w:pPr>
        <w:pStyle w:val="Point1"/>
        <w:rPr>
          <w:highlight w:val="yellow"/>
        </w:rPr>
      </w:pPr>
      <w:r>
        <w:t>c)</w:t>
      </w:r>
      <w:r w:rsidR="00977D98">
        <w:tab/>
      </w:r>
      <w:r>
        <w:t>l'évaluation et, le cas échéant, l'obtention d'informations sur l'objet et la nature envisagée de la relation d'affaires;</w:t>
      </w:r>
    </w:p>
    <w:p w:rsidR="001F17B8" w:rsidRPr="0012613B" w:rsidRDefault="001F17B8" w:rsidP="00C91F3C">
      <w:pPr>
        <w:pStyle w:val="Point1"/>
      </w:pPr>
      <w:r w:rsidRPr="00A6250B">
        <w:t>d)</w:t>
      </w:r>
      <w:r w:rsidR="00977D98">
        <w:tab/>
      </w:r>
      <w:r w:rsidRPr="00A6250B">
        <w:t xml:space="preserve">l'exercice d'un </w:t>
      </w:r>
      <w:r w:rsidR="00C91F3C">
        <w:t>contrôle</w:t>
      </w:r>
      <w:r w:rsidR="00E359B3" w:rsidRPr="00A6250B">
        <w:t xml:space="preserve"> </w:t>
      </w:r>
      <w:r w:rsidRPr="00A6250B">
        <w:t>continu de la relation d'affaires, notamment en examinant les transactions conclues pendant la durée de cette relation</w:t>
      </w:r>
      <w:r w:rsidR="00BF4B4B">
        <w:t xml:space="preserve"> </w:t>
      </w:r>
      <w:r w:rsidRPr="00A6250B">
        <w:t>de manière à vérifier que ces transa</w:t>
      </w:r>
      <w:r w:rsidRPr="00BF4B4B">
        <w:t xml:space="preserve">ctions sont </w:t>
      </w:r>
      <w:r w:rsidR="00BF4B4B">
        <w:t>cohérentes</w:t>
      </w:r>
      <w:r w:rsidRPr="00BF4B4B">
        <w:t xml:space="preserve"> </w:t>
      </w:r>
      <w:r w:rsidR="00BF4B4B">
        <w:t xml:space="preserve">par rapport à </w:t>
      </w:r>
      <w:r w:rsidRPr="00BF4B4B">
        <w:t>la connaissance</w:t>
      </w:r>
      <w:r>
        <w:t xml:space="preserve"> qu'a </w:t>
      </w:r>
      <w:r w:rsidR="00A6250B">
        <w:t>l'</w:t>
      </w:r>
      <w:r w:rsidR="007468D1">
        <w:t>entité assujettie</w:t>
      </w:r>
      <w:r w:rsidR="00A6250B">
        <w:t xml:space="preserve"> </w:t>
      </w:r>
      <w:r>
        <w:t xml:space="preserve">de son client, de ses activités commerciales et de son profil de risque, </w:t>
      </w:r>
      <w:r w:rsidR="007B49A4">
        <w:t>y compris</w:t>
      </w:r>
      <w:r w:rsidR="001B627C">
        <w:t>, si nécessaire, de l'origine des fonds,</w:t>
      </w:r>
      <w:r w:rsidR="001B627C" w:rsidRPr="00A6250B">
        <w:t xml:space="preserve"> </w:t>
      </w:r>
      <w:r w:rsidR="005E336B">
        <w:t xml:space="preserve">et en </w:t>
      </w:r>
      <w:r>
        <w:t>tenant à jour les documents, données ou informations détenus.</w:t>
      </w:r>
    </w:p>
    <w:p w:rsidR="001F17B8" w:rsidRDefault="001F17B8" w:rsidP="005E336B">
      <w:pPr>
        <w:pStyle w:val="Text1"/>
      </w:pPr>
      <w:r w:rsidRPr="00EC2163">
        <w:t xml:space="preserve">Lorsqu'elles prennent les mesures visées au </w:t>
      </w:r>
      <w:r w:rsidR="003B2AB3" w:rsidRPr="00EC2163">
        <w:t>premier alinéa</w:t>
      </w:r>
      <w:r w:rsidRPr="00EC2163">
        <w:t xml:space="preserve">, points a) et b), les </w:t>
      </w:r>
      <w:r w:rsidR="00870FFE">
        <w:t>entités assujetties</w:t>
      </w:r>
      <w:r w:rsidRPr="00EC2163">
        <w:t xml:space="preserve"> vérifie</w:t>
      </w:r>
      <w:r w:rsidR="009117E2">
        <w:t>nt également</w:t>
      </w:r>
      <w:r w:rsidRPr="00EC2163">
        <w:t xml:space="preserve"> que toute personne prétendant agir au nom du client est autorisée à le faire, </w:t>
      </w:r>
      <w:r w:rsidR="009117E2" w:rsidRPr="00E90C75">
        <w:t xml:space="preserve">et </w:t>
      </w:r>
      <w:r w:rsidRPr="00E90C75">
        <w:t>identifie</w:t>
      </w:r>
      <w:r w:rsidR="009117E2" w:rsidRPr="00E90C75">
        <w:t>nt</w:t>
      </w:r>
      <w:r w:rsidRPr="00E90C75">
        <w:t xml:space="preserve"> et vérifie</w:t>
      </w:r>
      <w:r w:rsidR="009117E2" w:rsidRPr="00E90C75">
        <w:t>nt</w:t>
      </w:r>
      <w:r w:rsidRPr="00EC2163">
        <w:t xml:space="preserve"> l'identité de cette personne.</w:t>
      </w:r>
    </w:p>
    <w:p w:rsidR="001F17B8" w:rsidRPr="0012613B" w:rsidRDefault="00977D98" w:rsidP="009117E2">
      <w:pPr>
        <w:pStyle w:val="ManualNumPar1"/>
      </w:pPr>
      <w:r>
        <w:br w:type="page"/>
      </w:r>
      <w:r w:rsidR="001F17B8">
        <w:t>2.</w:t>
      </w:r>
      <w:r>
        <w:tab/>
      </w:r>
      <w:r w:rsidR="001F17B8">
        <w:t xml:space="preserve">Les États membres veillent à ce que les </w:t>
      </w:r>
      <w:r w:rsidR="00870FFE">
        <w:t>entités assujetties</w:t>
      </w:r>
      <w:r w:rsidR="001F17B8">
        <w:t xml:space="preserve"> appliquent </w:t>
      </w:r>
      <w:r w:rsidR="00292E0F">
        <w:t>chacune des</w:t>
      </w:r>
      <w:r w:rsidR="009117E2">
        <w:t xml:space="preserve"> obligations</w:t>
      </w:r>
      <w:r w:rsidR="00BF4B4B">
        <w:t xml:space="preserve"> </w:t>
      </w:r>
      <w:r w:rsidR="001F17B8">
        <w:t xml:space="preserve">de vigilance à l'égard de la clientèle </w:t>
      </w:r>
      <w:r w:rsidR="00EC2163">
        <w:t>figurant</w:t>
      </w:r>
      <w:r w:rsidR="00BF4B4B">
        <w:t xml:space="preserve"> </w:t>
      </w:r>
      <w:r w:rsidR="001F17B8">
        <w:t>au paragraphe 1</w:t>
      </w:r>
      <w:r w:rsidR="00BF4B4B">
        <w:t>.</w:t>
      </w:r>
      <w:r w:rsidR="001F17B8">
        <w:t xml:space="preserve"> </w:t>
      </w:r>
      <w:r w:rsidR="00031EBF">
        <w:t>Cependant, l</w:t>
      </w:r>
      <w:r w:rsidR="001F17B8">
        <w:t xml:space="preserve">es </w:t>
      </w:r>
      <w:r w:rsidR="00870FFE">
        <w:t>entités assujetties</w:t>
      </w:r>
      <w:r w:rsidR="001F17B8">
        <w:t xml:space="preserve"> peuvent déterminer l'étendue de ces mesures en fo</w:t>
      </w:r>
      <w:r w:rsidR="005E336B">
        <w:t xml:space="preserve">nction de leur appréciation des </w:t>
      </w:r>
      <w:r w:rsidR="001F17B8">
        <w:t>risques.</w:t>
      </w:r>
    </w:p>
    <w:p w:rsidR="001F17B8" w:rsidRPr="0012613B" w:rsidRDefault="001F17B8" w:rsidP="009117E2">
      <w:pPr>
        <w:pStyle w:val="ManualNumPar1"/>
        <w:rPr>
          <w:noProof/>
        </w:rPr>
      </w:pPr>
      <w:r>
        <w:t>3.</w:t>
      </w:r>
      <w:r w:rsidR="00977D98">
        <w:tab/>
      </w:r>
      <w:r>
        <w:t xml:space="preserve">Les États membres exigent des </w:t>
      </w:r>
      <w:r w:rsidR="00870FFE">
        <w:t>entités assujetties</w:t>
      </w:r>
      <w:r>
        <w:t xml:space="preserve"> qu'elles prennent en considération, dans leur évaluation des risques de blanchiment de capitaux et de financement du terrorisme, au moins les variables </w:t>
      </w:r>
      <w:r w:rsidR="009117E2">
        <w:t>énoncées</w:t>
      </w:r>
      <w:r>
        <w:t xml:space="preserve"> à l'annexe I.</w:t>
      </w:r>
    </w:p>
    <w:p w:rsidR="001F17B8" w:rsidRPr="0012613B" w:rsidRDefault="001F17B8" w:rsidP="00977D98">
      <w:pPr>
        <w:pStyle w:val="ManualNumPar1"/>
        <w:rPr>
          <w:noProof/>
        </w:rPr>
      </w:pPr>
      <w:r>
        <w:t>4.</w:t>
      </w:r>
      <w:r w:rsidR="00977D98">
        <w:tab/>
      </w:r>
      <w:r>
        <w:t xml:space="preserve">Les États membres veillent à ce que les </w:t>
      </w:r>
      <w:r w:rsidR="00870FFE">
        <w:t>entités assujetties</w:t>
      </w:r>
      <w:r>
        <w:t xml:space="preserve"> soient en mesure de démontrer aux autorités compétentes ou aux organismes d'autorégulation que les mesures qu'elles appliquent sont appropriées au regard des risques de blanchiment de capitaux et de financement du terrorisme qui ont été identifiés.</w:t>
      </w:r>
    </w:p>
    <w:p w:rsidR="001F17B8" w:rsidRPr="0012613B" w:rsidRDefault="001F17B8" w:rsidP="009117E2">
      <w:pPr>
        <w:pStyle w:val="ManualNumPar1"/>
      </w:pPr>
      <w:r>
        <w:t>5.</w:t>
      </w:r>
      <w:r w:rsidR="00977D98">
        <w:tab/>
      </w:r>
      <w:r>
        <w:t xml:space="preserve">Dans le cas de l'assurance vie ou </w:t>
      </w:r>
      <w:r w:rsidR="004B6E92">
        <w:t>d</w:t>
      </w:r>
      <w:r w:rsidR="00746943">
        <w:t>'</w:t>
      </w:r>
      <w:r w:rsidR="004B6E92">
        <w:t>autres types</w:t>
      </w:r>
      <w:r w:rsidR="009117E2">
        <w:t xml:space="preserve"> </w:t>
      </w:r>
      <w:r>
        <w:t>d'assurance liée à des placements, les États membres veillent à ce que</w:t>
      </w:r>
      <w:r w:rsidR="00031EBF">
        <w:t>, outre les mesures de vigilance requises à l'égard du client et du bénéficiaire effectif,</w:t>
      </w:r>
      <w:r>
        <w:t xml:space="preserve"> les établissements de crédit et les établissements financiers appliquent les mesures de vigilance énoncées ci-après à l'égard des bénéficiaires de contrats d'assurance vie et d'autres types d'assurance liée à des placements, dès que </w:t>
      </w:r>
      <w:r w:rsidR="00BF4B4B">
        <w:t>l</w:t>
      </w:r>
      <w:r>
        <w:t>es bénéficiaires sont identifiés ou désignés:</w:t>
      </w:r>
    </w:p>
    <w:p w:rsidR="00977D98" w:rsidRDefault="001F17B8" w:rsidP="009117E2">
      <w:pPr>
        <w:pStyle w:val="Point1"/>
      </w:pPr>
      <w:r>
        <w:t>a)</w:t>
      </w:r>
      <w:r w:rsidR="00977D98">
        <w:tab/>
      </w:r>
      <w:r>
        <w:t>dans le cas de bénéficiaires qui sont des personnes ou des constructions juridiques nommément identifiées, relever leur nom;</w:t>
      </w:r>
    </w:p>
    <w:p w:rsidR="001F17B8" w:rsidRPr="0012613B" w:rsidRDefault="001F17B8" w:rsidP="00977D98">
      <w:pPr>
        <w:pStyle w:val="Point1"/>
        <w:rPr>
          <w:noProof/>
        </w:rPr>
      </w:pPr>
      <w:r>
        <w:t>b)</w:t>
      </w:r>
      <w:r w:rsidR="00977D98">
        <w:tab/>
      </w:r>
      <w:r>
        <w:t xml:space="preserve">dans le cas de bénéficiaires qui sont désignés par leurs caractéristiques, par catégorie ou par d'autres moyens, obtenir suffisamment d'informations sur </w:t>
      </w:r>
      <w:r w:rsidR="00BF4B4B">
        <w:t>c</w:t>
      </w:r>
      <w:r>
        <w:t>e</w:t>
      </w:r>
      <w:r w:rsidR="00BF4B4B">
        <w:t>s</w:t>
      </w:r>
      <w:r>
        <w:t xml:space="preserve"> bénéficiaire</w:t>
      </w:r>
      <w:r w:rsidR="00BF4B4B">
        <w:t>s</w:t>
      </w:r>
      <w:r>
        <w:t xml:space="preserve"> pour </w:t>
      </w:r>
      <w:r w:rsidR="0090275E">
        <w:t xml:space="preserve">donner </w:t>
      </w:r>
      <w:r>
        <w:t xml:space="preserve">l'assurance </w:t>
      </w:r>
      <w:r w:rsidR="0090275E">
        <w:t xml:space="preserve">aux établissements de crédit ou aux établissements financiers </w:t>
      </w:r>
      <w:r>
        <w:t>d'être à même d'établir l'identité du bénéficiaire au moment du versement des prestations.</w:t>
      </w:r>
    </w:p>
    <w:p w:rsidR="001F17B8" w:rsidRPr="0012613B" w:rsidRDefault="00977D98" w:rsidP="005E336B">
      <w:pPr>
        <w:pStyle w:val="Text1"/>
      </w:pPr>
      <w:r>
        <w:br w:type="page"/>
      </w:r>
      <w:r w:rsidR="009117E2">
        <w:t>En ce qui concerne le</w:t>
      </w:r>
      <w:r w:rsidR="00031EBF">
        <w:t xml:space="preserve"> premier alinéa,</w:t>
      </w:r>
      <w:r w:rsidR="001F17B8">
        <w:t xml:space="preserve"> points a) et b), la vérification de l</w:t>
      </w:r>
      <w:r w:rsidR="005E336B">
        <w:t xml:space="preserve">'identité des </w:t>
      </w:r>
      <w:r w:rsidR="001F17B8">
        <w:t>bénéficiaires intervient au moment du versement des prestations.</w:t>
      </w:r>
      <w:r w:rsidR="005E336B">
        <w:t xml:space="preserve"> En cas de cession partielle ou </w:t>
      </w:r>
      <w:r w:rsidR="001F17B8">
        <w:t>totale à un tiers d'une assurance vie ou d'un autre type d'assurance liée à des placements, les établissements de crédit et les établissements financiers ayant connaissance de cette cession identifient le bénéficiaire effectif au moment de la cession à la p</w:t>
      </w:r>
      <w:r w:rsidR="005E336B">
        <w:t xml:space="preserve">ersonne physique ou morale ou à </w:t>
      </w:r>
      <w:r w:rsidR="001F17B8">
        <w:t>la</w:t>
      </w:r>
      <w:r w:rsidR="005E336B">
        <w:t xml:space="preserve"> </w:t>
      </w:r>
      <w:r w:rsidR="001F17B8">
        <w:t>construction juridique qui reçoit pour son propre profit la valeur du contrat cédé.</w:t>
      </w:r>
    </w:p>
    <w:p w:rsidR="001F17B8" w:rsidRPr="0012613B" w:rsidRDefault="003B2AB3" w:rsidP="001B627C">
      <w:pPr>
        <w:pStyle w:val="ManualNumPar1"/>
        <w:rPr>
          <w:noProof/>
        </w:rPr>
      </w:pPr>
      <w:r>
        <w:t>6.</w:t>
      </w:r>
      <w:r>
        <w:tab/>
      </w:r>
      <w:r w:rsidR="001F17B8">
        <w:t xml:space="preserve">Dans le cas des bénéficiaires de </w:t>
      </w:r>
      <w:r w:rsidR="001F17B8" w:rsidRPr="000473B3">
        <w:t>fiducies</w:t>
      </w:r>
      <w:r w:rsidR="00870FFE">
        <w:t>/trusts</w:t>
      </w:r>
      <w:r w:rsidR="001F17B8">
        <w:t xml:space="preserve"> ou de constructions juridiques similaires qui sont désignés par des caractéristiques ou une catégorie particulières, une </w:t>
      </w:r>
      <w:r w:rsidR="007468D1">
        <w:t>entité assujettie</w:t>
      </w:r>
      <w:r w:rsidR="001F17B8">
        <w:t xml:space="preserve"> recueille suffisamment d'informations </w:t>
      </w:r>
      <w:r w:rsidR="00C9294A">
        <w:t>sur le bénéficiaire</w:t>
      </w:r>
      <w:r w:rsidR="001F17B8">
        <w:t xml:space="preserve"> pour </w:t>
      </w:r>
      <w:r w:rsidR="00C9294A">
        <w:t>donner l'assurance à l'</w:t>
      </w:r>
      <w:r w:rsidR="007468D1">
        <w:t>entité assujettie</w:t>
      </w:r>
      <w:r w:rsidR="00C9294A">
        <w:t xml:space="preserve"> d'</w:t>
      </w:r>
      <w:r w:rsidR="001F17B8">
        <w:t xml:space="preserve">être </w:t>
      </w:r>
      <w:r w:rsidR="00C9294A">
        <w:t>à même</w:t>
      </w:r>
      <w:r w:rsidR="001F17B8">
        <w:t xml:space="preserve"> de pouvoir </w:t>
      </w:r>
      <w:r w:rsidR="00C9294A">
        <w:t>identi</w:t>
      </w:r>
      <w:r w:rsidR="000473B3">
        <w:t>fier le</w:t>
      </w:r>
      <w:r w:rsidR="001B627C">
        <w:t xml:space="preserve"> </w:t>
      </w:r>
      <w:r w:rsidR="00C9294A">
        <w:t>bénéficiaire</w:t>
      </w:r>
      <w:r w:rsidR="005E336B">
        <w:t xml:space="preserve"> au moment du </w:t>
      </w:r>
      <w:r w:rsidR="00C9294A">
        <w:t xml:space="preserve">versement des prestations </w:t>
      </w:r>
      <w:r w:rsidR="001F17B8">
        <w:t xml:space="preserve">ou au moment où </w:t>
      </w:r>
      <w:r w:rsidR="001B627C">
        <w:t>le bénéficiaire</w:t>
      </w:r>
      <w:r w:rsidR="001F17B8">
        <w:t xml:space="preserve"> exerce </w:t>
      </w:r>
      <w:r w:rsidR="00C9294A">
        <w:t>ses</w:t>
      </w:r>
      <w:r w:rsidR="001F17B8">
        <w:t xml:space="preserve"> droits acquis.</w:t>
      </w:r>
    </w:p>
    <w:p w:rsidR="001F17B8" w:rsidRPr="00977D98" w:rsidRDefault="001F17B8" w:rsidP="003708EF">
      <w:pPr>
        <w:pStyle w:val="Titrearticle"/>
      </w:pPr>
      <w:r w:rsidRPr="00977D98">
        <w:t>Article 1</w:t>
      </w:r>
      <w:r w:rsidR="003708EF">
        <w:t>4</w:t>
      </w:r>
    </w:p>
    <w:p w:rsidR="001F17B8" w:rsidRPr="0012613B" w:rsidRDefault="001F17B8" w:rsidP="00977D98">
      <w:pPr>
        <w:pStyle w:val="ManualNumPar1"/>
        <w:rPr>
          <w:noProof/>
        </w:rPr>
      </w:pPr>
      <w:r>
        <w:t>1.</w:t>
      </w:r>
      <w:r w:rsidR="00977D98">
        <w:tab/>
      </w:r>
      <w:r>
        <w:t xml:space="preserve">Les États </w:t>
      </w:r>
      <w:r w:rsidRPr="00977D98">
        <w:t>membres</w:t>
      </w:r>
      <w:r>
        <w:t xml:space="preserve"> exigent que la vérification de l'identité du client </w:t>
      </w:r>
      <w:r w:rsidR="005E336B">
        <w:t xml:space="preserve">et du bénéficiaire effectif ait </w:t>
      </w:r>
      <w:r>
        <w:t>lieu avant l'établissement d'une relation d'affaires ou l'exécution de la transaction.</w:t>
      </w:r>
    </w:p>
    <w:p w:rsidR="001F17B8" w:rsidRPr="0012613B" w:rsidRDefault="001F17B8" w:rsidP="005E336B">
      <w:pPr>
        <w:pStyle w:val="ManualNumPar1"/>
        <w:rPr>
          <w:noProof/>
        </w:rPr>
      </w:pPr>
      <w:r>
        <w:t>2.</w:t>
      </w:r>
      <w:r w:rsidR="00977D98">
        <w:tab/>
      </w:r>
      <w:r>
        <w:t>Par dérogation au paragraphe 1, les États membres peuvent autoriser que la vérification de</w:t>
      </w:r>
      <w:r w:rsidR="005E336B">
        <w:t xml:space="preserve"> </w:t>
      </w:r>
      <w:r>
        <w:t>l'identité du client et du bénéficiaire effectif ait lieu durant l'établissement de la relation d'affaires si cela est nécessaire pour ne pas interrompre l'exercice normal des activités et lorsque le risque de blanchiment de capitaux ou de financement du terrorisme est faible. Dans de telles situations, ces </w:t>
      </w:r>
      <w:r w:rsidR="001B627C">
        <w:t xml:space="preserve">mesures </w:t>
      </w:r>
      <w:r>
        <w:t xml:space="preserve">sont </w:t>
      </w:r>
      <w:r w:rsidR="001B627C">
        <w:t>prises</w:t>
      </w:r>
      <w:r>
        <w:t xml:space="preserve"> le plus tôt possible après le premier contact.</w:t>
      </w:r>
    </w:p>
    <w:p w:rsidR="001F17B8" w:rsidRPr="0012613B" w:rsidRDefault="00977D98" w:rsidP="007B7861">
      <w:pPr>
        <w:pStyle w:val="ManualNumPar1"/>
      </w:pPr>
      <w:r>
        <w:br w:type="page"/>
      </w:r>
      <w:r w:rsidR="001F17B8">
        <w:t>3.</w:t>
      </w:r>
      <w:r>
        <w:tab/>
      </w:r>
      <w:r w:rsidR="001F17B8">
        <w:t xml:space="preserve">Par dérogation au paragraphe 1, les États membres peuvent autoriser l'ouverture d'un compte auprès d'un établissement de crédit ou d'un établissement financier, y compris d'un compte permettant des transactions sur des valeurs mobilières, à condition que des garanties suffisantes soient en place pour qu'aucune transaction ne puisse être </w:t>
      </w:r>
      <w:r w:rsidR="007B7861">
        <w:t>exécutée</w:t>
      </w:r>
      <w:r w:rsidR="007B49A4">
        <w:t xml:space="preserve"> </w:t>
      </w:r>
      <w:r w:rsidR="001F17B8">
        <w:t xml:space="preserve">par le client ou pour son compte tant que les </w:t>
      </w:r>
      <w:r w:rsidR="00923274">
        <w:t>obligations de vigilance à l'égard de la clientèle prévues</w:t>
      </w:r>
      <w:r w:rsidR="001F17B8">
        <w:t xml:space="preserve"> à l'article 1</w:t>
      </w:r>
      <w:r w:rsidR="00DC09DC">
        <w:t>3</w:t>
      </w:r>
      <w:r w:rsidR="001F17B8">
        <w:t xml:space="preserve">, paragraphe 1, </w:t>
      </w:r>
      <w:r w:rsidR="00C9294A">
        <w:t xml:space="preserve">premier alinéa, </w:t>
      </w:r>
      <w:r w:rsidR="001F17B8">
        <w:t xml:space="preserve">points a) et b), </w:t>
      </w:r>
      <w:r w:rsidR="007B49A4">
        <w:t>ne sont pas entièrement respectées</w:t>
      </w:r>
      <w:r w:rsidR="001F17B8">
        <w:t>.</w:t>
      </w:r>
    </w:p>
    <w:p w:rsidR="001F17B8" w:rsidRPr="0012613B" w:rsidRDefault="001F17B8" w:rsidP="007B7861">
      <w:pPr>
        <w:pStyle w:val="ManualNumPar1"/>
      </w:pPr>
      <w:r>
        <w:t>4.</w:t>
      </w:r>
      <w:r w:rsidR="00977D98">
        <w:tab/>
      </w:r>
      <w:r>
        <w:t xml:space="preserve">Les États membres </w:t>
      </w:r>
      <w:r w:rsidR="00923274">
        <w:t>exigent d'</w:t>
      </w:r>
      <w:r w:rsidR="00C9294A">
        <w:t xml:space="preserve">une </w:t>
      </w:r>
      <w:r w:rsidR="007468D1">
        <w:t>entité assujettie</w:t>
      </w:r>
      <w:r w:rsidR="003B2AB3">
        <w:t xml:space="preserve"> </w:t>
      </w:r>
      <w:r>
        <w:t xml:space="preserve">qui n'est pas en mesure de se conformer aux </w:t>
      </w:r>
      <w:r w:rsidR="000473B3">
        <w:t xml:space="preserve">obligations </w:t>
      </w:r>
      <w:r w:rsidR="00923274">
        <w:t>de vigilance à l'égard de la clientèle prévues</w:t>
      </w:r>
      <w:r w:rsidR="000473B3">
        <w:t xml:space="preserve"> à</w:t>
      </w:r>
      <w:r>
        <w:t xml:space="preserve"> l'article 1</w:t>
      </w:r>
      <w:r w:rsidR="003708EF">
        <w:t>3</w:t>
      </w:r>
      <w:r>
        <w:t xml:space="preserve">, paragraphe 1, </w:t>
      </w:r>
      <w:r w:rsidR="00C9294A">
        <w:t xml:space="preserve">premier alinéa, </w:t>
      </w:r>
      <w:r>
        <w:t xml:space="preserve">point a), b) </w:t>
      </w:r>
      <w:r w:rsidR="00C9294A">
        <w:t>ou</w:t>
      </w:r>
      <w:r>
        <w:t xml:space="preserve"> c), de ne pas </w:t>
      </w:r>
      <w:r w:rsidR="007B7861">
        <w:t>exécuter</w:t>
      </w:r>
      <w:r w:rsidR="007B49A4">
        <w:t xml:space="preserve"> </w:t>
      </w:r>
      <w:r>
        <w:t xml:space="preserve">de transaction par compte bancaire, de ne pas </w:t>
      </w:r>
      <w:r w:rsidR="00C6391C">
        <w:t>nouer</w:t>
      </w:r>
      <w:r>
        <w:t xml:space="preserve"> de relation d'affaires ou de ne pas </w:t>
      </w:r>
      <w:r w:rsidR="007B7861">
        <w:t>exécuter</w:t>
      </w:r>
      <w:r w:rsidR="007B49A4">
        <w:t xml:space="preserve"> </w:t>
      </w:r>
      <w:r>
        <w:t>la transaction, et de mettre un terme à la relation d'affaires et d'envisager de transmettre à la CRF un</w:t>
      </w:r>
      <w:r w:rsidR="00650A73">
        <w:t>e</w:t>
      </w:r>
      <w:r>
        <w:t> </w:t>
      </w:r>
      <w:r w:rsidR="00650A73">
        <w:t>déclaration</w:t>
      </w:r>
      <w:r>
        <w:t xml:space="preserve"> de transaction suspecte au sujet du client conformément à l'article </w:t>
      </w:r>
      <w:r w:rsidR="003708EF">
        <w:t>33</w:t>
      </w:r>
      <w:r>
        <w:t>.</w:t>
      </w:r>
    </w:p>
    <w:p w:rsidR="001F17B8" w:rsidRPr="0012613B" w:rsidRDefault="001F17B8" w:rsidP="005E336B">
      <w:pPr>
        <w:pStyle w:val="Text1"/>
      </w:pPr>
      <w:r w:rsidRPr="00C9294A">
        <w:t xml:space="preserve">Les États membres n'appliquent pas le premier alinéa aux notaires, aux membres des autres professions juridiques indépendantes, aux auditeurs, aux experts-comptables externes, ni aux conseillers fiscaux, </w:t>
      </w:r>
      <w:r w:rsidR="00A91A3A">
        <w:t>qu'à la stricte condition que</w:t>
      </w:r>
      <w:r w:rsidR="000473B3">
        <w:t xml:space="preserve"> ces personnes</w:t>
      </w:r>
      <w:r w:rsidRPr="00C9294A">
        <w:t xml:space="preserve"> évaluent la situation juridique de leur client ou exercent leur mission de défense ou de représentation de ce client dans une procédure</w:t>
      </w:r>
      <w:r>
        <w:t xml:space="preserve"> judiciaire ou concernant une telle procédure, y compris dans le cadre de conseils relatifs à la manière d'engager ou d'éviter une </w:t>
      </w:r>
      <w:r w:rsidR="00310A69">
        <w:t xml:space="preserve">telle </w:t>
      </w:r>
      <w:r>
        <w:t>procédure.</w:t>
      </w:r>
    </w:p>
    <w:p w:rsidR="001F17B8" w:rsidRPr="0012613B" w:rsidRDefault="001F17B8" w:rsidP="00923274">
      <w:pPr>
        <w:pStyle w:val="ManualNumPar1"/>
      </w:pPr>
      <w:r>
        <w:t>5.</w:t>
      </w:r>
      <w:r w:rsidR="00977D98">
        <w:tab/>
      </w:r>
      <w:r>
        <w:t xml:space="preserve">Les États membres exigent des </w:t>
      </w:r>
      <w:r w:rsidR="00870FFE">
        <w:t>entités assujetties</w:t>
      </w:r>
      <w:r>
        <w:t xml:space="preserve"> qu'elles appliquent les </w:t>
      </w:r>
      <w:r w:rsidR="00923274">
        <w:t xml:space="preserve">mesures </w:t>
      </w:r>
      <w:r>
        <w:t>de vigilance à l'égard de la clientèle non seulement à tous leurs nouveaux clients, mais aussi, lorsque cela est opportun, à leurs clients existants en fonction de leur appréciation des risques, notamment lorsque les éléments pertinents de la situation d'un client changent.</w:t>
      </w:r>
    </w:p>
    <w:p w:rsidR="001F17B8" w:rsidRPr="00977D98" w:rsidRDefault="00977D98" w:rsidP="00977D98">
      <w:pPr>
        <w:pStyle w:val="SectionTitle"/>
      </w:pPr>
      <w:r>
        <w:br w:type="page"/>
      </w:r>
      <w:r w:rsidR="001F17B8" w:rsidRPr="00977D98">
        <w:t>Section 2</w:t>
      </w:r>
      <w:r w:rsidRPr="00977D98">
        <w:br/>
      </w:r>
      <w:r w:rsidR="001F17B8" w:rsidRPr="00977D98">
        <w:t>Obligations simplifiées de vigilance à l'égard de la clientèle</w:t>
      </w:r>
    </w:p>
    <w:p w:rsidR="001F17B8" w:rsidRPr="00977D98" w:rsidRDefault="001F17B8" w:rsidP="003708EF">
      <w:pPr>
        <w:pStyle w:val="Titrearticle"/>
      </w:pPr>
      <w:r w:rsidRPr="00977D98">
        <w:t>Article 1</w:t>
      </w:r>
      <w:r w:rsidR="003708EF">
        <w:t>5</w:t>
      </w:r>
    </w:p>
    <w:p w:rsidR="001F17B8" w:rsidRPr="0012613B" w:rsidRDefault="001F17B8" w:rsidP="00977D98">
      <w:pPr>
        <w:pStyle w:val="ManualNumPar1"/>
        <w:rPr>
          <w:noProof/>
        </w:rPr>
      </w:pPr>
      <w:r>
        <w:t>1.</w:t>
      </w:r>
      <w:r w:rsidR="00977D98">
        <w:tab/>
      </w:r>
      <w:r>
        <w:t xml:space="preserve">Lorsqu'un État membre ou une </w:t>
      </w:r>
      <w:r w:rsidR="007468D1">
        <w:t>entité assujettie</w:t>
      </w:r>
      <w:r>
        <w:t xml:space="preserve"> identifie des domaines présentant un risque moins élevé, cet État membre peut autoriser les </w:t>
      </w:r>
      <w:r w:rsidR="00870FFE">
        <w:t>entités assujetties</w:t>
      </w:r>
      <w:r>
        <w:t xml:space="preserve"> à appliquer des mesures simplifiées de vigilance à l'égard de la clientèle.</w:t>
      </w:r>
    </w:p>
    <w:p w:rsidR="001F17B8" w:rsidRPr="0012613B" w:rsidRDefault="001F17B8" w:rsidP="00923274">
      <w:pPr>
        <w:pStyle w:val="ManualNumPar1"/>
        <w:rPr>
          <w:noProof/>
        </w:rPr>
      </w:pPr>
      <w:r>
        <w:t>2.</w:t>
      </w:r>
      <w:r w:rsidR="00977D98">
        <w:tab/>
      </w:r>
      <w:r>
        <w:t xml:space="preserve">Avant d'appliquer des mesures simplifiées de vigilance à l'égard de la clientèle, les </w:t>
      </w:r>
      <w:r w:rsidR="00870FFE">
        <w:t>entités assujetties</w:t>
      </w:r>
      <w:r>
        <w:t xml:space="preserve"> s'assurent que la relation </w:t>
      </w:r>
      <w:r w:rsidR="00031EBF">
        <w:t>d'affaires</w:t>
      </w:r>
      <w:r>
        <w:t xml:space="preserve"> ou la transaction</w:t>
      </w:r>
      <w:r w:rsidR="003B2AB3">
        <w:t xml:space="preserve"> </w:t>
      </w:r>
      <w:r>
        <w:t>présente un degré de risque moins élevé.</w:t>
      </w:r>
    </w:p>
    <w:p w:rsidR="001F17B8" w:rsidRPr="0012613B" w:rsidRDefault="001F17B8" w:rsidP="00C91F3C">
      <w:pPr>
        <w:pStyle w:val="ManualNumPar1"/>
      </w:pPr>
      <w:r>
        <w:t>3.</w:t>
      </w:r>
      <w:r w:rsidR="00977D98">
        <w:tab/>
      </w:r>
      <w:r>
        <w:t xml:space="preserve">Les États membres veillent à ce que les </w:t>
      </w:r>
      <w:r w:rsidR="00870FFE">
        <w:t>entités assujetties</w:t>
      </w:r>
      <w:r>
        <w:t xml:space="preserve"> exercent un </w:t>
      </w:r>
      <w:r w:rsidR="00C91F3C">
        <w:t>contrôle</w:t>
      </w:r>
      <w:r w:rsidR="00E359B3">
        <w:t xml:space="preserve"> </w:t>
      </w:r>
      <w:r>
        <w:t xml:space="preserve">suffisant des transactions </w:t>
      </w:r>
      <w:r w:rsidR="00D51DE1">
        <w:t>et</w:t>
      </w:r>
      <w:r>
        <w:t xml:space="preserve"> des relations d'affaires pour être en mesure de détecter toute transaction inhabituelle ou suspecte.</w:t>
      </w:r>
    </w:p>
    <w:p w:rsidR="001F17B8" w:rsidRPr="00977D98" w:rsidRDefault="001F17B8" w:rsidP="003708EF">
      <w:pPr>
        <w:pStyle w:val="Titrearticle"/>
      </w:pPr>
      <w:r>
        <w:t xml:space="preserve">Article </w:t>
      </w:r>
      <w:r w:rsidR="003708EF">
        <w:t>16</w:t>
      </w:r>
    </w:p>
    <w:p w:rsidR="001F17B8" w:rsidRPr="0012613B" w:rsidRDefault="001F17B8" w:rsidP="00923274">
      <w:pPr>
        <w:rPr>
          <w:noProof/>
        </w:rPr>
      </w:pPr>
      <w:r>
        <w:t xml:space="preserve">Lorsqu'ils évaluent les risques de blanchiment de capitaux et de financement du terrorisme liés à certains types de clients, de zones géographiques et à des produits, services, transactions ou canaux de distribution particuliers, les États membres et les </w:t>
      </w:r>
      <w:r w:rsidR="00870FFE">
        <w:t>entités assujetties</w:t>
      </w:r>
      <w:r>
        <w:t xml:space="preserve"> tiennent compte au minimum des facteurs de situations de risque potentiellement moins élevé </w:t>
      </w:r>
      <w:r w:rsidR="00923274">
        <w:t xml:space="preserve">énoncés </w:t>
      </w:r>
      <w:r>
        <w:t>à l'annexe II.</w:t>
      </w:r>
    </w:p>
    <w:p w:rsidR="001F17B8" w:rsidRPr="00977D98" w:rsidRDefault="00977D98">
      <w:pPr>
        <w:pStyle w:val="Titrearticle"/>
      </w:pPr>
      <w:r>
        <w:br w:type="page"/>
      </w:r>
      <w:r w:rsidR="001F17B8">
        <w:t>Article 1</w:t>
      </w:r>
      <w:r w:rsidR="008C3887">
        <w:t>7</w:t>
      </w:r>
    </w:p>
    <w:p w:rsidR="001F17B8" w:rsidRPr="0012613B" w:rsidRDefault="001F17B8" w:rsidP="005E336B">
      <w:r>
        <w:t>Conformément à l'article 16 d</w:t>
      </w:r>
      <w:r w:rsidR="003B2AB3">
        <w:t>es</w:t>
      </w:r>
      <w:r>
        <w:t xml:space="preserve"> règlement</w:t>
      </w:r>
      <w:r w:rsidR="003B2AB3">
        <w:t>s</w:t>
      </w:r>
      <w:r w:rsidR="005E336B">
        <w:t xml:space="preserve"> (UE) n° </w:t>
      </w:r>
      <w:r>
        <w:t xml:space="preserve">1093/2010, </w:t>
      </w:r>
      <w:r w:rsidR="005E336B">
        <w:t xml:space="preserve">(UE) n° 1094/2010 et </w:t>
      </w:r>
      <w:r w:rsidR="00923274">
        <w:t>(UE) n°</w:t>
      </w:r>
      <w:r w:rsidR="005E336B">
        <w:t> </w:t>
      </w:r>
      <w:r>
        <w:t xml:space="preserve">1095/2010, les </w:t>
      </w:r>
      <w:r w:rsidR="00310A69">
        <w:t>AES</w:t>
      </w:r>
      <w:r>
        <w:t xml:space="preserve"> </w:t>
      </w:r>
      <w:r w:rsidRPr="00D02A5F">
        <w:t>publient</w:t>
      </w:r>
      <w:r>
        <w:t>, au plus tard le …</w:t>
      </w:r>
      <w:r w:rsidR="00790F8B">
        <w:rPr>
          <w:rStyle w:val="FootnoteReference"/>
        </w:rPr>
        <w:footnoteReference w:customMarkFollows="1" w:id="34"/>
        <w:t>*</w:t>
      </w:r>
      <w:r>
        <w:t xml:space="preserve">, des orientations à l'intention des autorités compétentes et des </w:t>
      </w:r>
      <w:r w:rsidR="00D51DE1">
        <w:t>établissements de crédits et des établissements financiers</w:t>
      </w:r>
      <w:r>
        <w:t xml:space="preserve"> concernant les facteurs de risque à prendre en considération et les mesures à prendre dans les situations où des mesures simplifiées de vigilance à l'égard de la clientèle sont appropriées. La nature et la taille des activités sont </w:t>
      </w:r>
      <w:r w:rsidR="00923274">
        <w:t xml:space="preserve">spécifiquement </w:t>
      </w:r>
      <w:r>
        <w:t>prises en compte et, lorsque cela est approprié et proportionné, des mesures spécifiques sont prévues.</w:t>
      </w:r>
    </w:p>
    <w:p w:rsidR="001F17B8" w:rsidRPr="0012613B" w:rsidRDefault="001F17B8" w:rsidP="001B627C">
      <w:pPr>
        <w:pStyle w:val="SectionTitle"/>
        <w:rPr>
          <w:noProof/>
        </w:rPr>
      </w:pPr>
      <w:r>
        <w:rPr>
          <w:noProof/>
        </w:rPr>
        <w:t>Section 3</w:t>
      </w:r>
      <w:r w:rsidR="00977D98">
        <w:rPr>
          <w:noProof/>
        </w:rPr>
        <w:br/>
      </w:r>
      <w:r>
        <w:rPr>
          <w:noProof/>
        </w:rPr>
        <w:t xml:space="preserve">Obligations de vigilance </w:t>
      </w:r>
      <w:r w:rsidR="00790F8B">
        <w:rPr>
          <w:noProof/>
        </w:rPr>
        <w:t>renforcée</w:t>
      </w:r>
      <w:r w:rsidR="007B7861">
        <w:rPr>
          <w:noProof/>
        </w:rPr>
        <w:t>s</w:t>
      </w:r>
      <w:r w:rsidR="00790F8B">
        <w:rPr>
          <w:noProof/>
        </w:rPr>
        <w:t xml:space="preserve"> </w:t>
      </w:r>
      <w:r>
        <w:rPr>
          <w:noProof/>
        </w:rPr>
        <w:t>à l'égard de la clientèle</w:t>
      </w:r>
    </w:p>
    <w:p w:rsidR="001F17B8" w:rsidRPr="0012613B" w:rsidRDefault="001F17B8" w:rsidP="003708EF">
      <w:pPr>
        <w:pStyle w:val="Titrearticle"/>
        <w:rPr>
          <w:iCs/>
          <w:noProof/>
        </w:rPr>
      </w:pPr>
      <w:r>
        <w:rPr>
          <w:noProof/>
        </w:rPr>
        <w:t xml:space="preserve">Article </w:t>
      </w:r>
      <w:r w:rsidR="003708EF">
        <w:rPr>
          <w:noProof/>
        </w:rPr>
        <w:t>18</w:t>
      </w:r>
    </w:p>
    <w:p w:rsidR="001F17B8" w:rsidRPr="0012613B" w:rsidRDefault="001F17B8">
      <w:pPr>
        <w:pStyle w:val="ManualNumPar1"/>
      </w:pPr>
      <w:r>
        <w:t>1.</w:t>
      </w:r>
      <w:r w:rsidR="00977D98">
        <w:tab/>
      </w:r>
      <w:r>
        <w:t xml:space="preserve">Dans les cas </w:t>
      </w:r>
      <w:r w:rsidR="00D51DE1">
        <w:t>visés</w:t>
      </w:r>
      <w:r w:rsidR="00790F8B">
        <w:t xml:space="preserve"> </w:t>
      </w:r>
      <w:r>
        <w:t>aux articles 1</w:t>
      </w:r>
      <w:r w:rsidR="008C3887">
        <w:t>9</w:t>
      </w:r>
      <w:r>
        <w:t xml:space="preserve"> à 2</w:t>
      </w:r>
      <w:r w:rsidR="008C3887">
        <w:t>4</w:t>
      </w:r>
      <w:r>
        <w:t xml:space="preserve"> et </w:t>
      </w:r>
      <w:r w:rsidR="005E336B">
        <w:t xml:space="preserve">dans le cadre de relations avec </w:t>
      </w:r>
      <w:r>
        <w:t xml:space="preserve">des personnes </w:t>
      </w:r>
      <w:r w:rsidR="007A45FD">
        <w:t xml:space="preserve">physiques </w:t>
      </w:r>
      <w:r>
        <w:t>ou des entités juridiques établies dans le</w:t>
      </w:r>
      <w:r w:rsidR="005E336B">
        <w:t xml:space="preserve">s pays tiers répertoriés par la </w:t>
      </w:r>
      <w:r>
        <w:t xml:space="preserve">Commission comme étant </w:t>
      </w:r>
      <w:r w:rsidR="003B2AB3">
        <w:t xml:space="preserve">des pays tiers </w:t>
      </w:r>
      <w:r>
        <w:t xml:space="preserve">à haut risque, </w:t>
      </w:r>
      <w:r w:rsidR="00790F8B">
        <w:t>ainsi que</w:t>
      </w:r>
      <w:r>
        <w:t xml:space="preserve"> dans d'autres cas de risques plus élevés identifiés par les États membres ou les </w:t>
      </w:r>
      <w:r w:rsidR="00870FFE">
        <w:t>entités assujetties</w:t>
      </w:r>
      <w:r w:rsidR="005E336B">
        <w:t xml:space="preserve">, les </w:t>
      </w:r>
      <w:r>
        <w:t xml:space="preserve">États membres exigent des </w:t>
      </w:r>
      <w:r w:rsidR="00870FFE">
        <w:t>entités assujetties</w:t>
      </w:r>
      <w:r>
        <w:t xml:space="preserve"> qu'elles appliquent des mesures de vigilance renforcée</w:t>
      </w:r>
      <w:r w:rsidR="007B7861">
        <w:t>s</w:t>
      </w:r>
      <w:r>
        <w:t xml:space="preserve"> à l'égard de la clientèle afin de gérer et d'atténuer ces risques de manière adéquate.</w:t>
      </w:r>
    </w:p>
    <w:p w:rsidR="001F17B8" w:rsidRPr="0012613B" w:rsidRDefault="00977D98" w:rsidP="005E336B">
      <w:pPr>
        <w:pStyle w:val="Text1"/>
      </w:pPr>
      <w:r>
        <w:br w:type="page"/>
      </w:r>
      <w:r w:rsidR="006220FA">
        <w:t>D</w:t>
      </w:r>
      <w:r w:rsidR="001F17B8">
        <w:t>es mesures de vigilance renforcée</w:t>
      </w:r>
      <w:r w:rsidR="007B7861">
        <w:t>s</w:t>
      </w:r>
      <w:r w:rsidR="001F17B8">
        <w:t xml:space="preserve"> à l'égard de la clientèle </w:t>
      </w:r>
      <w:r w:rsidR="006220FA">
        <w:t xml:space="preserve">ne doivent pas nécessairement être automatiquement appliquées </w:t>
      </w:r>
      <w:r w:rsidR="001F17B8">
        <w:t xml:space="preserve">dans les succursales </w:t>
      </w:r>
      <w:r w:rsidR="001B627C">
        <w:t xml:space="preserve">ou filiales </w:t>
      </w:r>
      <w:r w:rsidR="006220FA">
        <w:t xml:space="preserve">détenues </w:t>
      </w:r>
      <w:r w:rsidR="001B627C">
        <w:t>majoritaire</w:t>
      </w:r>
      <w:r w:rsidR="006220FA">
        <w:t>ment</w:t>
      </w:r>
      <w:r w:rsidR="001B627C">
        <w:t xml:space="preserve">, </w:t>
      </w:r>
      <w:r w:rsidR="00923274">
        <w:t xml:space="preserve">qui sont </w:t>
      </w:r>
      <w:r w:rsidR="001F17B8">
        <w:t xml:space="preserve">situées dans des pays tiers à haut risque, </w:t>
      </w:r>
      <w:r w:rsidR="001B627C">
        <w:t>d'</w:t>
      </w:r>
      <w:r w:rsidR="00870FFE">
        <w:t>entités assujetties</w:t>
      </w:r>
      <w:r w:rsidR="007B7861">
        <w:t xml:space="preserve"> établies dans l'Union</w:t>
      </w:r>
      <w:r w:rsidR="001B627C">
        <w:t xml:space="preserve">, </w:t>
      </w:r>
      <w:r w:rsidR="005E336B">
        <w:t xml:space="preserve">si ces </w:t>
      </w:r>
      <w:r w:rsidR="001F17B8">
        <w:t xml:space="preserve">succursales </w:t>
      </w:r>
      <w:r w:rsidR="00D51DE1">
        <w:t xml:space="preserve">ou </w:t>
      </w:r>
      <w:r w:rsidR="001F17B8">
        <w:t>filiales respectent intégralement les politiques et procédures en vigueur à l'échelle du groupe conformément à l'article 4</w:t>
      </w:r>
      <w:r w:rsidR="003708EF">
        <w:t>5</w:t>
      </w:r>
      <w:r w:rsidR="001F17B8">
        <w:t xml:space="preserve">. Les États membres veillent à ce que les </w:t>
      </w:r>
      <w:r w:rsidR="00870FFE">
        <w:t>entités assujetties</w:t>
      </w:r>
      <w:r w:rsidR="001F17B8">
        <w:t xml:space="preserve"> traitent ces situations en ayant recours à une approche fondée sur les risques.</w:t>
      </w:r>
    </w:p>
    <w:p w:rsidR="001F17B8" w:rsidRPr="0012613B" w:rsidRDefault="001F17B8" w:rsidP="00C91F3C">
      <w:pPr>
        <w:pStyle w:val="ManualNumPar1"/>
      </w:pPr>
      <w:r>
        <w:t>2.</w:t>
      </w:r>
      <w:r w:rsidR="00977D98">
        <w:tab/>
      </w:r>
      <w:r>
        <w:t xml:space="preserve">Les États membres </w:t>
      </w:r>
      <w:r w:rsidR="00923274">
        <w:t>exigent des</w:t>
      </w:r>
      <w:r>
        <w:t xml:space="preserve"> </w:t>
      </w:r>
      <w:r w:rsidR="00870FFE">
        <w:t>entités assujetties</w:t>
      </w:r>
      <w:r>
        <w:t xml:space="preserve"> </w:t>
      </w:r>
      <w:r w:rsidR="00923274">
        <w:t xml:space="preserve">qu'elles </w:t>
      </w:r>
      <w:r>
        <w:t>examine</w:t>
      </w:r>
      <w:r w:rsidR="00923274">
        <w:t>nt</w:t>
      </w:r>
      <w:r>
        <w:t xml:space="preserve">, dans la mesure </w:t>
      </w:r>
      <w:r w:rsidR="006220FA">
        <w:t>du raisonnable</w:t>
      </w:r>
      <w:r>
        <w:t xml:space="preserve">, le contexte et la finalité de toute transaction complexe </w:t>
      </w:r>
      <w:r w:rsidR="00923274">
        <w:t xml:space="preserve">et </w:t>
      </w:r>
      <w:r>
        <w:t xml:space="preserve">d'un montant inhabituellement élevé </w:t>
      </w:r>
      <w:r w:rsidR="00923274">
        <w:t>et</w:t>
      </w:r>
      <w:r w:rsidR="001B627C">
        <w:t xml:space="preserve"> tous les types inhabituels </w:t>
      </w:r>
      <w:r>
        <w:t>de transaction</w:t>
      </w:r>
      <w:r w:rsidR="00923274">
        <w:t>,</w:t>
      </w:r>
      <w:r>
        <w:t xml:space="preserve"> n'ayant pas d'objet économique ou licite apparent. </w:t>
      </w:r>
      <w:r w:rsidR="00790F8B">
        <w:t xml:space="preserve">Les entités </w:t>
      </w:r>
      <w:r w:rsidR="007B7861">
        <w:t>assujetties</w:t>
      </w:r>
      <w:r>
        <w:t xml:space="preserve"> renforcent notamment le degré et la nature d</w:t>
      </w:r>
      <w:r w:rsidR="00C91F3C">
        <w:t>u</w:t>
      </w:r>
      <w:r w:rsidR="00E359B3">
        <w:t xml:space="preserve"> </w:t>
      </w:r>
      <w:r w:rsidR="00C91F3C">
        <w:t>contrôle</w:t>
      </w:r>
      <w:r w:rsidR="00E359B3">
        <w:t xml:space="preserve"> </w:t>
      </w:r>
      <w:r>
        <w:t>de la relation d'affaires, afin d'apprécier si ces transactions ou activités semblent suspectes.</w:t>
      </w:r>
    </w:p>
    <w:p w:rsidR="001F17B8" w:rsidRPr="0012613B" w:rsidRDefault="001F17B8">
      <w:pPr>
        <w:pStyle w:val="ManualNumPar1"/>
        <w:rPr>
          <w:noProof/>
        </w:rPr>
      </w:pPr>
      <w:r>
        <w:t>3.</w:t>
      </w:r>
      <w:r w:rsidR="00977D98">
        <w:tab/>
      </w:r>
      <w:r>
        <w:t xml:space="preserve">Lorsqu'ils évaluent les risques de blanchiment de capitaux et de financement du terrorisme, les États membres et les </w:t>
      </w:r>
      <w:r w:rsidR="00870FFE">
        <w:t>entités assujetties</w:t>
      </w:r>
      <w:r>
        <w:t xml:space="preserve"> tiennent compte au minimum des facteurs de situations de risque potentiellement plus élevé </w:t>
      </w:r>
      <w:r w:rsidR="00790F8B">
        <w:t xml:space="preserve">énoncés </w:t>
      </w:r>
      <w:r>
        <w:t>à l'annexe III.</w:t>
      </w:r>
    </w:p>
    <w:p w:rsidR="001F17B8" w:rsidRPr="0012613B" w:rsidRDefault="001F17B8">
      <w:pPr>
        <w:pStyle w:val="ManualNumPar1"/>
      </w:pPr>
      <w:r>
        <w:t>4.</w:t>
      </w:r>
      <w:r w:rsidR="00977D98">
        <w:tab/>
      </w:r>
      <w:r>
        <w:t xml:space="preserve">Conformément à l'article 16 </w:t>
      </w:r>
      <w:r w:rsidR="00661C61">
        <w:t xml:space="preserve">des </w:t>
      </w:r>
      <w:r>
        <w:t>règlement</w:t>
      </w:r>
      <w:r w:rsidR="00661C61">
        <w:t>s</w:t>
      </w:r>
      <w:r w:rsidR="005E336B">
        <w:t xml:space="preserve"> (UE) n° </w:t>
      </w:r>
      <w:r>
        <w:t xml:space="preserve">1093/2010, </w:t>
      </w:r>
      <w:r w:rsidR="005E336B">
        <w:t>(UE) n° </w:t>
      </w:r>
      <w:r>
        <w:t xml:space="preserve">1094/2010 et </w:t>
      </w:r>
      <w:r w:rsidR="005E336B">
        <w:t>(UE) n° </w:t>
      </w:r>
      <w:r>
        <w:t xml:space="preserve">1095/2010, les </w:t>
      </w:r>
      <w:r w:rsidR="00790F8B">
        <w:t>AES</w:t>
      </w:r>
      <w:r>
        <w:t xml:space="preserve"> publient, au plus tard le …</w:t>
      </w:r>
      <w:r w:rsidR="00790F8B">
        <w:rPr>
          <w:rStyle w:val="FootnoteReference"/>
        </w:rPr>
        <w:footnoteReference w:customMarkFollows="1" w:id="35"/>
        <w:t>*</w:t>
      </w:r>
      <w:r>
        <w:t xml:space="preserve">, des orientations à l'intention des autorités compétentes et des </w:t>
      </w:r>
      <w:r w:rsidR="00923274">
        <w:t>établissements de crédit et des établissements financiers</w:t>
      </w:r>
      <w:r>
        <w:t>, concernant les facteurs de risque à prendre en considération et les mesures à prendre dans les situations où des mesures de vigilance renforcée</w:t>
      </w:r>
      <w:r w:rsidR="007B7861">
        <w:t>s</w:t>
      </w:r>
      <w:r>
        <w:t xml:space="preserve"> à l'égard de la clientèle sont appropriées. La nature et la taille des activités sont </w:t>
      </w:r>
      <w:r w:rsidR="00923274">
        <w:t xml:space="preserve">spécifiquement </w:t>
      </w:r>
      <w:r>
        <w:t>prises en compte et, lorsque cela est approprié et proportionné, des mesures spécifiques sont prévues.</w:t>
      </w:r>
    </w:p>
    <w:p w:rsidR="001F17B8" w:rsidRPr="00977D98" w:rsidRDefault="00977D98" w:rsidP="003708EF">
      <w:pPr>
        <w:pStyle w:val="Titrearticle"/>
      </w:pPr>
      <w:r>
        <w:br w:type="page"/>
      </w:r>
      <w:r w:rsidR="001F17B8" w:rsidRPr="00977D98">
        <w:t xml:space="preserve">Article </w:t>
      </w:r>
      <w:r w:rsidR="003708EF" w:rsidRPr="00977D98">
        <w:t>1</w:t>
      </w:r>
      <w:r w:rsidR="003708EF">
        <w:t>9</w:t>
      </w:r>
    </w:p>
    <w:p w:rsidR="001F17B8" w:rsidRPr="0012613B" w:rsidRDefault="001F17B8" w:rsidP="005E336B">
      <w:r>
        <w:t xml:space="preserve">En ce qui concerne les relations </w:t>
      </w:r>
      <w:r w:rsidRPr="007969D9">
        <w:t>transfront</w:t>
      </w:r>
      <w:r w:rsidR="00307ED1">
        <w:t>al</w:t>
      </w:r>
      <w:r w:rsidRPr="007969D9">
        <w:t>ières de correspondant avec</w:t>
      </w:r>
      <w:r>
        <w:t xml:space="preserve"> </w:t>
      </w:r>
      <w:r w:rsidR="007969D9">
        <w:t xml:space="preserve">un </w:t>
      </w:r>
      <w:r>
        <w:t>établissement client d</w:t>
      </w:r>
      <w:r w:rsidR="00D51DE1">
        <w:t>'un</w:t>
      </w:r>
      <w:r w:rsidR="005E336B">
        <w:t xml:space="preserve"> </w:t>
      </w:r>
      <w:r>
        <w:t>pays tiers, les États membres exigent de leurs établissements de crédit et de leurs établissements financiers, outre les mesures de vigilance à l'égard de la clientèle prévues à l'article 1</w:t>
      </w:r>
      <w:r w:rsidR="003708EF">
        <w:t>3</w:t>
      </w:r>
      <w:r>
        <w:t>:</w:t>
      </w:r>
    </w:p>
    <w:p w:rsidR="001F17B8" w:rsidRPr="0012613B" w:rsidRDefault="001F17B8">
      <w:pPr>
        <w:pStyle w:val="Point0"/>
      </w:pPr>
      <w:r>
        <w:t>a)</w:t>
      </w:r>
      <w:r w:rsidR="00977D98">
        <w:tab/>
      </w:r>
      <w:r>
        <w:t>qu'ils recueillent sur l'établissement client des informations suffisantes pour comprendre pleinement la nature de ses activités et pour apprécier, sur la bas</w:t>
      </w:r>
      <w:r w:rsidR="005E336B">
        <w:t xml:space="preserve">e d'informations accessibles au </w:t>
      </w:r>
      <w:r>
        <w:t xml:space="preserve">public, sa réputation et la qualité de la </w:t>
      </w:r>
      <w:r w:rsidRPr="00D51DE1">
        <w:t>surveillance</w:t>
      </w:r>
      <w:r>
        <w:t>;</w:t>
      </w:r>
    </w:p>
    <w:p w:rsidR="001F17B8" w:rsidRPr="0012613B" w:rsidRDefault="001F17B8" w:rsidP="00977D98">
      <w:pPr>
        <w:pStyle w:val="Point0"/>
      </w:pPr>
      <w:r>
        <w:t>b)</w:t>
      </w:r>
      <w:r w:rsidR="00977D98">
        <w:tab/>
      </w:r>
      <w:r>
        <w:t>qu'ils évaluent les contrôles mis en place par l'établisseme</w:t>
      </w:r>
      <w:r w:rsidR="005E336B">
        <w:t xml:space="preserve">nt client pour lutter contre le </w:t>
      </w:r>
      <w:r>
        <w:t>blanchiment de capitaux et le financement du terrorisme;</w:t>
      </w:r>
    </w:p>
    <w:p w:rsidR="001F17B8" w:rsidRPr="0012613B" w:rsidRDefault="001F17B8" w:rsidP="00D51DE1">
      <w:pPr>
        <w:pStyle w:val="Point0"/>
        <w:rPr>
          <w:noProof/>
        </w:rPr>
      </w:pPr>
      <w:r>
        <w:t>c)</w:t>
      </w:r>
      <w:r w:rsidR="00977D98">
        <w:tab/>
      </w:r>
      <w:r>
        <w:t xml:space="preserve">qu'ils obtiennent l'autorisation </w:t>
      </w:r>
      <w:r w:rsidRPr="00C81C06">
        <w:t>d'un membre d'un niveau élevé de la hiérarchie</w:t>
      </w:r>
      <w:r>
        <w:t xml:space="preserve"> avant de nouer de nouvelles relations </w:t>
      </w:r>
      <w:r w:rsidRPr="007969D9">
        <w:t>de correspondant</w:t>
      </w:r>
      <w:r>
        <w:t>;</w:t>
      </w:r>
    </w:p>
    <w:p w:rsidR="001F17B8" w:rsidRDefault="001F17B8" w:rsidP="00977D98">
      <w:pPr>
        <w:pStyle w:val="Point0"/>
      </w:pPr>
      <w:r>
        <w:t>d)</w:t>
      </w:r>
      <w:r w:rsidR="00977D98">
        <w:tab/>
      </w:r>
      <w:r>
        <w:t>qu'ils établissent par écrit les responsabilités respectives de chaque établissement;</w:t>
      </w:r>
    </w:p>
    <w:p w:rsidR="001F17B8" w:rsidRPr="0012613B" w:rsidRDefault="001F17B8" w:rsidP="005E336B">
      <w:pPr>
        <w:pStyle w:val="Point0"/>
        <w:rPr>
          <w:noProof/>
        </w:rPr>
      </w:pPr>
      <w:r>
        <w:t>e)</w:t>
      </w:r>
      <w:r w:rsidR="00977D98">
        <w:tab/>
      </w:r>
      <w:r>
        <w:t>en ce qui concerne les comptes "de passage" ("payable-through accounts"), qu'ils s'assurent que</w:t>
      </w:r>
      <w:r w:rsidR="005E336B">
        <w:t xml:space="preserve"> </w:t>
      </w:r>
      <w:r>
        <w:t xml:space="preserve">l'établissement client a vérifié l'identité des clients ayant un accès direct aux comptes de l'établissement correspondant et a exercé à leur égard une </w:t>
      </w:r>
      <w:r w:rsidRPr="008C3887">
        <w:t>vigilance constante</w:t>
      </w:r>
      <w:r>
        <w:t>, et qu'il peut fournir des données pertinentes concernant ces mesures de vigilance à</w:t>
      </w:r>
      <w:r w:rsidR="005E336B">
        <w:t xml:space="preserve"> </w:t>
      </w:r>
      <w:r>
        <w:t>la</w:t>
      </w:r>
      <w:r w:rsidR="005E336B">
        <w:t xml:space="preserve"> </w:t>
      </w:r>
      <w:r>
        <w:t>demande de l'établissement correspondant.</w:t>
      </w:r>
    </w:p>
    <w:p w:rsidR="001F17B8" w:rsidRPr="005E336B" w:rsidRDefault="00977D98" w:rsidP="005E336B">
      <w:pPr>
        <w:pStyle w:val="Titrearticle"/>
      </w:pPr>
      <w:r>
        <w:rPr>
          <w:noProof/>
        </w:rPr>
        <w:br w:type="page"/>
      </w:r>
      <w:r w:rsidR="001F17B8">
        <w:t xml:space="preserve">Article </w:t>
      </w:r>
      <w:r w:rsidR="00591DC3">
        <w:t>20</w:t>
      </w:r>
    </w:p>
    <w:p w:rsidR="001F17B8" w:rsidRPr="0012613B" w:rsidRDefault="001F17B8" w:rsidP="005E336B">
      <w:r>
        <w:t xml:space="preserve">En ce qui concerne les transactions ou les relations d'affaires avec des personnes politiquement exposées, les États membres exigent des </w:t>
      </w:r>
      <w:r w:rsidR="00870FFE">
        <w:t>entités assujetties</w:t>
      </w:r>
      <w:r w:rsidR="005E336B">
        <w:t xml:space="preserve">, outre les </w:t>
      </w:r>
      <w:r>
        <w:t xml:space="preserve">mesures de vigilance à l'égard de la clientèle </w:t>
      </w:r>
      <w:r w:rsidR="00923274">
        <w:t>prévues</w:t>
      </w:r>
      <w:r w:rsidR="007969D9">
        <w:t xml:space="preserve"> </w:t>
      </w:r>
      <w:r>
        <w:t>à l'article </w:t>
      </w:r>
      <w:r w:rsidR="00591DC3">
        <w:t>13</w:t>
      </w:r>
      <w:r>
        <w:t>:</w:t>
      </w:r>
    </w:p>
    <w:p w:rsidR="001F17B8" w:rsidRPr="0012613B" w:rsidRDefault="001F17B8">
      <w:pPr>
        <w:pStyle w:val="Point0"/>
      </w:pPr>
      <w:r>
        <w:t>a)</w:t>
      </w:r>
      <w:r w:rsidR="00977D98">
        <w:tab/>
      </w:r>
      <w:r w:rsidRPr="008C3887">
        <w:t xml:space="preserve">qu'elles disposent de systèmes </w:t>
      </w:r>
      <w:r w:rsidR="006220FA" w:rsidRPr="008C3887">
        <w:t xml:space="preserve">adéquats </w:t>
      </w:r>
      <w:r w:rsidRPr="008C3887">
        <w:t xml:space="preserve">de gestion des risques, y compris des procédures </w:t>
      </w:r>
      <w:r w:rsidR="00F05C02">
        <w:t>fondées</w:t>
      </w:r>
      <w:r w:rsidRPr="008C3887">
        <w:t xml:space="preserve"> </w:t>
      </w:r>
      <w:r w:rsidR="00F05C02">
        <w:t xml:space="preserve">sur les </w:t>
      </w:r>
      <w:r w:rsidRPr="008C3887">
        <w:t>risque</w:t>
      </w:r>
      <w:r w:rsidR="00F05C02">
        <w:t>s</w:t>
      </w:r>
      <w:r w:rsidRPr="008C3887">
        <w:t>, pour déterminer si le client ou le bénéficiaire effectif du client est une personne</w:t>
      </w:r>
      <w:r w:rsidR="00923274" w:rsidRPr="008C3887">
        <w:t xml:space="preserve"> politiquement exposée</w:t>
      </w:r>
      <w:r w:rsidRPr="008C3887">
        <w:t>;</w:t>
      </w:r>
    </w:p>
    <w:p w:rsidR="001F17B8" w:rsidRPr="0012613B" w:rsidRDefault="001F17B8">
      <w:pPr>
        <w:pStyle w:val="Point0"/>
      </w:pPr>
      <w:r>
        <w:t>b)</w:t>
      </w:r>
      <w:r w:rsidR="00977D98">
        <w:tab/>
      </w:r>
      <w:r w:rsidR="00661C61" w:rsidRPr="00661C61">
        <w:t xml:space="preserve">qu'elles appliquent les mesures suivantes </w:t>
      </w:r>
      <w:r>
        <w:t>pour les relations d'affaires avec des personnes</w:t>
      </w:r>
      <w:r w:rsidR="00923274">
        <w:t xml:space="preserve"> politiquement exposées</w:t>
      </w:r>
      <w:r w:rsidR="007969D9">
        <w:t>;</w:t>
      </w:r>
    </w:p>
    <w:p w:rsidR="001F17B8" w:rsidRPr="0012613B" w:rsidRDefault="005E336B" w:rsidP="00923274">
      <w:pPr>
        <w:pStyle w:val="Point1"/>
      </w:pPr>
      <w:r>
        <w:t>i)</w:t>
      </w:r>
      <w:r w:rsidR="00F05C02">
        <w:tab/>
      </w:r>
      <w:r w:rsidR="001F17B8">
        <w:t>obtenir d'un membre d'un niveau élevé de leur hiérarchie l'autorisation de nouer ou de maintenir une relation d'affaires avec de tel</w:t>
      </w:r>
      <w:r w:rsidR="00923274">
        <w:t>le</w:t>
      </w:r>
      <w:r w:rsidR="001F17B8">
        <w:t xml:space="preserve">s </w:t>
      </w:r>
      <w:r w:rsidR="00923274">
        <w:t>personnes</w:t>
      </w:r>
      <w:r w:rsidR="001F17B8">
        <w:t>;</w:t>
      </w:r>
    </w:p>
    <w:p w:rsidR="001F17B8" w:rsidRPr="0012613B" w:rsidRDefault="005E336B" w:rsidP="00923274">
      <w:pPr>
        <w:pStyle w:val="Point1"/>
      </w:pPr>
      <w:r>
        <w:t>ii)</w:t>
      </w:r>
      <w:r w:rsidR="00F05C02">
        <w:tab/>
      </w:r>
      <w:r w:rsidR="001F17B8">
        <w:t>prendre les mesures appropriées pour établir l'origine du patrimoine et l'origine des fonds impliqués dans la relation d'affaires ou la transaction</w:t>
      </w:r>
      <w:r w:rsidR="00923274">
        <w:t xml:space="preserve"> avec de telles personnes</w:t>
      </w:r>
      <w:r w:rsidR="001F17B8">
        <w:t>;</w:t>
      </w:r>
    </w:p>
    <w:p w:rsidR="001F17B8" w:rsidRPr="0012613B" w:rsidRDefault="001F17B8" w:rsidP="005E336B">
      <w:pPr>
        <w:pStyle w:val="Point1"/>
      </w:pPr>
      <w:r>
        <w:t>i</w:t>
      </w:r>
      <w:r w:rsidR="00661C61">
        <w:t>ii</w:t>
      </w:r>
      <w:r>
        <w:t>)</w:t>
      </w:r>
      <w:r w:rsidR="00F05C02">
        <w:tab/>
      </w:r>
      <w:r>
        <w:t xml:space="preserve">assurer un </w:t>
      </w:r>
      <w:r w:rsidR="00C91F3C">
        <w:t>contrôle</w:t>
      </w:r>
      <w:r w:rsidR="00E359B3">
        <w:t xml:space="preserve"> </w:t>
      </w:r>
      <w:r>
        <w:t>renforcé de la relation d'affaires</w:t>
      </w:r>
      <w:r w:rsidR="00923274">
        <w:t xml:space="preserve"> sur une base continue</w:t>
      </w:r>
      <w:r>
        <w:t>.</w:t>
      </w:r>
    </w:p>
    <w:p w:rsidR="001F17B8" w:rsidRPr="005E336B" w:rsidRDefault="005E336B" w:rsidP="005E336B">
      <w:pPr>
        <w:pStyle w:val="Titrearticle"/>
      </w:pPr>
      <w:r>
        <w:br w:type="page"/>
      </w:r>
      <w:r w:rsidR="001F17B8" w:rsidRPr="00F55620">
        <w:t>Article 2</w:t>
      </w:r>
      <w:r w:rsidR="00591DC3">
        <w:t>1</w:t>
      </w:r>
    </w:p>
    <w:p w:rsidR="001F17B8" w:rsidRPr="0012613B" w:rsidRDefault="001F17B8" w:rsidP="00320A3E">
      <w:r w:rsidRPr="00F55620">
        <w:t>Les</w:t>
      </w:r>
      <w:r w:rsidR="00661C61" w:rsidRPr="00F55620">
        <w:t xml:space="preserve"> États membres</w:t>
      </w:r>
      <w:r w:rsidRPr="00F55620">
        <w:t xml:space="preserve"> </w:t>
      </w:r>
      <w:r w:rsidR="00661C61" w:rsidRPr="00F55620">
        <w:t xml:space="preserve">exigent </w:t>
      </w:r>
      <w:r w:rsidR="007969D9" w:rsidRPr="00F55620">
        <w:t xml:space="preserve">des </w:t>
      </w:r>
      <w:r w:rsidR="00870FFE">
        <w:t>entités assujetties</w:t>
      </w:r>
      <w:r w:rsidRPr="00F55620">
        <w:t xml:space="preserve"> </w:t>
      </w:r>
      <w:r w:rsidR="007969D9" w:rsidRPr="00F55620">
        <w:t xml:space="preserve">qu'elles </w:t>
      </w:r>
      <w:r w:rsidRPr="00F55620">
        <w:t xml:space="preserve">prennent des mesures raisonnables en vue de déterminer si les bénéficiaires d'un contrat d'assurance vie ou d'un autre type d'assurance liée à des placements </w:t>
      </w:r>
      <w:r w:rsidR="007A45FD" w:rsidRPr="00F55620">
        <w:t>et/</w:t>
      </w:r>
      <w:r w:rsidRPr="00F55620">
        <w:t>ou, le cas échéant, le bénéficiaire effectif du bénéficiaire sont des personnes politiquement exposées. Ces mesures sont prises au plus tard au moment du versement des prestations ou au moment de la cession, partielle</w:t>
      </w:r>
      <w:r>
        <w:t xml:space="preserve"> ou totale, du contrat d'assurance. Lorsque des risques plus élevés sont identifiés, les États membres imposent aux </w:t>
      </w:r>
      <w:r w:rsidR="00870FFE">
        <w:t>entités assujetties</w:t>
      </w:r>
      <w:r>
        <w:t>, outre les mesures de vigilance à l'égard de la clientèle</w:t>
      </w:r>
      <w:r w:rsidR="007969D9">
        <w:t xml:space="preserve"> </w:t>
      </w:r>
      <w:r w:rsidR="005D21C6">
        <w:t>prévues</w:t>
      </w:r>
      <w:r w:rsidR="007969D9">
        <w:t xml:space="preserve"> à l'article </w:t>
      </w:r>
      <w:r w:rsidR="00D51DE1">
        <w:t>1</w:t>
      </w:r>
      <w:r w:rsidR="00591DC3">
        <w:t>3</w:t>
      </w:r>
      <w:r>
        <w:t>:</w:t>
      </w:r>
    </w:p>
    <w:p w:rsidR="001F17B8" w:rsidRPr="0012613B" w:rsidRDefault="001F17B8" w:rsidP="00F05C02">
      <w:pPr>
        <w:pStyle w:val="Point0"/>
      </w:pPr>
      <w:r>
        <w:t>a)</w:t>
      </w:r>
      <w:r w:rsidR="00977D98">
        <w:tab/>
      </w:r>
      <w:r>
        <w:t>d'informer un membre d'un niveau élevé de la hiérarchie avant le paiement des produits du contrat;</w:t>
      </w:r>
    </w:p>
    <w:p w:rsidR="001F17B8" w:rsidRPr="0012613B" w:rsidRDefault="001F17B8" w:rsidP="00977D98">
      <w:pPr>
        <w:pStyle w:val="Point0"/>
      </w:pPr>
      <w:r>
        <w:t>b)</w:t>
      </w:r>
      <w:r w:rsidR="00977D98">
        <w:tab/>
      </w:r>
      <w:r>
        <w:t>d'exercer un contrôle renforcé sur l'intégralité de la relation d'affaires avec le preneur d'assurance.</w:t>
      </w:r>
    </w:p>
    <w:p w:rsidR="001F17B8" w:rsidRPr="00C63007" w:rsidRDefault="001F17B8" w:rsidP="00591DC3">
      <w:pPr>
        <w:pStyle w:val="Titrearticle"/>
        <w:rPr>
          <w:noProof/>
        </w:rPr>
      </w:pPr>
      <w:r w:rsidRPr="00C63007">
        <w:rPr>
          <w:noProof/>
        </w:rPr>
        <w:t xml:space="preserve">Article </w:t>
      </w:r>
      <w:r w:rsidR="00591DC3">
        <w:rPr>
          <w:noProof/>
        </w:rPr>
        <w:t>22</w:t>
      </w:r>
    </w:p>
    <w:p w:rsidR="001F17B8" w:rsidRDefault="001F17B8" w:rsidP="005E336B">
      <w:r w:rsidRPr="00C63007">
        <w:t xml:space="preserve">Lorsqu'une personne </w:t>
      </w:r>
      <w:r w:rsidR="00C63007">
        <w:t>politiquement exposée</w:t>
      </w:r>
      <w:r w:rsidRPr="00C63007">
        <w:t xml:space="preserve"> a cessé d'exercer une fonction </w:t>
      </w:r>
      <w:r w:rsidR="007A45FD">
        <w:t xml:space="preserve">publique </w:t>
      </w:r>
      <w:r w:rsidR="005E336B">
        <w:t xml:space="preserve">importante pour le </w:t>
      </w:r>
      <w:r w:rsidRPr="00C63007">
        <w:t xml:space="preserve">compte d'un État membre ou d'un pays tiers ou une fonction </w:t>
      </w:r>
      <w:r w:rsidR="007A45FD">
        <w:t xml:space="preserve">publique </w:t>
      </w:r>
      <w:r w:rsidRPr="00C63007">
        <w:t>importante pour le compte d'une</w:t>
      </w:r>
      <w:r w:rsidR="005E336B">
        <w:t xml:space="preserve"> </w:t>
      </w:r>
      <w:r w:rsidRPr="00C63007">
        <w:t xml:space="preserve">organisation internationale, les </w:t>
      </w:r>
      <w:r w:rsidR="00870FFE">
        <w:t>entités assujetties</w:t>
      </w:r>
      <w:r>
        <w:t xml:space="preserve"> </w:t>
      </w:r>
      <w:r w:rsidR="007A45FD">
        <w:t xml:space="preserve">sont tenues de </w:t>
      </w:r>
      <w:r>
        <w:t>pren</w:t>
      </w:r>
      <w:r w:rsidR="007A45FD">
        <w:t>dre</w:t>
      </w:r>
      <w:r>
        <w:t xml:space="preserve"> en considération</w:t>
      </w:r>
      <w:r w:rsidR="00C63007">
        <w:t>, pendant au moins douze mois,</w:t>
      </w:r>
      <w:r>
        <w:t xml:space="preserve"> le risque que cette personne continue de poser et </w:t>
      </w:r>
      <w:r w:rsidR="00980269">
        <w:t>d'</w:t>
      </w:r>
      <w:r w:rsidRPr="00980269">
        <w:t>applique</w:t>
      </w:r>
      <w:r w:rsidR="00980269">
        <w:t>r</w:t>
      </w:r>
      <w:r w:rsidRPr="00980269">
        <w:t xml:space="preserve"> d</w:t>
      </w:r>
      <w:r>
        <w:t>es mesures appropriées, fondées sur l'appréciation de ce risque, jusqu'à ce qu'elle soit réputée ne plus poser de risque</w:t>
      </w:r>
      <w:r w:rsidR="007969D9">
        <w:t xml:space="preserve"> </w:t>
      </w:r>
      <w:r w:rsidR="007969D9" w:rsidRPr="00C63007">
        <w:t>propre</w:t>
      </w:r>
      <w:r w:rsidR="007969D9">
        <w:t xml:space="preserve"> aux personnes politiquement exposées</w:t>
      </w:r>
      <w:r>
        <w:t>.</w:t>
      </w:r>
    </w:p>
    <w:p w:rsidR="007A45FD" w:rsidRPr="00D51DE1" w:rsidRDefault="007A45FD" w:rsidP="00591DC3">
      <w:pPr>
        <w:pStyle w:val="Titrearticle"/>
        <w:rPr>
          <w:iCs/>
        </w:rPr>
      </w:pPr>
      <w:r w:rsidRPr="00D51DE1">
        <w:rPr>
          <w:noProof/>
        </w:rPr>
        <w:t>Article 2</w:t>
      </w:r>
      <w:r w:rsidR="00591DC3">
        <w:rPr>
          <w:noProof/>
        </w:rPr>
        <w:t>3</w:t>
      </w:r>
    </w:p>
    <w:p w:rsidR="007A45FD" w:rsidRDefault="007A45FD" w:rsidP="00591DC3">
      <w:r w:rsidRPr="0020665E">
        <w:t>Les mesures vi</w:t>
      </w:r>
      <w:r w:rsidRPr="00E4575D">
        <w:t>sées aux articles </w:t>
      </w:r>
      <w:r w:rsidR="00591DC3">
        <w:t>20</w:t>
      </w:r>
      <w:r w:rsidR="005F59F6">
        <w:t xml:space="preserve"> et</w:t>
      </w:r>
      <w:r w:rsidRPr="00D51DE1">
        <w:t xml:space="preserve"> 2</w:t>
      </w:r>
      <w:r w:rsidR="00591DC3">
        <w:t>1</w:t>
      </w:r>
      <w:r w:rsidRPr="00D51DE1">
        <w:t xml:space="preserve"> s'appliquent égalemen</w:t>
      </w:r>
      <w:r w:rsidR="005E336B">
        <w:t xml:space="preserve">t aux membres de la famille des </w:t>
      </w:r>
      <w:r w:rsidRPr="00D51DE1">
        <w:t>personnes politiquement exposées ou aux personnes connues pour être étroitement associées aux personnes politiquement exposées.</w:t>
      </w:r>
    </w:p>
    <w:p w:rsidR="001F17B8" w:rsidRPr="00977D98" w:rsidRDefault="005E336B" w:rsidP="00591DC3">
      <w:pPr>
        <w:pStyle w:val="Titrearticle"/>
        <w:rPr>
          <w:noProof/>
        </w:rPr>
      </w:pPr>
      <w:r>
        <w:rPr>
          <w:noProof/>
        </w:rPr>
        <w:br w:type="page"/>
      </w:r>
      <w:r w:rsidR="001F17B8">
        <w:rPr>
          <w:noProof/>
        </w:rPr>
        <w:t xml:space="preserve">Article </w:t>
      </w:r>
      <w:r w:rsidR="00591DC3">
        <w:rPr>
          <w:noProof/>
        </w:rPr>
        <w:t>24</w:t>
      </w:r>
    </w:p>
    <w:p w:rsidR="001F17B8" w:rsidRPr="0012613B" w:rsidRDefault="001F17B8" w:rsidP="005E336B">
      <w:r>
        <w:t>Les États membres interdisent aux établissements de crédit et a</w:t>
      </w:r>
      <w:r w:rsidR="005E336B">
        <w:t xml:space="preserve">ux établissements financiers de </w:t>
      </w:r>
      <w:r>
        <w:t>nouer ou de maintenir une relation de correspondan</w:t>
      </w:r>
      <w:r w:rsidR="00F05C02">
        <w:t>t</w:t>
      </w:r>
      <w:r>
        <w:t xml:space="preserve"> avec une société bancaire écran</w:t>
      </w:r>
      <w:r w:rsidR="00C63007">
        <w:t>. Ils</w:t>
      </w:r>
      <w:r>
        <w:t xml:space="preserve"> leur</w:t>
      </w:r>
      <w:r w:rsidR="005E336B">
        <w:t xml:space="preserve"> </w:t>
      </w:r>
      <w:r>
        <w:t xml:space="preserve">imposent de prendre des mesures appropriées pour qu'ils ne nouent pas ou ne maintiennent pas de relations de correspondant avec un établissement de crédit ou un établissement financier </w:t>
      </w:r>
      <w:r w:rsidR="00227B32">
        <w:t>connu comme autorisant</w:t>
      </w:r>
      <w:r>
        <w:t xml:space="preserve"> </w:t>
      </w:r>
      <w:r w:rsidR="00227B32">
        <w:t>l'utilisation de</w:t>
      </w:r>
      <w:r>
        <w:t xml:space="preserve"> ses comptes par une société bancaire écran.</w:t>
      </w:r>
    </w:p>
    <w:p w:rsidR="00661C61" w:rsidRPr="005E336B" w:rsidRDefault="00CB5F8B" w:rsidP="005E336B">
      <w:pPr>
        <w:pStyle w:val="SectionTitle"/>
      </w:pPr>
      <w:r w:rsidRPr="005E336B">
        <w:t xml:space="preserve">Section </w:t>
      </w:r>
      <w:r w:rsidR="00661C61" w:rsidRPr="005E336B">
        <w:t>4</w:t>
      </w:r>
      <w:r w:rsidR="00977D98" w:rsidRPr="005E336B">
        <w:br/>
      </w:r>
      <w:r w:rsidR="00322078" w:rsidRPr="005E336B">
        <w:t>Exécution par des tiers</w:t>
      </w:r>
    </w:p>
    <w:p w:rsidR="001F17B8" w:rsidRPr="005E336B" w:rsidRDefault="001F17B8" w:rsidP="005E336B">
      <w:pPr>
        <w:pStyle w:val="Titrearticle"/>
        <w:rPr>
          <w:noProof/>
        </w:rPr>
      </w:pPr>
      <w:r>
        <w:rPr>
          <w:noProof/>
        </w:rPr>
        <w:t>Article 2</w:t>
      </w:r>
      <w:r w:rsidR="00591DC3">
        <w:rPr>
          <w:noProof/>
        </w:rPr>
        <w:t>5</w:t>
      </w:r>
    </w:p>
    <w:p w:rsidR="001F17B8" w:rsidRPr="0012613B" w:rsidRDefault="001F17B8" w:rsidP="005E336B">
      <w:r>
        <w:t xml:space="preserve">Les États membres peuvent permettre aux </w:t>
      </w:r>
      <w:r w:rsidR="00870FFE">
        <w:t>entités assujetties</w:t>
      </w:r>
      <w:r w:rsidR="00CB5F8B">
        <w:t xml:space="preserve"> de recourir à des tiers pour </w:t>
      </w:r>
      <w:r>
        <w:t xml:space="preserve">l'exécution des obligations </w:t>
      </w:r>
      <w:r w:rsidR="005D21C6">
        <w:t xml:space="preserve">de vigilance à l'égard de la clientèle </w:t>
      </w:r>
      <w:r>
        <w:t>prévues à l'article 1</w:t>
      </w:r>
      <w:r w:rsidR="00591DC3">
        <w:t>3</w:t>
      </w:r>
      <w:r>
        <w:t xml:space="preserve">, paragraphe 1, </w:t>
      </w:r>
      <w:r w:rsidR="005D21C6">
        <w:t xml:space="preserve">premier alinéa, </w:t>
      </w:r>
      <w:r>
        <w:t>poi</w:t>
      </w:r>
      <w:r w:rsidR="005E336B">
        <w:t xml:space="preserve">nts a), b) et c). Toutefois, la </w:t>
      </w:r>
      <w:r>
        <w:t xml:space="preserve">responsabilité finale du respect de ces obligations continue d'incomber aux </w:t>
      </w:r>
      <w:r w:rsidR="00870FFE">
        <w:t>entités assujetties</w:t>
      </w:r>
      <w:r>
        <w:t xml:space="preserve"> qui recourent à des tiers.</w:t>
      </w:r>
    </w:p>
    <w:p w:rsidR="001F17B8" w:rsidRPr="005E336B" w:rsidRDefault="001F17B8" w:rsidP="005E336B">
      <w:pPr>
        <w:pStyle w:val="Titrearticle"/>
        <w:rPr>
          <w:noProof/>
        </w:rPr>
      </w:pPr>
      <w:r>
        <w:rPr>
          <w:noProof/>
        </w:rPr>
        <w:t>Article 2</w:t>
      </w:r>
      <w:r w:rsidR="00591DC3">
        <w:rPr>
          <w:noProof/>
        </w:rPr>
        <w:t>6</w:t>
      </w:r>
    </w:p>
    <w:p w:rsidR="001F17B8" w:rsidRDefault="001F17B8" w:rsidP="007B7861">
      <w:pPr>
        <w:pStyle w:val="ManualNumPar1"/>
      </w:pPr>
      <w:r>
        <w:t>1.</w:t>
      </w:r>
      <w:r w:rsidR="00977D98">
        <w:tab/>
      </w:r>
      <w:r>
        <w:t xml:space="preserve">Aux fins de la présente section, on entend par "tiers" les </w:t>
      </w:r>
      <w:r w:rsidR="00870FFE">
        <w:t>entités assujetties</w:t>
      </w:r>
      <w:r>
        <w:t xml:space="preserve"> énumérées à l'article 2, les organisations ou fédérations </w:t>
      </w:r>
      <w:r w:rsidR="005D21C6">
        <w:t xml:space="preserve">membres </w:t>
      </w:r>
      <w:r>
        <w:t xml:space="preserve">de ces </w:t>
      </w:r>
      <w:r w:rsidR="00870FFE">
        <w:t>entités assujetties</w:t>
      </w:r>
      <w:r>
        <w:t xml:space="preserve">, ou d'autres établissements ou personnes, </w:t>
      </w:r>
      <w:r w:rsidR="007B7861">
        <w:t>situés</w:t>
      </w:r>
      <w:r>
        <w:t xml:space="preserve"> dans u</w:t>
      </w:r>
      <w:r w:rsidR="005E336B">
        <w:t>n État membre ou un pays tiers:</w:t>
      </w:r>
    </w:p>
    <w:p w:rsidR="001F17B8" w:rsidRPr="0012613B" w:rsidRDefault="001F17B8" w:rsidP="005D21C6">
      <w:pPr>
        <w:pStyle w:val="Point1"/>
      </w:pPr>
      <w:r>
        <w:t>a)</w:t>
      </w:r>
      <w:r w:rsidR="00977D98">
        <w:tab/>
      </w:r>
      <w:r>
        <w:t xml:space="preserve">qui appliquent à l'égard des clients des mesures de vigilance et de conservation des documents </w:t>
      </w:r>
      <w:r w:rsidR="00322078">
        <w:t xml:space="preserve">et pièces </w:t>
      </w:r>
      <w:r w:rsidR="005D21C6">
        <w:t>qui sont compatibles</w:t>
      </w:r>
      <w:r>
        <w:t xml:space="preserve"> avec celles qui sont prévues dans la présente directive</w:t>
      </w:r>
      <w:r w:rsidR="00322078">
        <w:t>;</w:t>
      </w:r>
      <w:r w:rsidR="005E336B">
        <w:t xml:space="preserve"> et</w:t>
      </w:r>
    </w:p>
    <w:p w:rsidR="001F17B8" w:rsidRPr="0012613B" w:rsidRDefault="00977D98">
      <w:pPr>
        <w:pStyle w:val="Point1"/>
      </w:pPr>
      <w:r>
        <w:br w:type="page"/>
      </w:r>
      <w:r w:rsidR="001F17B8">
        <w:t>b)</w:t>
      </w:r>
      <w:r>
        <w:tab/>
      </w:r>
      <w:r w:rsidR="00227B32">
        <w:t>qui sont soumis, pour ce qui concerne le respect</w:t>
      </w:r>
      <w:r w:rsidR="001F17B8">
        <w:t xml:space="preserve"> des exigences de la présente directive</w:t>
      </w:r>
      <w:r w:rsidR="00227B32">
        <w:t>,</w:t>
      </w:r>
      <w:r w:rsidR="001F17B8">
        <w:t xml:space="preserve"> </w:t>
      </w:r>
      <w:r w:rsidR="008C3887">
        <w:t xml:space="preserve">à </w:t>
      </w:r>
      <w:r w:rsidR="001F17B8">
        <w:t xml:space="preserve">une surveillance </w:t>
      </w:r>
      <w:r w:rsidR="0012621A">
        <w:t xml:space="preserve">compatible </w:t>
      </w:r>
      <w:r w:rsidR="001F17B8">
        <w:t>avec le chapitre VI, section 2.</w:t>
      </w:r>
    </w:p>
    <w:p w:rsidR="001F17B8" w:rsidRPr="0012613B" w:rsidRDefault="001F17B8">
      <w:pPr>
        <w:pStyle w:val="ManualNumPar1"/>
      </w:pPr>
      <w:r>
        <w:t>2.</w:t>
      </w:r>
      <w:r w:rsidR="00977D98">
        <w:tab/>
      </w:r>
      <w:r>
        <w:t xml:space="preserve">Les États membres interdisent aux </w:t>
      </w:r>
      <w:r w:rsidR="00870FFE">
        <w:t>entités assujetties</w:t>
      </w:r>
      <w:r>
        <w:t xml:space="preserve"> de recourir à des tiers établis dans des pays tiers à haut risque. Les États membres peuvent </w:t>
      </w:r>
      <w:r w:rsidR="005D21C6">
        <w:t xml:space="preserve">exempter </w:t>
      </w:r>
      <w:r>
        <w:t xml:space="preserve">de cette interdiction les succursales </w:t>
      </w:r>
      <w:r w:rsidR="00227B32">
        <w:t xml:space="preserve">et les filiales </w:t>
      </w:r>
      <w:r w:rsidR="006A00D8">
        <w:t xml:space="preserve">détenues </w:t>
      </w:r>
      <w:r w:rsidR="00227B32">
        <w:t>majoritaire</w:t>
      </w:r>
      <w:r w:rsidR="006A00D8">
        <w:t>ment</w:t>
      </w:r>
      <w:r w:rsidR="00227B32">
        <w:t xml:space="preserve"> </w:t>
      </w:r>
      <w:r>
        <w:t>d'</w:t>
      </w:r>
      <w:r w:rsidR="00870FFE">
        <w:t>entités assujetties</w:t>
      </w:r>
      <w:r w:rsidR="005E336B">
        <w:t xml:space="preserve"> établies dans l'Union </w:t>
      </w:r>
      <w:r>
        <w:t xml:space="preserve">si ces succursales et </w:t>
      </w:r>
      <w:r w:rsidRPr="00825FCE">
        <w:t>filiales</w:t>
      </w:r>
      <w:r>
        <w:t xml:space="preserve"> </w:t>
      </w:r>
      <w:r w:rsidR="00825FCE">
        <w:t>détenues</w:t>
      </w:r>
      <w:r w:rsidR="00BA71C9">
        <w:t xml:space="preserve"> </w:t>
      </w:r>
      <w:r w:rsidR="008176E6">
        <w:t>majoritaire</w:t>
      </w:r>
      <w:r w:rsidR="00BA71C9">
        <w:t>ment</w:t>
      </w:r>
      <w:r w:rsidR="00825FCE">
        <w:t xml:space="preserve"> </w:t>
      </w:r>
      <w:r>
        <w:t xml:space="preserve">respectent intégralement les politiques et procédures </w:t>
      </w:r>
      <w:r w:rsidR="001125B4">
        <w:t>à l</w:t>
      </w:r>
      <w:r w:rsidR="00746943">
        <w:t>'</w:t>
      </w:r>
      <w:r w:rsidR="001125B4">
        <w:t xml:space="preserve">échelle </w:t>
      </w:r>
      <w:r>
        <w:t>du groupe conformément à l'article 4</w:t>
      </w:r>
      <w:r w:rsidR="008C3887">
        <w:t>5</w:t>
      </w:r>
      <w:r>
        <w:t>.</w:t>
      </w:r>
    </w:p>
    <w:p w:rsidR="001F17B8" w:rsidRPr="00977D98" w:rsidRDefault="001F17B8" w:rsidP="00591DC3">
      <w:pPr>
        <w:pStyle w:val="Titrearticle"/>
      </w:pPr>
      <w:r w:rsidRPr="00977D98">
        <w:t>Article 2</w:t>
      </w:r>
      <w:r w:rsidR="00591DC3">
        <w:t>7</w:t>
      </w:r>
    </w:p>
    <w:p w:rsidR="001F17B8" w:rsidRPr="0012613B" w:rsidRDefault="001F17B8" w:rsidP="00591DC3">
      <w:pPr>
        <w:pStyle w:val="ManualNumPar1"/>
        <w:rPr>
          <w:noProof/>
        </w:rPr>
      </w:pPr>
      <w:r>
        <w:t>1.</w:t>
      </w:r>
      <w:r w:rsidR="00977D98">
        <w:tab/>
      </w:r>
      <w:r>
        <w:t xml:space="preserve">Les États membres veillent à ce que les </w:t>
      </w:r>
      <w:r w:rsidR="00870FFE">
        <w:t>entités assujetties</w:t>
      </w:r>
      <w:r>
        <w:t xml:space="preserve"> obtiennent, de la part du tiers auquel elles ont recours, les informations nécessaires concernant </w:t>
      </w:r>
      <w:r w:rsidRPr="00322078">
        <w:t xml:space="preserve">les </w:t>
      </w:r>
      <w:r w:rsidRPr="00CF5D96">
        <w:t>obligations</w:t>
      </w:r>
      <w:r w:rsidRPr="00322078">
        <w:t xml:space="preserve"> </w:t>
      </w:r>
      <w:r w:rsidR="005D21C6">
        <w:t xml:space="preserve">de vigilance à l'égard de la clientèle </w:t>
      </w:r>
      <w:r w:rsidRPr="00322078">
        <w:t>prévues à l'article 1</w:t>
      </w:r>
      <w:r w:rsidR="00591DC3">
        <w:t>3</w:t>
      </w:r>
      <w:r w:rsidRPr="00322078">
        <w:t>, paragraphe 1,</w:t>
      </w:r>
      <w:r w:rsidR="00CF5D96">
        <w:t xml:space="preserve"> premier alinéa,</w:t>
      </w:r>
      <w:r w:rsidRPr="00322078">
        <w:t xml:space="preserve"> points a), b) et c).</w:t>
      </w:r>
    </w:p>
    <w:p w:rsidR="001F17B8" w:rsidRPr="0012613B" w:rsidRDefault="001F17B8" w:rsidP="008176E6">
      <w:pPr>
        <w:pStyle w:val="ManualNumPar1"/>
        <w:rPr>
          <w:noProof/>
        </w:rPr>
      </w:pPr>
      <w:r>
        <w:t>2.</w:t>
      </w:r>
      <w:r w:rsidR="00977D98">
        <w:tab/>
      </w:r>
      <w:r>
        <w:t xml:space="preserve">Les États membres veillent à ce que les </w:t>
      </w:r>
      <w:r w:rsidR="00870FFE">
        <w:t>entités assujetties</w:t>
      </w:r>
      <w:r>
        <w:t xml:space="preserve"> auxquelles un client est adressé prennent des mesures appropriées pour que </w:t>
      </w:r>
      <w:r w:rsidR="00CF5D96">
        <w:t xml:space="preserve">le tiers fournisse sans délai, sur demande, </w:t>
      </w:r>
      <w:r>
        <w:t>des copies adéquates des données d'identification et de vérification et tout autre document pertinent concernant l'identité du client ou du bénéficiaire effectif.</w:t>
      </w:r>
    </w:p>
    <w:p w:rsidR="001F17B8" w:rsidRPr="00977D98" w:rsidRDefault="005E336B" w:rsidP="00591DC3">
      <w:pPr>
        <w:pStyle w:val="Titrearticle"/>
      </w:pPr>
      <w:r>
        <w:br w:type="page"/>
      </w:r>
      <w:r w:rsidR="001F17B8">
        <w:t>Article 2</w:t>
      </w:r>
      <w:r w:rsidR="00591DC3">
        <w:t>8</w:t>
      </w:r>
    </w:p>
    <w:p w:rsidR="001F17B8" w:rsidRPr="0012613B" w:rsidRDefault="001F17B8" w:rsidP="00591DC3">
      <w:r>
        <w:t xml:space="preserve">Les États membres veillent à ce que l'autorité compétente </w:t>
      </w:r>
      <w:r w:rsidR="00CF5D96">
        <w:t>de l'État membre</w:t>
      </w:r>
      <w:r>
        <w:t xml:space="preserve"> d'origine (pour </w:t>
      </w:r>
      <w:r w:rsidR="005E336B">
        <w:t xml:space="preserve">les politiques et </w:t>
      </w:r>
      <w:r w:rsidR="00661C61">
        <w:t xml:space="preserve">procédures </w:t>
      </w:r>
      <w:r w:rsidR="001125B4">
        <w:t>à l</w:t>
      </w:r>
      <w:r w:rsidR="00746943">
        <w:t>'</w:t>
      </w:r>
      <w:r w:rsidR="001125B4">
        <w:t xml:space="preserve">échelle </w:t>
      </w:r>
      <w:r>
        <w:t xml:space="preserve">du groupe) et l'autorité compétente </w:t>
      </w:r>
      <w:r w:rsidR="005D21C6">
        <w:t>de l'État membre</w:t>
      </w:r>
      <w:r>
        <w:t xml:space="preserve"> d'accueil (pour les succursales et les filiales) puissent considérer qu'une </w:t>
      </w:r>
      <w:r w:rsidR="007468D1">
        <w:t>entité assujettie</w:t>
      </w:r>
      <w:r>
        <w:t xml:space="preserve"> </w:t>
      </w:r>
      <w:r w:rsidR="005D21C6">
        <w:t>respecte les</w:t>
      </w:r>
      <w:r>
        <w:t xml:space="preserve"> dispositions adoptées </w:t>
      </w:r>
      <w:r w:rsidR="005D21C6">
        <w:t>en vertu des</w:t>
      </w:r>
      <w:r>
        <w:t xml:space="preserve"> articles 2</w:t>
      </w:r>
      <w:r w:rsidR="00591DC3">
        <w:t>6</w:t>
      </w:r>
      <w:r>
        <w:t xml:space="preserve"> et 2</w:t>
      </w:r>
      <w:r w:rsidR="00591DC3">
        <w:t>7</w:t>
      </w:r>
      <w:r>
        <w:t xml:space="preserve">, dans le cadre de son programme de groupe, lorsque </w:t>
      </w:r>
      <w:r w:rsidR="00322078">
        <w:t>tout</w:t>
      </w:r>
      <w:r w:rsidR="00CF5D96">
        <w:t>e</w:t>
      </w:r>
      <w:r w:rsidR="00322078">
        <w:t xml:space="preserve">s </w:t>
      </w:r>
      <w:r>
        <w:t xml:space="preserve">les conditions </w:t>
      </w:r>
      <w:r w:rsidR="005D21C6">
        <w:t>suivantes</w:t>
      </w:r>
      <w:r>
        <w:t xml:space="preserve"> sont remplies:</w:t>
      </w:r>
    </w:p>
    <w:p w:rsidR="001F17B8" w:rsidRPr="0012613B" w:rsidRDefault="001F17B8" w:rsidP="00977D98">
      <w:pPr>
        <w:pStyle w:val="Point0"/>
      </w:pPr>
      <w:r>
        <w:t>a)</w:t>
      </w:r>
      <w:r w:rsidR="00977D98">
        <w:tab/>
      </w:r>
      <w:r>
        <w:t>l'</w:t>
      </w:r>
      <w:r w:rsidR="007468D1">
        <w:t>entité assujettie</w:t>
      </w:r>
      <w:r>
        <w:t xml:space="preserve"> se fonde sur les informations fournies par un tiers qui fait partie du même groupe;</w:t>
      </w:r>
    </w:p>
    <w:p w:rsidR="001F17B8" w:rsidRPr="0012613B" w:rsidRDefault="001F17B8" w:rsidP="00977D98">
      <w:pPr>
        <w:pStyle w:val="Point0"/>
      </w:pPr>
      <w:r>
        <w:t>b)</w:t>
      </w:r>
      <w:r w:rsidR="00977D98">
        <w:tab/>
      </w:r>
      <w:r>
        <w:t>ce groupe applique des mesures de vigilance à l'égard de la clientèle, des règles relatives à la conservation des documents et pièces et des programmes de lutte contre le blanchiment de capitaux et le financement du terrorisme conform</w:t>
      </w:r>
      <w:r w:rsidR="004154D9">
        <w:t>ément</w:t>
      </w:r>
      <w:r>
        <w:t xml:space="preserve"> à la présente directive, ou </w:t>
      </w:r>
      <w:r w:rsidR="005D21C6">
        <w:t>à</w:t>
      </w:r>
      <w:r w:rsidR="00591DC3">
        <w:t xml:space="preserve"> </w:t>
      </w:r>
      <w:r>
        <w:t>des règles équivalentes;</w:t>
      </w:r>
    </w:p>
    <w:p w:rsidR="001F17B8" w:rsidRPr="0012613B" w:rsidRDefault="001F17B8" w:rsidP="005D21C6">
      <w:pPr>
        <w:pStyle w:val="Point0"/>
      </w:pPr>
      <w:r>
        <w:t>c)</w:t>
      </w:r>
      <w:r w:rsidR="00977D98">
        <w:tab/>
      </w:r>
      <w:r>
        <w:t xml:space="preserve">la mise en œuvre effective des </w:t>
      </w:r>
      <w:r w:rsidRPr="00CF5D96">
        <w:t>obligations</w:t>
      </w:r>
      <w:r>
        <w:t xml:space="preserve"> visées au point b) est surveillée au niveau du groupe par une autorité compétente </w:t>
      </w:r>
      <w:r w:rsidR="005D21C6">
        <w:t>de l'État membre</w:t>
      </w:r>
      <w:r>
        <w:t xml:space="preserve"> d'origine</w:t>
      </w:r>
      <w:r w:rsidR="007A45FD">
        <w:t xml:space="preserve"> ou du pays tiers</w:t>
      </w:r>
      <w:r>
        <w:t>.</w:t>
      </w:r>
    </w:p>
    <w:p w:rsidR="001F17B8" w:rsidRPr="0012613B" w:rsidRDefault="001F17B8" w:rsidP="00591DC3">
      <w:pPr>
        <w:pStyle w:val="Titrearticle"/>
        <w:rPr>
          <w:iCs/>
        </w:rPr>
      </w:pPr>
      <w:r>
        <w:rPr>
          <w:noProof/>
        </w:rPr>
        <w:t>Article 2</w:t>
      </w:r>
      <w:r w:rsidR="00591DC3">
        <w:rPr>
          <w:noProof/>
        </w:rPr>
        <w:t>9</w:t>
      </w:r>
    </w:p>
    <w:p w:rsidR="001F17B8" w:rsidRPr="0012613B" w:rsidRDefault="001F17B8" w:rsidP="001F17B8">
      <w:pPr>
        <w:rPr>
          <w:noProof/>
        </w:rPr>
      </w:pPr>
      <w:r>
        <w:t>La présente section ne s'applique pas aux relations d'externalisation ou d'agence dans le cadre desquelles le fournisseur du service externalisé ou l'agent doit être considéré, en vertu du contrat, comme une partie de l'</w:t>
      </w:r>
      <w:r w:rsidR="007468D1">
        <w:t>entité assujettie</w:t>
      </w:r>
      <w:r>
        <w:t>.</w:t>
      </w:r>
    </w:p>
    <w:p w:rsidR="001F17B8" w:rsidRPr="00F36EA6" w:rsidRDefault="005E336B" w:rsidP="00977D98">
      <w:pPr>
        <w:pStyle w:val="ChapterTitle"/>
      </w:pPr>
      <w:r>
        <w:br w:type="page"/>
      </w:r>
      <w:r w:rsidR="001F17B8">
        <w:t>CHAPITRE III</w:t>
      </w:r>
      <w:r w:rsidR="00977D98">
        <w:br/>
      </w:r>
      <w:r w:rsidR="001F17B8">
        <w:t>INFORMATIONS SUR LE</w:t>
      </w:r>
      <w:r w:rsidR="00D46885">
        <w:t>S</w:t>
      </w:r>
      <w:r w:rsidR="001F17B8">
        <w:t xml:space="preserve"> BÉNÉFICIAIRE</w:t>
      </w:r>
      <w:r w:rsidR="00D46885">
        <w:t>S</w:t>
      </w:r>
      <w:r w:rsidR="001F17B8">
        <w:t xml:space="preserve"> EFFECTIF</w:t>
      </w:r>
      <w:r w:rsidR="00D46885">
        <w:t>S</w:t>
      </w:r>
    </w:p>
    <w:p w:rsidR="001F17B8" w:rsidRPr="00F36EA6" w:rsidRDefault="001F17B8" w:rsidP="00591DC3">
      <w:pPr>
        <w:pStyle w:val="Titrearticle"/>
        <w:rPr>
          <w:iCs/>
        </w:rPr>
      </w:pPr>
      <w:r>
        <w:rPr>
          <w:noProof/>
        </w:rPr>
        <w:t xml:space="preserve">Article </w:t>
      </w:r>
      <w:r w:rsidR="00591DC3">
        <w:rPr>
          <w:noProof/>
        </w:rPr>
        <w:t>30</w:t>
      </w:r>
    </w:p>
    <w:p w:rsidR="001F17B8" w:rsidRPr="00F36EA6" w:rsidRDefault="001F17B8" w:rsidP="004142DD">
      <w:pPr>
        <w:pStyle w:val="ManualNumPar1"/>
      </w:pPr>
      <w:r>
        <w:t>1.</w:t>
      </w:r>
      <w:r w:rsidR="00977D98">
        <w:tab/>
      </w:r>
      <w:r>
        <w:t xml:space="preserve">Les États membres veillent à ce que les sociétés et autres entités juridiques constituées sur leur territoire aient l'obligation d'obtenir et de </w:t>
      </w:r>
      <w:r w:rsidR="005D21C6">
        <w:t>conserver</w:t>
      </w:r>
      <w:r>
        <w:t xml:space="preserve"> des informations </w:t>
      </w:r>
      <w:r w:rsidR="008176E6">
        <w:t>adéquates</w:t>
      </w:r>
      <w:r>
        <w:t xml:space="preserve">, exactes et </w:t>
      </w:r>
      <w:r w:rsidR="00591DC3">
        <w:t>actuelles</w:t>
      </w:r>
      <w:r>
        <w:t xml:space="preserve"> sur leurs bénéficiaires effectifs, y compris des précis</w:t>
      </w:r>
      <w:r w:rsidR="008176E6">
        <w:t>i</w:t>
      </w:r>
      <w:r>
        <w:t xml:space="preserve">ons sur les intérêts </w:t>
      </w:r>
      <w:r w:rsidR="004142DD">
        <w:t xml:space="preserve">effectifs </w:t>
      </w:r>
      <w:r>
        <w:t>détenus.</w:t>
      </w:r>
    </w:p>
    <w:p w:rsidR="001F17B8" w:rsidRPr="00F36EA6" w:rsidRDefault="001F17B8" w:rsidP="005E336B">
      <w:pPr>
        <w:pStyle w:val="Text1"/>
      </w:pPr>
      <w:r>
        <w:t xml:space="preserve">Les États membres veillent à ce que ces entités soient tenues de fournir, outre des informations sur leur propriétaire légal, des informations sur le bénéficiaire effectif aux </w:t>
      </w:r>
      <w:r w:rsidR="00870FFE">
        <w:t>entités assujetties</w:t>
      </w:r>
      <w:r>
        <w:t xml:space="preserve"> lorsque celles-ci prennent des mesures de vigilance à l'égard de la clientèle conformément au chapitre II.</w:t>
      </w:r>
    </w:p>
    <w:p w:rsidR="001F17B8" w:rsidRPr="00F36EA6" w:rsidRDefault="001F17B8" w:rsidP="00977D98">
      <w:pPr>
        <w:pStyle w:val="ManualNumPar1"/>
      </w:pPr>
      <w:r>
        <w:t>2.</w:t>
      </w:r>
      <w:r w:rsidR="00977D98">
        <w:tab/>
      </w:r>
      <w:r>
        <w:t>Les États membres exigent que les autorités compétentes et les CRF puissent accéder en temps utile aux informations visées au paragraphe 1.</w:t>
      </w:r>
    </w:p>
    <w:p w:rsidR="001F17B8" w:rsidRPr="00F36EA6" w:rsidRDefault="001F17B8" w:rsidP="007E1EBF">
      <w:pPr>
        <w:pStyle w:val="ManualNumPar1"/>
      </w:pPr>
      <w:r>
        <w:t>3.</w:t>
      </w:r>
      <w:r w:rsidR="00977D98">
        <w:tab/>
      </w:r>
      <w:r>
        <w:t xml:space="preserve">Les États membres veillent à ce que les informations </w:t>
      </w:r>
      <w:r w:rsidR="005D21C6">
        <w:t>visées au paragraphe 1</w:t>
      </w:r>
      <w:r>
        <w:t xml:space="preserve"> soient conservées dans un registre central dans chaque État membre, par exemple un registre du commerce, un registre des sociétés tel que visé à l'article 3 de la directive 2009/101/CE du Parlement européen et du Conseil</w:t>
      </w:r>
      <w:r w:rsidRPr="007E1EBF">
        <w:rPr>
          <w:rStyle w:val="FootnoteReference"/>
        </w:rPr>
        <w:footnoteReference w:id="36"/>
      </w:r>
      <w:r>
        <w:t>, ou un registre public. Les États membres communiquent à la Commission les spécificités de ces dispositifs nationaux. Les informations concernant le</w:t>
      </w:r>
      <w:r w:rsidR="00D46885">
        <w:t>s</w:t>
      </w:r>
      <w:r>
        <w:t xml:space="preserve"> bénéficiaire</w:t>
      </w:r>
      <w:r w:rsidR="00D46885">
        <w:t>s</w:t>
      </w:r>
      <w:r>
        <w:t xml:space="preserve"> effectif</w:t>
      </w:r>
      <w:r w:rsidR="00D46885">
        <w:t>s</w:t>
      </w:r>
      <w:r>
        <w:t xml:space="preserve"> figurant dans cette base de données peuvent être recueillies conformément aux systèmes nationaux.</w:t>
      </w:r>
    </w:p>
    <w:p w:rsidR="001F17B8" w:rsidRPr="00F36EA6" w:rsidRDefault="005E336B" w:rsidP="00591DC3">
      <w:pPr>
        <w:pStyle w:val="ManualNumPar1"/>
      </w:pPr>
      <w:r>
        <w:br w:type="page"/>
      </w:r>
      <w:r w:rsidR="001F17B8">
        <w:t>4.</w:t>
      </w:r>
      <w:r w:rsidR="00977D98">
        <w:tab/>
      </w:r>
      <w:r w:rsidR="001F17B8">
        <w:t xml:space="preserve">Les États membres exigent que les informations conservées dans le registre central visé au paragraphe 3 soient </w:t>
      </w:r>
      <w:r w:rsidR="008176E6">
        <w:t>adéquates</w:t>
      </w:r>
      <w:r w:rsidR="001F17B8">
        <w:t xml:space="preserve">, exactes et </w:t>
      </w:r>
      <w:r w:rsidR="00591DC3">
        <w:t>actuelles</w:t>
      </w:r>
      <w:r w:rsidR="001F17B8">
        <w:t>.</w:t>
      </w:r>
    </w:p>
    <w:p w:rsidR="001F17B8" w:rsidRPr="00F36EA6" w:rsidRDefault="001F17B8" w:rsidP="005D21C6">
      <w:pPr>
        <w:pStyle w:val="ManualNumPar1"/>
      </w:pPr>
      <w:r>
        <w:t>5.</w:t>
      </w:r>
      <w:r w:rsidR="00977D98">
        <w:tab/>
      </w:r>
      <w:r>
        <w:t xml:space="preserve">Les États membres veillent à ce que les informations </w:t>
      </w:r>
      <w:r w:rsidR="007A45FD">
        <w:t xml:space="preserve">sur </w:t>
      </w:r>
      <w:r>
        <w:t>le</w:t>
      </w:r>
      <w:r w:rsidR="00D46885">
        <w:t>s</w:t>
      </w:r>
      <w:r>
        <w:t xml:space="preserve"> bénéficiaire</w:t>
      </w:r>
      <w:r w:rsidR="00D46885">
        <w:t>s</w:t>
      </w:r>
      <w:r>
        <w:t xml:space="preserve"> effectif</w:t>
      </w:r>
      <w:r w:rsidR="00D46885">
        <w:t>s</w:t>
      </w:r>
      <w:r>
        <w:t xml:space="preserve"> soient accessibles</w:t>
      </w:r>
      <w:r w:rsidR="006A00D8">
        <w:t xml:space="preserve"> dans tous les cas</w:t>
      </w:r>
      <w:r>
        <w:t>:</w:t>
      </w:r>
    </w:p>
    <w:p w:rsidR="001F17B8" w:rsidRPr="00F36EA6" w:rsidRDefault="001F17B8" w:rsidP="00977D98">
      <w:pPr>
        <w:pStyle w:val="Point1"/>
      </w:pPr>
      <w:r>
        <w:t>a)</w:t>
      </w:r>
      <w:r w:rsidR="00977D98">
        <w:tab/>
      </w:r>
      <w:r>
        <w:t>aux autorités compétentes et aux CRF, sans aucune restriction;</w:t>
      </w:r>
    </w:p>
    <w:p w:rsidR="001F17B8" w:rsidRDefault="001F17B8" w:rsidP="00CF5D96">
      <w:pPr>
        <w:pStyle w:val="Point1"/>
      </w:pPr>
      <w:r>
        <w:t>b)</w:t>
      </w:r>
      <w:r w:rsidR="00977D98">
        <w:tab/>
      </w:r>
      <w:r>
        <w:t xml:space="preserve">aux </w:t>
      </w:r>
      <w:r w:rsidR="00870FFE">
        <w:t>entités assujetties</w:t>
      </w:r>
      <w:r>
        <w:t xml:space="preserve">, dans le cadre </w:t>
      </w:r>
      <w:r w:rsidR="005E336B">
        <w:t xml:space="preserve">de la vigilance à l'égard de la </w:t>
      </w:r>
      <w:r>
        <w:t>clientèle conformément au chapitre II;</w:t>
      </w:r>
    </w:p>
    <w:p w:rsidR="00CF5D96" w:rsidRDefault="001F17B8" w:rsidP="00977D98">
      <w:pPr>
        <w:pStyle w:val="Point1"/>
      </w:pPr>
      <w:r>
        <w:t>c)</w:t>
      </w:r>
      <w:r w:rsidR="00977D98">
        <w:tab/>
      </w:r>
      <w:r>
        <w:t>à toute personne ou organisation capable de</w:t>
      </w:r>
      <w:r w:rsidR="005E336B">
        <w:t xml:space="preserve"> démontrer un intérêt légitime.</w:t>
      </w:r>
    </w:p>
    <w:p w:rsidR="001F17B8" w:rsidRPr="00F36EA6" w:rsidRDefault="00CF5D96" w:rsidP="005E336B">
      <w:pPr>
        <w:pStyle w:val="Text1"/>
      </w:pPr>
      <w:r>
        <w:t>L</w:t>
      </w:r>
      <w:r w:rsidR="001F17B8">
        <w:t>es personnes ou organisations</w:t>
      </w:r>
      <w:r>
        <w:t xml:space="preserve"> visées au point c)</w:t>
      </w:r>
      <w:r w:rsidR="001F17B8">
        <w:t xml:space="preserve"> ont accès au moins </w:t>
      </w:r>
      <w:r>
        <w:t>au</w:t>
      </w:r>
      <w:r w:rsidR="001F17B8">
        <w:t xml:space="preserve"> nom</w:t>
      </w:r>
      <w:r>
        <w:t>, au</w:t>
      </w:r>
      <w:r w:rsidR="001F17B8">
        <w:t xml:space="preserve"> mois et </w:t>
      </w:r>
      <w:r>
        <w:t xml:space="preserve">à </w:t>
      </w:r>
      <w:r w:rsidR="001F17B8">
        <w:t>l'année de naissance</w:t>
      </w:r>
      <w:r>
        <w:t xml:space="preserve">, à </w:t>
      </w:r>
      <w:r w:rsidR="001F17B8">
        <w:t>la nationalité</w:t>
      </w:r>
      <w:r>
        <w:t xml:space="preserve"> et au</w:t>
      </w:r>
      <w:r w:rsidR="001F17B8">
        <w:t xml:space="preserve"> pays de résidence</w:t>
      </w:r>
      <w:r>
        <w:t xml:space="preserve"> du bénéficiaire effectif, ainsi qu'à </w:t>
      </w:r>
      <w:r w:rsidR="001F17B8">
        <w:t xml:space="preserve">la nature et </w:t>
      </w:r>
      <w:r>
        <w:t>à</w:t>
      </w:r>
      <w:r w:rsidR="008176E6">
        <w:t xml:space="preserve"> </w:t>
      </w:r>
      <w:r w:rsidR="001F17B8">
        <w:t xml:space="preserve">l'étendue </w:t>
      </w:r>
      <w:r w:rsidR="001F17B8" w:rsidRPr="002466C8">
        <w:t>des intérêts</w:t>
      </w:r>
      <w:r w:rsidR="001F17B8">
        <w:t xml:space="preserve"> </w:t>
      </w:r>
      <w:r w:rsidR="004142DD">
        <w:t xml:space="preserve">effectifs </w:t>
      </w:r>
      <w:r w:rsidR="001F17B8">
        <w:t>détenus.</w:t>
      </w:r>
    </w:p>
    <w:p w:rsidR="001F17B8" w:rsidRPr="00F36EA6" w:rsidRDefault="001F17B8" w:rsidP="005E336B">
      <w:pPr>
        <w:pStyle w:val="Text1"/>
      </w:pPr>
      <w:r>
        <w:t>Aux fins du présent paragraphe, l'accès aux informations sur le</w:t>
      </w:r>
      <w:r w:rsidR="00D46885">
        <w:t>s</w:t>
      </w:r>
      <w:r>
        <w:t xml:space="preserve"> bénéficiaire</w:t>
      </w:r>
      <w:r w:rsidR="00D46885">
        <w:t>s</w:t>
      </w:r>
      <w:r>
        <w:t xml:space="preserve"> effectif</w:t>
      </w:r>
      <w:r w:rsidR="00D46885">
        <w:t>s</w:t>
      </w:r>
      <w:r>
        <w:t xml:space="preserve"> se fait conformément aux </w:t>
      </w:r>
      <w:r w:rsidR="003B5147">
        <w:t xml:space="preserve">règles </w:t>
      </w:r>
      <w:r>
        <w:t>en matière de protection des données et peut donner lieu à une inscription en ligne et au paiement de frais. Les frais facturés pour l'obtention des informations ne dépassent pas les coûts administratifs y afférents.</w:t>
      </w:r>
    </w:p>
    <w:p w:rsidR="001F17B8" w:rsidRPr="00F36EA6" w:rsidRDefault="001F17B8" w:rsidP="00977D98">
      <w:pPr>
        <w:pStyle w:val="ManualNumPar1"/>
      </w:pPr>
      <w:r>
        <w:t>6.</w:t>
      </w:r>
      <w:r w:rsidR="00977D98">
        <w:tab/>
      </w:r>
      <w:r>
        <w:t>Le registre central</w:t>
      </w:r>
      <w:r w:rsidR="00661C61">
        <w:t xml:space="preserve"> visé au paragraphe 3</w:t>
      </w:r>
      <w:r>
        <w:t xml:space="preserve"> permet aux autorités compétentes et aux CRF un accès en temps utile et sans restriction, sans alerter l'entité concernée. Il permet également un accès en temps utile aux </w:t>
      </w:r>
      <w:r w:rsidR="00870FFE">
        <w:t>entités assujetties</w:t>
      </w:r>
      <w:r w:rsidR="007A45FD">
        <w:t xml:space="preserve"> lorsqu'elles prennent des mesures de vigilance à l'égard de la clientèle</w:t>
      </w:r>
      <w:r>
        <w:t>.</w:t>
      </w:r>
    </w:p>
    <w:p w:rsidR="001F17B8" w:rsidRPr="00F36EA6" w:rsidRDefault="005E336B" w:rsidP="00977D98">
      <w:pPr>
        <w:pStyle w:val="ManualNumPar1"/>
      </w:pPr>
      <w:r>
        <w:br w:type="page"/>
      </w:r>
      <w:r w:rsidR="001F17B8">
        <w:t>7.</w:t>
      </w:r>
      <w:r w:rsidR="00977D98">
        <w:tab/>
      </w:r>
      <w:r w:rsidR="001F17B8">
        <w:t>Les États membres veillent à ce que les autorités compétentes et les CRF soient en mesure de fournir en temps utile les informations visées aux paragraphes 1 et 3 aux autorités compétentes et aux CRF d'autres États membres.</w:t>
      </w:r>
    </w:p>
    <w:p w:rsidR="001F17B8" w:rsidRPr="00F36EA6" w:rsidRDefault="001F17B8" w:rsidP="005E336B">
      <w:pPr>
        <w:pStyle w:val="ManualNumPar1"/>
      </w:pPr>
      <w:r>
        <w:t>8.</w:t>
      </w:r>
      <w:r w:rsidR="00977D98">
        <w:tab/>
      </w:r>
      <w:r>
        <w:t xml:space="preserve">Les États membres exigent que les </w:t>
      </w:r>
      <w:r w:rsidR="00870FFE">
        <w:t>entités assujetties</w:t>
      </w:r>
      <w:r>
        <w:t xml:space="preserve"> ne s'appuient pas exclusivement sur le registre central visé au paragraphe 3 pour remplir leurs obligations de vigilance à</w:t>
      </w:r>
      <w:r w:rsidR="005E336B">
        <w:t xml:space="preserve"> </w:t>
      </w:r>
      <w:r>
        <w:t xml:space="preserve">l'égard de la clientèle </w:t>
      </w:r>
      <w:r w:rsidR="005D21C6">
        <w:t>conformément au chapitre II</w:t>
      </w:r>
      <w:r>
        <w:t>. Ces obligations sont remplies en appliquant une approche fondée sur les risques.</w:t>
      </w:r>
    </w:p>
    <w:p w:rsidR="001F17B8" w:rsidRPr="00F36EA6" w:rsidRDefault="001F17B8" w:rsidP="002466C8">
      <w:pPr>
        <w:pStyle w:val="ManualNumPar1"/>
      </w:pPr>
      <w:r>
        <w:t>9.</w:t>
      </w:r>
      <w:r w:rsidR="00977D98">
        <w:tab/>
      </w:r>
      <w:r>
        <w:t xml:space="preserve">Les États membres peuvent prévoir une dérogation concernant l'accès </w:t>
      </w:r>
      <w:r w:rsidR="005E336B">
        <w:t>visé au paragraphe </w:t>
      </w:r>
      <w:r w:rsidR="007A45FD">
        <w:t xml:space="preserve">5, points b) et c), </w:t>
      </w:r>
      <w:r>
        <w:t xml:space="preserve">à l'ensemble ou à une partie des informations </w:t>
      </w:r>
      <w:r w:rsidR="007A45FD">
        <w:t>sur le</w:t>
      </w:r>
      <w:r w:rsidR="00D46885">
        <w:t>s</w:t>
      </w:r>
      <w:r>
        <w:t xml:space="preserve"> bénéficiaire</w:t>
      </w:r>
      <w:r w:rsidR="00D46885">
        <w:t>s</w:t>
      </w:r>
      <w:r>
        <w:t xml:space="preserve"> effectif</w:t>
      </w:r>
      <w:r w:rsidR="00D46885">
        <w:t>s</w:t>
      </w:r>
      <w:r>
        <w:t xml:space="preserve"> au cas par cas et dans des circonstances exceptionnelles,</w:t>
      </w:r>
      <w:r w:rsidR="008176E6">
        <w:t xml:space="preserve"> lorsque</w:t>
      </w:r>
      <w:r>
        <w:t xml:space="preserve"> cet accès exposerait le bénéficiaire effectif au risque de fraude, d'enlèvement, de chantage, de violence ou d'intimidation ou </w:t>
      </w:r>
      <w:r w:rsidR="002466C8">
        <w:t>lorsque</w:t>
      </w:r>
      <w:r>
        <w:t xml:space="preserve"> le bénéficiaire effectif est un mineur ou est autrement frappé d'incapacité. Les dérogations accordées conformément au présent paragraphe ne s'appliquent pas aux </w:t>
      </w:r>
      <w:r w:rsidR="00CF5D96">
        <w:t xml:space="preserve">établissements de crédit, aux établissements financiers et aux </w:t>
      </w:r>
      <w:r w:rsidR="00870FFE">
        <w:t>entités assujetties</w:t>
      </w:r>
      <w:r>
        <w:t xml:space="preserve"> visées à l'article 2, paragraphe 1, point 3) b) lorsqu'il s'agit de fonctionnaires.</w:t>
      </w:r>
    </w:p>
    <w:p w:rsidR="001F17B8" w:rsidRPr="00F36EA6" w:rsidRDefault="001F17B8" w:rsidP="002466C8">
      <w:pPr>
        <w:pStyle w:val="ManualNumPar1"/>
      </w:pPr>
      <w:r>
        <w:t>10.</w:t>
      </w:r>
      <w:r w:rsidR="00977D98">
        <w:tab/>
      </w:r>
      <w:r w:rsidR="00661C61">
        <w:t>Au plus tard le ...</w:t>
      </w:r>
      <w:r w:rsidR="00661C61">
        <w:rPr>
          <w:rStyle w:val="FootnoteReference"/>
        </w:rPr>
        <w:footnoteReference w:customMarkFollows="1" w:id="37"/>
        <w:t>*</w:t>
      </w:r>
      <w:r w:rsidR="005E336B">
        <w:t xml:space="preserve">, la </w:t>
      </w:r>
      <w:r>
        <w:t xml:space="preserve">Commission présente au Parlement européen et au Conseil un rapport dans lequel elle évalue les conditions et les procédures et spécifications techniques permettant d'assurer une interconnexion sûre et efficace des registres centraux </w:t>
      </w:r>
      <w:r w:rsidR="007A45FD">
        <w:t xml:space="preserve">visés au paragraphe 3 </w:t>
      </w:r>
      <w:r>
        <w:t xml:space="preserve">via la plate-forme centrale européenne créée </w:t>
      </w:r>
      <w:r w:rsidR="003B5147">
        <w:t xml:space="preserve">par </w:t>
      </w:r>
      <w:r>
        <w:t>l'article 4 </w:t>
      </w:r>
      <w:r>
        <w:rPr>
          <w:i/>
        </w:rPr>
        <w:t>bis</w:t>
      </w:r>
      <w:r>
        <w:t xml:space="preserve">, </w:t>
      </w:r>
      <w:r w:rsidR="00CF5D96">
        <w:t xml:space="preserve">paragraphe 1, </w:t>
      </w:r>
      <w:r>
        <w:t>de la directive 2009/101/CE. L</w:t>
      </w:r>
      <w:r w:rsidR="002466C8">
        <w:t>orsqu'il y a lieu</w:t>
      </w:r>
      <w:r>
        <w:t>, ce rapport est accompagné d'une proposition législative.</w:t>
      </w:r>
    </w:p>
    <w:p w:rsidR="001F17B8" w:rsidRPr="00F36EA6" w:rsidRDefault="005E336B" w:rsidP="00591DC3">
      <w:pPr>
        <w:pStyle w:val="Titrearticle"/>
        <w:rPr>
          <w:iCs/>
        </w:rPr>
      </w:pPr>
      <w:r>
        <w:rPr>
          <w:noProof/>
        </w:rPr>
        <w:br w:type="page"/>
      </w:r>
      <w:r w:rsidR="001F17B8">
        <w:rPr>
          <w:noProof/>
        </w:rPr>
        <w:t>Article 3</w:t>
      </w:r>
      <w:r w:rsidR="00591DC3">
        <w:rPr>
          <w:noProof/>
        </w:rPr>
        <w:t>1</w:t>
      </w:r>
    </w:p>
    <w:p w:rsidR="00661C61" w:rsidRDefault="001F17B8" w:rsidP="005E336B">
      <w:pPr>
        <w:pStyle w:val="ManualNumPar1"/>
      </w:pPr>
      <w:r>
        <w:t>1.</w:t>
      </w:r>
      <w:r w:rsidR="00977D98">
        <w:tab/>
      </w:r>
      <w:r>
        <w:t xml:space="preserve">Les États membres exigent que les </w:t>
      </w:r>
      <w:r w:rsidRPr="00CF5D96">
        <w:t>fiduciaires</w:t>
      </w:r>
      <w:r w:rsidR="00870FFE">
        <w:t>/trustees</w:t>
      </w:r>
      <w:r w:rsidRPr="00CF5D96">
        <w:t xml:space="preserve"> de toute fiducie</w:t>
      </w:r>
      <w:r w:rsidR="00AF23EC">
        <w:t xml:space="preserve"> expresse</w:t>
      </w:r>
      <w:r w:rsidR="00870FFE">
        <w:t>/</w:t>
      </w:r>
      <w:r w:rsidR="00E735D7">
        <w:t xml:space="preserve">tout </w:t>
      </w:r>
      <w:r w:rsidR="00870FFE">
        <w:t>trust</w:t>
      </w:r>
      <w:r w:rsidRPr="00CF5D96">
        <w:t xml:space="preserve"> </w:t>
      </w:r>
      <w:r w:rsidR="00832B02">
        <w:t>exprès</w:t>
      </w:r>
      <w:r w:rsidR="00832B02" w:rsidRPr="00CF5D96">
        <w:t xml:space="preserve"> </w:t>
      </w:r>
      <w:r w:rsidR="006A00D8">
        <w:t>régi</w:t>
      </w:r>
      <w:r w:rsidR="002466C8">
        <w:t>(e)</w:t>
      </w:r>
      <w:r w:rsidR="006A00D8">
        <w:t xml:space="preserve"> par</w:t>
      </w:r>
      <w:r w:rsidRPr="00CF5D96">
        <w:t xml:space="preserve"> leur droit </w:t>
      </w:r>
      <w:r w:rsidRPr="0020665E">
        <w:t xml:space="preserve">obtiennent et conservent des informations </w:t>
      </w:r>
      <w:r w:rsidR="008176E6">
        <w:t>adéquates</w:t>
      </w:r>
      <w:r w:rsidRPr="0020665E">
        <w:t xml:space="preserve">, exactes et </w:t>
      </w:r>
      <w:r w:rsidR="00E735D7">
        <w:t>actuelles</w:t>
      </w:r>
      <w:r w:rsidRPr="0020665E">
        <w:t xml:space="preserve"> sur les bénéficiaires effectifs de la fidu</w:t>
      </w:r>
      <w:r w:rsidRPr="00CF5D96">
        <w:t>cie</w:t>
      </w:r>
      <w:r w:rsidR="00870FFE">
        <w:t>/</w:t>
      </w:r>
      <w:r w:rsidR="002466C8">
        <w:t xml:space="preserve">du </w:t>
      </w:r>
      <w:r w:rsidR="00870FFE">
        <w:t>trust</w:t>
      </w:r>
      <w:r w:rsidRPr="00CF5D96">
        <w:t>.</w:t>
      </w:r>
      <w:r w:rsidR="005E336B">
        <w:t xml:space="preserve"> </w:t>
      </w:r>
      <w:r>
        <w:t>Ces informations comprennent l'identité</w:t>
      </w:r>
      <w:r w:rsidR="00661C61">
        <w:t>:</w:t>
      </w:r>
    </w:p>
    <w:p w:rsidR="00661C61" w:rsidRDefault="00661C61" w:rsidP="00977D98">
      <w:pPr>
        <w:pStyle w:val="Point1"/>
      </w:pPr>
      <w:r>
        <w:t>a)</w:t>
      </w:r>
      <w:r>
        <w:tab/>
      </w:r>
      <w:r w:rsidR="001F17B8">
        <w:t>du constituant</w:t>
      </w:r>
      <w:r w:rsidR="003B5147">
        <w:t>;</w:t>
      </w:r>
    </w:p>
    <w:p w:rsidR="00661C61" w:rsidRDefault="00661C61" w:rsidP="00977D98">
      <w:pPr>
        <w:pStyle w:val="Point1"/>
      </w:pPr>
      <w:r>
        <w:t>b)</w:t>
      </w:r>
      <w:r>
        <w:tab/>
      </w:r>
      <w:r w:rsidR="001F17B8">
        <w:t xml:space="preserve">du ou des </w:t>
      </w:r>
      <w:r w:rsidR="001F17B8" w:rsidRPr="00CF5D96">
        <w:t>fiduciaires</w:t>
      </w:r>
      <w:r w:rsidR="00870FFE">
        <w:t>/trustees</w:t>
      </w:r>
      <w:r w:rsidR="003B5147">
        <w:t>;</w:t>
      </w:r>
    </w:p>
    <w:p w:rsidR="00661C61" w:rsidRDefault="00661C61" w:rsidP="00977D98">
      <w:pPr>
        <w:pStyle w:val="Point1"/>
      </w:pPr>
      <w:r>
        <w:t>c)</w:t>
      </w:r>
      <w:r>
        <w:tab/>
      </w:r>
      <w:r w:rsidR="001F17B8">
        <w:t>du protecteur (le cas échéant)</w:t>
      </w:r>
      <w:r w:rsidR="003B5147">
        <w:t>;</w:t>
      </w:r>
    </w:p>
    <w:p w:rsidR="00661C61" w:rsidRDefault="00661C61" w:rsidP="00977D98">
      <w:pPr>
        <w:pStyle w:val="Point1"/>
      </w:pPr>
      <w:r>
        <w:t>d)</w:t>
      </w:r>
      <w:r>
        <w:tab/>
      </w:r>
      <w:r w:rsidR="001F17B8">
        <w:t>des bénéficiaires ou de la catégorie de bénéficiaires</w:t>
      </w:r>
      <w:r w:rsidR="003B5147">
        <w:t>;</w:t>
      </w:r>
      <w:r w:rsidR="005E336B">
        <w:t xml:space="preserve"> et</w:t>
      </w:r>
    </w:p>
    <w:p w:rsidR="001F17B8" w:rsidRPr="00F36EA6" w:rsidRDefault="00661C61" w:rsidP="00977D98">
      <w:pPr>
        <w:pStyle w:val="Point1"/>
      </w:pPr>
      <w:r>
        <w:t>e)</w:t>
      </w:r>
      <w:r>
        <w:tab/>
      </w:r>
      <w:r w:rsidR="001F17B8">
        <w:t xml:space="preserve">de toute autre personne physique exerçant un contrôle effectif sur la </w:t>
      </w:r>
      <w:r w:rsidR="001F17B8" w:rsidRPr="00CF5D96">
        <w:t>fiducie</w:t>
      </w:r>
      <w:r w:rsidR="00870FFE">
        <w:t>/</w:t>
      </w:r>
      <w:r w:rsidR="00E735D7">
        <w:t xml:space="preserve">le </w:t>
      </w:r>
      <w:r w:rsidR="00870FFE">
        <w:t>trust</w:t>
      </w:r>
      <w:r w:rsidR="001F17B8" w:rsidRPr="00CF5D96">
        <w:t>.</w:t>
      </w:r>
    </w:p>
    <w:p w:rsidR="001F17B8" w:rsidRPr="00F36EA6" w:rsidRDefault="001F17B8" w:rsidP="002466C8">
      <w:pPr>
        <w:pStyle w:val="ManualNumPar1"/>
      </w:pPr>
      <w:r>
        <w:t>2.</w:t>
      </w:r>
      <w:r w:rsidR="00977D98">
        <w:tab/>
      </w:r>
      <w:r>
        <w:t xml:space="preserve">Les États membres veillent à ce que </w:t>
      </w:r>
      <w:r w:rsidRPr="00CF5D96">
        <w:t>les fiduciaires</w:t>
      </w:r>
      <w:r w:rsidR="00870FFE">
        <w:t>/trustees</w:t>
      </w:r>
      <w:r>
        <w:t xml:space="preserve"> déclarent leur statut et fournissent en temps utile les informations visées au paragraphe 1 aux </w:t>
      </w:r>
      <w:r w:rsidR="00870FFE">
        <w:t>entités assujetties</w:t>
      </w:r>
      <w:r>
        <w:t xml:space="preserve"> lorsque, en tant que fiduciaires</w:t>
      </w:r>
      <w:r w:rsidR="00870FFE">
        <w:t>/trustees</w:t>
      </w:r>
      <w:r>
        <w:t xml:space="preserve">, ils nouent une relation d'affaires ou </w:t>
      </w:r>
      <w:r w:rsidR="002466C8">
        <w:t>exécutent</w:t>
      </w:r>
      <w:r>
        <w:t>, à titre occasionnel, une transaction dont le montant dépasse le</w:t>
      </w:r>
      <w:r w:rsidR="005D21C6">
        <w:t>s</w:t>
      </w:r>
      <w:r>
        <w:t xml:space="preserve"> seuil</w:t>
      </w:r>
      <w:r w:rsidR="005D21C6">
        <w:t>s</w:t>
      </w:r>
      <w:r>
        <w:t xml:space="preserve"> fixé</w:t>
      </w:r>
      <w:r w:rsidR="005D21C6">
        <w:t>s</w:t>
      </w:r>
      <w:r>
        <w:t xml:space="preserve"> à l'article 1</w:t>
      </w:r>
      <w:r w:rsidR="00591DC3">
        <w:t>1</w:t>
      </w:r>
      <w:r>
        <w:t>, points b), c) et d).</w:t>
      </w:r>
    </w:p>
    <w:p w:rsidR="001F17B8" w:rsidRPr="00F36EA6" w:rsidRDefault="001F17B8" w:rsidP="00977D98">
      <w:pPr>
        <w:pStyle w:val="ManualNumPar1"/>
      </w:pPr>
      <w:r>
        <w:t>3.</w:t>
      </w:r>
      <w:r w:rsidR="00977D98">
        <w:tab/>
      </w:r>
      <w:r>
        <w:t>Les États membres exigent que les autorités compétentes et les CRF puissent accéder en temps utile aux informations visées au paragraphe 1.</w:t>
      </w:r>
    </w:p>
    <w:p w:rsidR="001F17B8" w:rsidRPr="00F36EA6" w:rsidRDefault="005E336B" w:rsidP="002466C8">
      <w:pPr>
        <w:pStyle w:val="ManualNumPar1"/>
      </w:pPr>
      <w:r>
        <w:br w:type="page"/>
      </w:r>
      <w:r w:rsidR="001F17B8">
        <w:t>4.</w:t>
      </w:r>
      <w:r w:rsidR="00977D98">
        <w:tab/>
      </w:r>
      <w:r w:rsidR="001F17B8">
        <w:t xml:space="preserve">Les États membres exigent que les informations visées au paragraphe 1 soient conservées dans un registre central </w:t>
      </w:r>
      <w:r w:rsidR="001F17B8" w:rsidRPr="00CF5D96">
        <w:t>lorsque la fiducie</w:t>
      </w:r>
      <w:r w:rsidR="00870FFE">
        <w:t>/</w:t>
      </w:r>
      <w:r w:rsidR="00E735D7">
        <w:t xml:space="preserve">le </w:t>
      </w:r>
      <w:r w:rsidR="00870FFE">
        <w:t>trust</w:t>
      </w:r>
      <w:r w:rsidR="001F17B8" w:rsidRPr="00CF76D0">
        <w:t xml:space="preserve"> </w:t>
      </w:r>
      <w:r w:rsidR="002466C8">
        <w:t>génère</w:t>
      </w:r>
      <w:r w:rsidR="001F17B8" w:rsidRPr="00CF76D0">
        <w:t xml:space="preserve"> des conséquences fiscales. Le registre central </w:t>
      </w:r>
      <w:r w:rsidR="005D21C6">
        <w:t>garantit</w:t>
      </w:r>
      <w:r w:rsidR="005D21C6" w:rsidRPr="00CF76D0">
        <w:t xml:space="preserve"> </w:t>
      </w:r>
      <w:r w:rsidR="001F17B8" w:rsidRPr="00CF76D0">
        <w:t xml:space="preserve">aux autorités compétentes et aux CRF un accès </w:t>
      </w:r>
      <w:r w:rsidR="005D21C6">
        <w:t>en temps utile</w:t>
      </w:r>
      <w:r w:rsidR="005D21C6" w:rsidRPr="00CF76D0">
        <w:t xml:space="preserve"> </w:t>
      </w:r>
      <w:r w:rsidR="001F17B8" w:rsidRPr="00CF76D0">
        <w:t xml:space="preserve">et sans restriction, sans alerter les </w:t>
      </w:r>
      <w:r w:rsidR="008176E6">
        <w:t xml:space="preserve">parties à la </w:t>
      </w:r>
      <w:r w:rsidR="001F17B8" w:rsidRPr="0020665E">
        <w:t>fiducie</w:t>
      </w:r>
      <w:r w:rsidR="00EE26A1">
        <w:t>/</w:t>
      </w:r>
      <w:r w:rsidR="00E735D7">
        <w:t xml:space="preserve">au </w:t>
      </w:r>
      <w:r w:rsidR="00EE26A1">
        <w:t>trust</w:t>
      </w:r>
      <w:r w:rsidR="001F17B8" w:rsidRPr="0020665E">
        <w:t xml:space="preserve"> concerné</w:t>
      </w:r>
      <w:r w:rsidR="00E735D7">
        <w:t>(</w:t>
      </w:r>
      <w:r w:rsidR="008176E6">
        <w:t>e</w:t>
      </w:r>
      <w:r w:rsidR="00E735D7">
        <w:t>)</w:t>
      </w:r>
      <w:r w:rsidR="001F17B8">
        <w:t xml:space="preserve">. Il peut également permettre un accès </w:t>
      </w:r>
      <w:r w:rsidR="005D21C6">
        <w:t>en temps utile</w:t>
      </w:r>
      <w:r w:rsidR="001F17B8">
        <w:t xml:space="preserve"> aux </w:t>
      </w:r>
      <w:r w:rsidR="00870FFE">
        <w:t>entités assujetties</w:t>
      </w:r>
      <w:r w:rsidR="005D21C6">
        <w:t>,</w:t>
      </w:r>
      <w:r w:rsidR="001F17B8">
        <w:t xml:space="preserve"> </w:t>
      </w:r>
      <w:r w:rsidR="003B5147">
        <w:t xml:space="preserve">dans le cadre </w:t>
      </w:r>
      <w:r w:rsidR="001F17B8" w:rsidRPr="003B5147">
        <w:t xml:space="preserve">de </w:t>
      </w:r>
      <w:r w:rsidR="003B5147">
        <w:t xml:space="preserve">la </w:t>
      </w:r>
      <w:r w:rsidR="001F17B8" w:rsidRPr="003B5147">
        <w:t xml:space="preserve">vigilance à l'égard de la clientèle conformément au chapitre II. Les États membres communiquent à la Commission les caractéristiques de ces </w:t>
      </w:r>
      <w:r w:rsidR="003B5147" w:rsidRPr="003B5147">
        <w:t xml:space="preserve">mécanismes </w:t>
      </w:r>
      <w:r w:rsidR="001F17B8" w:rsidRPr="003B5147">
        <w:t>nationaux.</w:t>
      </w:r>
    </w:p>
    <w:p w:rsidR="001F17B8" w:rsidRPr="00F36EA6" w:rsidRDefault="001F17B8" w:rsidP="00296EF9">
      <w:pPr>
        <w:pStyle w:val="ManualNumPar1"/>
      </w:pPr>
      <w:r>
        <w:t>5.</w:t>
      </w:r>
      <w:r w:rsidR="00977D98">
        <w:tab/>
      </w:r>
      <w:r>
        <w:t xml:space="preserve">Les États membres exigent que les informations conservées dans le registre central visé au paragraphe 4 soient </w:t>
      </w:r>
      <w:r w:rsidR="008176E6">
        <w:t>adéquates</w:t>
      </w:r>
      <w:r>
        <w:t xml:space="preserve">, exactes et </w:t>
      </w:r>
      <w:r w:rsidR="00296EF9">
        <w:t>actuelles</w:t>
      </w:r>
      <w:r>
        <w:t>.</w:t>
      </w:r>
    </w:p>
    <w:p w:rsidR="001F17B8" w:rsidRPr="00911C47" w:rsidRDefault="001F17B8" w:rsidP="005D21C6">
      <w:pPr>
        <w:pStyle w:val="ManualNumPar1"/>
      </w:pPr>
      <w:r>
        <w:t>6.</w:t>
      </w:r>
      <w:r w:rsidR="00977D98">
        <w:tab/>
      </w:r>
      <w:r>
        <w:t xml:space="preserve">Les États membres font en sorte que les </w:t>
      </w:r>
      <w:r w:rsidR="00870FFE">
        <w:t>entités assujetties</w:t>
      </w:r>
      <w:r>
        <w:t xml:space="preserve"> ne s'appuient pas exclusivement sur le registre central visé au paragraphe 4 pour remplir leurs obligations de vigilance à l'égard de la clientèle </w:t>
      </w:r>
      <w:r w:rsidR="005D21C6">
        <w:t>prévues au chapitre II</w:t>
      </w:r>
      <w:r>
        <w:t xml:space="preserve">. Ces obligations sont remplies en appliquant une approche fondée sur les </w:t>
      </w:r>
      <w:r w:rsidRPr="00911C47">
        <w:t>risques.</w:t>
      </w:r>
    </w:p>
    <w:p w:rsidR="001F17B8" w:rsidRPr="00F36EA6" w:rsidRDefault="001F17B8" w:rsidP="00977D98">
      <w:pPr>
        <w:pStyle w:val="ManualNumPar1"/>
      </w:pPr>
      <w:r>
        <w:t>7.</w:t>
      </w:r>
      <w:r w:rsidR="00977D98">
        <w:tab/>
      </w:r>
      <w:r>
        <w:t>Les États membres veillent à ce que les autorités compétentes et les CRF soient en mesure de fournir en temps utile les informations visées aux paragraphes 1 et 4 aux autorités compétentes et aux CRF d'autres États membres.</w:t>
      </w:r>
    </w:p>
    <w:p w:rsidR="001F17B8" w:rsidRPr="00F36EA6" w:rsidRDefault="001F17B8" w:rsidP="005D21C6">
      <w:pPr>
        <w:pStyle w:val="ManualNumPar1"/>
      </w:pPr>
      <w:r>
        <w:t>8.</w:t>
      </w:r>
      <w:r w:rsidR="00977D98">
        <w:tab/>
      </w:r>
      <w:r>
        <w:t xml:space="preserve">Les États membres </w:t>
      </w:r>
      <w:r w:rsidR="005D21C6">
        <w:t>veillent à ce</w:t>
      </w:r>
      <w:r>
        <w:t xml:space="preserve"> que les mesures prévues au présent article s'appliquent à d'autres types de constructions juridiques présentant une structure ou </w:t>
      </w:r>
      <w:r w:rsidR="008176E6">
        <w:t>des</w:t>
      </w:r>
      <w:r>
        <w:t xml:space="preserve"> fonction</w:t>
      </w:r>
      <w:r w:rsidR="008176E6">
        <w:t>s</w:t>
      </w:r>
      <w:r>
        <w:t xml:space="preserve"> similaire</w:t>
      </w:r>
      <w:r w:rsidR="008176E6">
        <w:t>s</w:t>
      </w:r>
      <w:r>
        <w:t xml:space="preserve"> à celle</w:t>
      </w:r>
      <w:r w:rsidR="008176E6">
        <w:t>s</w:t>
      </w:r>
      <w:r>
        <w:t xml:space="preserve"> des </w:t>
      </w:r>
      <w:r w:rsidRPr="00CF5D96">
        <w:t>fiducies</w:t>
      </w:r>
      <w:r w:rsidR="00870FFE">
        <w:t>/trusts</w:t>
      </w:r>
      <w:r w:rsidRPr="00CF5D96">
        <w:t>.</w:t>
      </w:r>
    </w:p>
    <w:p w:rsidR="001F17B8" w:rsidRDefault="005E336B" w:rsidP="00977D98">
      <w:pPr>
        <w:pStyle w:val="ManualNumPar1"/>
      </w:pPr>
      <w:r>
        <w:t>9.</w:t>
      </w:r>
      <w:r w:rsidR="00CF5D96">
        <w:tab/>
      </w:r>
      <w:r w:rsidR="0059344D">
        <w:t>Au plus tard le …</w:t>
      </w:r>
      <w:r w:rsidR="00661C61">
        <w:rPr>
          <w:rStyle w:val="FootnoteReference"/>
        </w:rPr>
        <w:footnoteReference w:customMarkFollows="1" w:id="38"/>
        <w:t>*</w:t>
      </w:r>
      <w:r w:rsidR="00661C61">
        <w:t xml:space="preserve">, </w:t>
      </w:r>
      <w:r>
        <w:t xml:space="preserve">la </w:t>
      </w:r>
      <w:r w:rsidR="001F17B8">
        <w:t>Commission présente au Parlement européen et au Conseil un rapp</w:t>
      </w:r>
      <w:r>
        <w:t xml:space="preserve">ort dans lequel elle évalue les </w:t>
      </w:r>
      <w:r w:rsidR="001F17B8">
        <w:t>conditions et les procédures et spécifications techniques permettant d'assurer une interconnexion sûre et efficace des registres centraux. Le cas échéant, ce rapport est accompagné d'une proposition législative.</w:t>
      </w:r>
    </w:p>
    <w:p w:rsidR="001F17B8" w:rsidRPr="005E336B" w:rsidRDefault="005E336B" w:rsidP="005E336B">
      <w:pPr>
        <w:pStyle w:val="ChapterTitle"/>
        <w:keepNext w:val="0"/>
      </w:pPr>
      <w:r>
        <w:br w:type="page"/>
      </w:r>
      <w:r w:rsidR="001F17B8" w:rsidRPr="005E336B">
        <w:t>CHAPITRE IV</w:t>
      </w:r>
      <w:r w:rsidR="00977D98" w:rsidRPr="005E336B">
        <w:br/>
      </w:r>
      <w:r w:rsidR="001F17B8" w:rsidRPr="005E336B">
        <w:t>OBLIGATIONS DE DÉCLARATION</w:t>
      </w:r>
    </w:p>
    <w:p w:rsidR="001F17B8" w:rsidRPr="00977D98" w:rsidRDefault="001F17B8" w:rsidP="00977D98">
      <w:pPr>
        <w:pStyle w:val="SectionTitle"/>
      </w:pPr>
      <w:r w:rsidRPr="00977D98">
        <w:t>Section 1</w:t>
      </w:r>
      <w:r w:rsidR="00977D98" w:rsidRPr="00977D98">
        <w:br/>
      </w:r>
      <w:r w:rsidRPr="00977D98">
        <w:t>Dispositions générales</w:t>
      </w:r>
    </w:p>
    <w:p w:rsidR="001F17B8" w:rsidRPr="00977D98" w:rsidRDefault="001F17B8" w:rsidP="00296EF9">
      <w:pPr>
        <w:pStyle w:val="Titrearticle"/>
      </w:pPr>
      <w:r w:rsidRPr="00977D98">
        <w:t>Article 3</w:t>
      </w:r>
      <w:r w:rsidR="00296EF9">
        <w:t>2</w:t>
      </w:r>
    </w:p>
    <w:p w:rsidR="001F17B8" w:rsidRPr="00F36EA6" w:rsidRDefault="001F17B8" w:rsidP="005D21C6">
      <w:pPr>
        <w:pStyle w:val="ManualNumPar1"/>
        <w:rPr>
          <w:noProof/>
        </w:rPr>
      </w:pPr>
      <w:r>
        <w:t>1.</w:t>
      </w:r>
      <w:r w:rsidR="00977D98">
        <w:tab/>
      </w:r>
      <w:r>
        <w:t xml:space="preserve">Chaque État membre </w:t>
      </w:r>
      <w:r w:rsidR="005D21C6">
        <w:t xml:space="preserve">met en place </w:t>
      </w:r>
      <w:r>
        <w:t>une CRF, chargée de prévenir, de détecter et de combattre efficacement le blanchiment de capitaux et le financement du terrorisme.</w:t>
      </w:r>
    </w:p>
    <w:p w:rsidR="001F17B8" w:rsidRPr="00F36EA6" w:rsidRDefault="001F17B8" w:rsidP="00977D98">
      <w:pPr>
        <w:pStyle w:val="ManualNumPar1"/>
        <w:rPr>
          <w:noProof/>
        </w:rPr>
      </w:pPr>
      <w:r>
        <w:t>2.</w:t>
      </w:r>
      <w:r w:rsidR="00977D98">
        <w:tab/>
      </w:r>
      <w:r>
        <w:t>Les États membres communiquent par écrit à la Commission le nom et l'adresse de leur CRF.</w:t>
      </w:r>
    </w:p>
    <w:p w:rsidR="001F17B8" w:rsidRPr="00F36EA6" w:rsidRDefault="001F17B8" w:rsidP="002466C8">
      <w:pPr>
        <w:pStyle w:val="ManualNumPar1"/>
      </w:pPr>
      <w:r>
        <w:t>3.</w:t>
      </w:r>
      <w:r w:rsidR="00977D98">
        <w:tab/>
      </w:r>
      <w:r w:rsidR="0059344D">
        <w:t xml:space="preserve">Chaque </w:t>
      </w:r>
      <w:r>
        <w:t>CRF est indépendante et autonome sur le plan opérationnel</w:t>
      </w:r>
      <w:r w:rsidR="0059344D">
        <w:t>,</w:t>
      </w:r>
      <w:r>
        <w:t xml:space="preserve"> </w:t>
      </w:r>
      <w:r w:rsidR="0059344D">
        <w:t>ce qui signifie</w:t>
      </w:r>
      <w:r>
        <w:t xml:space="preserve"> que la CRF a l'autorité et la capacité nécessaires pour exercer librement ses fonctions</w:t>
      </w:r>
      <w:r w:rsidR="00F10486">
        <w:t>,</w:t>
      </w:r>
      <w:r w:rsidR="0059344D">
        <w:t xml:space="preserve"> </w:t>
      </w:r>
      <w:r w:rsidR="00F10486">
        <w:t>y compris</w:t>
      </w:r>
      <w:r>
        <w:t xml:space="preserve"> </w:t>
      </w:r>
      <w:r w:rsidR="00832B02">
        <w:t>la capacité</w:t>
      </w:r>
      <w:r w:rsidR="00F10486">
        <w:t xml:space="preserve"> </w:t>
      </w:r>
      <w:r>
        <w:t xml:space="preserve">de décider d'une manière autonome d'analyser, de demander et de </w:t>
      </w:r>
      <w:r w:rsidR="00500C3C">
        <w:t xml:space="preserve">disséminer </w:t>
      </w:r>
      <w:r>
        <w:t xml:space="preserve">des informations </w:t>
      </w:r>
      <w:r w:rsidR="002466C8">
        <w:t>spécifiques</w:t>
      </w:r>
      <w:r>
        <w:t>.</w:t>
      </w:r>
      <w:r>
        <w:rPr>
          <w:noProof/>
          <w:color w:val="FF0000"/>
        </w:rPr>
        <w:t xml:space="preserve"> </w:t>
      </w:r>
      <w:r>
        <w:t xml:space="preserve">En sa qualité de cellule nationale centrale, la CRF est chargée de recevoir et d'analyser les </w:t>
      </w:r>
      <w:r w:rsidR="00650A73">
        <w:t xml:space="preserve">déclarations </w:t>
      </w:r>
      <w:r>
        <w:t xml:space="preserve">de transactions suspectes ainsi que d'autres informations </w:t>
      </w:r>
      <w:r w:rsidR="002466C8">
        <w:t>pertinentes pour le</w:t>
      </w:r>
      <w:r w:rsidR="005E336B">
        <w:t xml:space="preserve"> blanchiment de </w:t>
      </w:r>
      <w:r>
        <w:t xml:space="preserve">capitaux, </w:t>
      </w:r>
      <w:r w:rsidR="002466C8">
        <w:t>les</w:t>
      </w:r>
      <w:r w:rsidRPr="00CF76D0">
        <w:t xml:space="preserve"> infractions </w:t>
      </w:r>
      <w:r w:rsidR="00500C3C">
        <w:t>sous-jacentes associées</w:t>
      </w:r>
      <w:r w:rsidR="00500C3C" w:rsidRPr="001F17B8">
        <w:t xml:space="preserve"> </w:t>
      </w:r>
      <w:r w:rsidRPr="00CF76D0">
        <w:t xml:space="preserve">ou </w:t>
      </w:r>
      <w:r w:rsidR="002466C8">
        <w:t>le</w:t>
      </w:r>
      <w:r>
        <w:t xml:space="preserve"> financement du terrorisme. La CRF est chargée de </w:t>
      </w:r>
      <w:r w:rsidR="002466C8">
        <w:t>disséminer</w:t>
      </w:r>
      <w:r>
        <w:t xml:space="preserve"> les résultats de s</w:t>
      </w:r>
      <w:r w:rsidR="0059344D">
        <w:t>es</w:t>
      </w:r>
      <w:r>
        <w:t xml:space="preserve"> analyse</w:t>
      </w:r>
      <w:r w:rsidR="0059344D">
        <w:t>s</w:t>
      </w:r>
      <w:r>
        <w:t xml:space="preserve"> aux autorités compétentes, ainsi que toute autre information pertinente, lorsqu'il existe des raisons de suspecter un blanchiment de capitaux, </w:t>
      </w:r>
      <w:r w:rsidR="005E336B">
        <w:t xml:space="preserve">des </w:t>
      </w:r>
      <w:r w:rsidRPr="00CF76D0">
        <w:t xml:space="preserve">infractions </w:t>
      </w:r>
      <w:r w:rsidR="00500C3C">
        <w:t>sous-jacentes associées</w:t>
      </w:r>
      <w:r w:rsidR="00500C3C" w:rsidRPr="001F17B8">
        <w:t xml:space="preserve"> </w:t>
      </w:r>
      <w:r w:rsidRPr="00CF76D0">
        <w:t>ou un financement du terrorisme</w:t>
      </w:r>
      <w:r>
        <w:t>. E</w:t>
      </w:r>
      <w:r w:rsidR="005E336B">
        <w:t xml:space="preserve">lle est en mesure d'obtenir des </w:t>
      </w:r>
      <w:r>
        <w:t xml:space="preserve">informations complémentaires auprès des </w:t>
      </w:r>
      <w:r w:rsidR="00870FFE">
        <w:t>entités assujetties</w:t>
      </w:r>
      <w:r>
        <w:t>.</w:t>
      </w:r>
    </w:p>
    <w:p w:rsidR="001F17B8" w:rsidRPr="00F36EA6" w:rsidRDefault="00CF76D0" w:rsidP="005E336B">
      <w:pPr>
        <w:pStyle w:val="Text1"/>
      </w:pPr>
      <w:r>
        <w:t>Les États membres dotent leur</w:t>
      </w:r>
      <w:r w:rsidR="002466C8">
        <w:t>s</w:t>
      </w:r>
      <w:r>
        <w:t xml:space="preserve"> </w:t>
      </w:r>
      <w:r w:rsidR="001F17B8">
        <w:t xml:space="preserve">CRF des ressources financières, humaines et techniques </w:t>
      </w:r>
      <w:r w:rsidR="00500C3C">
        <w:t>appropriées</w:t>
      </w:r>
      <w:r w:rsidR="001F17B8">
        <w:t xml:space="preserve"> </w:t>
      </w:r>
      <w:r w:rsidR="00832B02">
        <w:t>nécessaires à l</w:t>
      </w:r>
      <w:r w:rsidR="00746943">
        <w:t>'</w:t>
      </w:r>
      <w:r w:rsidR="00832B02">
        <w:t xml:space="preserve">accomplissement de </w:t>
      </w:r>
      <w:r w:rsidR="002466C8">
        <w:t>leurs</w:t>
      </w:r>
      <w:r w:rsidR="001F17B8">
        <w:t xml:space="preserve"> missions.</w:t>
      </w:r>
    </w:p>
    <w:p w:rsidR="00CF76D0" w:rsidRDefault="00977D98">
      <w:pPr>
        <w:pStyle w:val="ManualNumPar1"/>
      </w:pPr>
      <w:r>
        <w:br w:type="page"/>
      </w:r>
      <w:r w:rsidR="001F17B8">
        <w:t>4.</w:t>
      </w:r>
      <w:r>
        <w:tab/>
      </w:r>
      <w:r w:rsidR="001F17B8" w:rsidRPr="00CF76D0">
        <w:t xml:space="preserve">Les États membres veillent à ce que leur CRF ait accès, directement ou indirectement, en temps </w:t>
      </w:r>
      <w:r w:rsidR="00003C87">
        <w:t>utile</w:t>
      </w:r>
      <w:r w:rsidR="001F17B8" w:rsidRPr="00CF76D0">
        <w:t xml:space="preserve">, aux informations financières, administratives et </w:t>
      </w:r>
      <w:r w:rsidR="00003C87">
        <w:t>d'ordre répressif</w:t>
      </w:r>
      <w:r w:rsidR="001F17B8" w:rsidRPr="00CF76D0">
        <w:t xml:space="preserve"> dont elle a besoin pour remplir correctement ses missions. Les</w:t>
      </w:r>
      <w:r w:rsidR="001F17B8" w:rsidRPr="0020665E">
        <w:t xml:space="preserve"> CRF</w:t>
      </w:r>
      <w:r w:rsidR="001F17B8">
        <w:t xml:space="preserve"> sont en mesure de donner suite aux demandes d'information soumises par les autorités compétentes de leur État membre</w:t>
      </w:r>
      <w:r w:rsidR="008A415D">
        <w:t xml:space="preserve"> respectif</w:t>
      </w:r>
      <w:r w:rsidR="001F17B8">
        <w:t xml:space="preserve"> lorsque ces demandes </w:t>
      </w:r>
      <w:r w:rsidR="0059344D">
        <w:t xml:space="preserve">d'information </w:t>
      </w:r>
      <w:r w:rsidR="001F17B8">
        <w:t xml:space="preserve">sont motivées par des préoccupations liées au blanchiment des capitaux, à des infractions </w:t>
      </w:r>
      <w:r w:rsidR="00500C3C">
        <w:t>sous-jacentes associées</w:t>
      </w:r>
      <w:r w:rsidR="00500C3C" w:rsidRPr="001F17B8">
        <w:t xml:space="preserve"> </w:t>
      </w:r>
      <w:r w:rsidR="001F17B8">
        <w:t xml:space="preserve">ou au financement du terrorisme. La décision de procéder à l'analyse ou à la </w:t>
      </w:r>
      <w:r w:rsidR="008D7683">
        <w:t xml:space="preserve">dissémination </w:t>
      </w:r>
      <w:r w:rsidR="001F17B8">
        <w:t>des informati</w:t>
      </w:r>
      <w:r w:rsidR="005E336B">
        <w:t>ons reste du ressort de la CRF.</w:t>
      </w:r>
    </w:p>
    <w:p w:rsidR="00CF76D0" w:rsidRDefault="00296EF9">
      <w:pPr>
        <w:pStyle w:val="ManualNumPar1"/>
      </w:pPr>
      <w:r>
        <w:t>5</w:t>
      </w:r>
      <w:r w:rsidR="00CF76D0">
        <w:t>.</w:t>
      </w:r>
      <w:r w:rsidR="00CF76D0">
        <w:tab/>
      </w:r>
      <w:r w:rsidR="001F17B8">
        <w:t xml:space="preserve">Lorsqu'il existe des raisons </w:t>
      </w:r>
      <w:r w:rsidR="00CF76D0">
        <w:t xml:space="preserve">objectives </w:t>
      </w:r>
      <w:r w:rsidR="001F17B8">
        <w:t xml:space="preserve">de supposer que la communication de ces informations aurait un impact négatif sur </w:t>
      </w:r>
      <w:r w:rsidR="00003C87">
        <w:t xml:space="preserve">des </w:t>
      </w:r>
      <w:r w:rsidR="001F17B8">
        <w:t xml:space="preserve">enquêtes ou analyses en cours ou, dans des circonstances exceptionnelles, lorsque leur divulgation </w:t>
      </w:r>
      <w:r w:rsidR="00500C3C">
        <w:t>serait</w:t>
      </w:r>
      <w:r w:rsidR="001F17B8">
        <w:t xml:space="preserve"> manifestement disproportionné</w:t>
      </w:r>
      <w:r w:rsidR="00500C3C">
        <w:t>e</w:t>
      </w:r>
      <w:r w:rsidR="001F17B8">
        <w:t xml:space="preserve"> </w:t>
      </w:r>
      <w:r w:rsidR="00500C3C">
        <w:t>par rapport</w:t>
      </w:r>
      <w:r w:rsidR="001F17B8">
        <w:t xml:space="preserve"> </w:t>
      </w:r>
      <w:r w:rsidR="00335F5B">
        <w:t xml:space="preserve">aux </w:t>
      </w:r>
      <w:r w:rsidR="001F17B8">
        <w:t xml:space="preserve">intérêts légitimes d'une personne physique ou morale ou ne </w:t>
      </w:r>
      <w:r w:rsidR="00500C3C">
        <w:t>serait</w:t>
      </w:r>
      <w:r w:rsidR="001F17B8">
        <w:t xml:space="preserve"> pas</w:t>
      </w:r>
      <w:r w:rsidR="00500C3C">
        <w:t xml:space="preserve"> pertinente par rapport</w:t>
      </w:r>
      <w:r w:rsidR="001F17B8">
        <w:t xml:space="preserve"> </w:t>
      </w:r>
      <w:r w:rsidR="00500C3C">
        <w:t>aux</w:t>
      </w:r>
      <w:r w:rsidR="001F17B8">
        <w:t xml:space="preserve"> finalités pour lesquelles elle a été demandée, la CRF n'est pas tenue de donner suite à la demande</w:t>
      </w:r>
      <w:r w:rsidR="0059344D">
        <w:t xml:space="preserve"> d'information</w:t>
      </w:r>
      <w:r w:rsidR="005E336B">
        <w:t>.</w:t>
      </w:r>
    </w:p>
    <w:p w:rsidR="001F17B8" w:rsidRPr="00F36EA6" w:rsidRDefault="00296EF9" w:rsidP="00D436FE">
      <w:pPr>
        <w:pStyle w:val="ManualNumPar1"/>
      </w:pPr>
      <w:r>
        <w:t>6</w:t>
      </w:r>
      <w:r w:rsidR="00CF76D0">
        <w:t>.</w:t>
      </w:r>
      <w:r w:rsidR="00CF76D0">
        <w:tab/>
      </w:r>
      <w:r w:rsidR="001F17B8">
        <w:t xml:space="preserve">Les États membres </w:t>
      </w:r>
      <w:r w:rsidR="00003C87">
        <w:t>exigent des</w:t>
      </w:r>
      <w:r w:rsidR="001F17B8">
        <w:t xml:space="preserve"> autorités compétentes </w:t>
      </w:r>
      <w:r w:rsidR="00003C87">
        <w:t>qu'elles</w:t>
      </w:r>
      <w:r w:rsidR="001F17B8">
        <w:t xml:space="preserve"> fourni</w:t>
      </w:r>
      <w:r w:rsidR="00003C87">
        <w:t>ssent</w:t>
      </w:r>
      <w:r w:rsidR="001F17B8">
        <w:t xml:space="preserve"> à la CRF un retour d'information sur l'utilisation qui a été faite des informations transmises </w:t>
      </w:r>
      <w:r w:rsidR="0059344D">
        <w:t>conformément au</w:t>
      </w:r>
      <w:r w:rsidR="001F17B8">
        <w:t xml:space="preserve"> présent article et sur les</w:t>
      </w:r>
      <w:r w:rsidR="00D436FE">
        <w:t xml:space="preserve"> </w:t>
      </w:r>
      <w:r w:rsidR="001F17B8">
        <w:t>résultats des enquêtes ou inspections menées sur la base de</w:t>
      </w:r>
      <w:r w:rsidR="00CF76D0">
        <w:t xml:space="preserve"> ce</w:t>
      </w:r>
      <w:r w:rsidR="0059344D">
        <w:t>s</w:t>
      </w:r>
      <w:r w:rsidR="001F17B8">
        <w:t xml:space="preserve"> </w:t>
      </w:r>
      <w:r w:rsidR="0059344D">
        <w:t>informations</w:t>
      </w:r>
      <w:r w:rsidR="001F17B8">
        <w:t>.</w:t>
      </w:r>
    </w:p>
    <w:p w:rsidR="001F17B8" w:rsidRPr="00F36EA6" w:rsidRDefault="00500C3C">
      <w:pPr>
        <w:pStyle w:val="ManualNumPar1"/>
        <w:rPr>
          <w:noProof/>
        </w:rPr>
      </w:pPr>
      <w:r>
        <w:t>7</w:t>
      </w:r>
      <w:r w:rsidR="001F17B8">
        <w:t>.</w:t>
      </w:r>
      <w:r w:rsidR="00977D98">
        <w:tab/>
      </w:r>
      <w:r w:rsidR="001F17B8">
        <w:t xml:space="preserve">Les États membres veillent à ce que leur CRF soit habilitée à agir sans délai, directement ou indirectement, lorsqu'une transaction est suspectée d'être liée au blanchiment de capitaux ou au financement du terrorisme, afin de suspendre ou de refuser l'exécution de cette transaction pour l'analyser, confirmer les soupçons et </w:t>
      </w:r>
      <w:r>
        <w:t xml:space="preserve">disséminer </w:t>
      </w:r>
      <w:r w:rsidR="001F17B8">
        <w:t>les résultats de l'analyse aux autorités compétentes. La CRF est habilitée à agir ainsi, directement ou indirectement, à la demande d</w:t>
      </w:r>
      <w:r w:rsidR="00F10486">
        <w:t>'un</w:t>
      </w:r>
      <w:r w:rsidR="001F17B8">
        <w:t xml:space="preserve">e CRF d'un autre État membre pendant la durée et selon les </w:t>
      </w:r>
      <w:r w:rsidR="008D7683">
        <w:t xml:space="preserve">conditions </w:t>
      </w:r>
      <w:r w:rsidR="001F17B8">
        <w:t xml:space="preserve">précisées dans </w:t>
      </w:r>
      <w:r w:rsidR="0059344D">
        <w:t>le droit</w:t>
      </w:r>
      <w:r w:rsidR="001F17B8">
        <w:t xml:space="preserve"> national de la CRF saisie de la demande.</w:t>
      </w:r>
    </w:p>
    <w:p w:rsidR="001F17B8" w:rsidRPr="00F36EA6" w:rsidRDefault="00977D98" w:rsidP="00296EF9">
      <w:pPr>
        <w:pStyle w:val="ManualNumPar1"/>
      </w:pPr>
      <w:r>
        <w:br w:type="page"/>
      </w:r>
      <w:r w:rsidR="00296EF9">
        <w:t>8</w:t>
      </w:r>
      <w:r w:rsidR="001F17B8">
        <w:t>.</w:t>
      </w:r>
      <w:r>
        <w:tab/>
      </w:r>
      <w:r w:rsidR="001F17B8">
        <w:t>La fonction d'analyse de la CRF consiste en ce qui suit:</w:t>
      </w:r>
    </w:p>
    <w:p w:rsidR="001F17B8" w:rsidRDefault="001F17B8">
      <w:pPr>
        <w:pStyle w:val="Point1"/>
      </w:pPr>
      <w:r>
        <w:t>a)</w:t>
      </w:r>
      <w:r w:rsidR="00977D98">
        <w:tab/>
      </w:r>
      <w:r>
        <w:t xml:space="preserve">une analyse opérationnelle centrée sur des cas individuels et des objectifs spécifiques ou sur des informations appropriées sélectionnées, en fonction du type et du volume d'informations reçues et de l'utilisation </w:t>
      </w:r>
      <w:r w:rsidR="000C2562">
        <w:t xml:space="preserve">des informations </w:t>
      </w:r>
      <w:r>
        <w:t xml:space="preserve">qui en est escomptée après leur </w:t>
      </w:r>
      <w:r w:rsidR="008D7683">
        <w:t>dissémination</w:t>
      </w:r>
      <w:r>
        <w:t>; et</w:t>
      </w:r>
    </w:p>
    <w:p w:rsidR="001F17B8" w:rsidRPr="00F36EA6" w:rsidRDefault="001F17B8" w:rsidP="00977D98">
      <w:pPr>
        <w:pStyle w:val="Point1"/>
        <w:rPr>
          <w:noProof/>
        </w:rPr>
      </w:pPr>
      <w:r>
        <w:t>b)</w:t>
      </w:r>
      <w:r w:rsidR="00977D98">
        <w:tab/>
      </w:r>
      <w:r>
        <w:t>une analyse stratégique portant sur les tendances et les formes du blanchiment de capitaux et du financement du terrorisme.</w:t>
      </w:r>
    </w:p>
    <w:p w:rsidR="001F17B8" w:rsidRPr="00F36EA6" w:rsidRDefault="001F17B8" w:rsidP="00296EF9">
      <w:pPr>
        <w:pStyle w:val="Titrearticle"/>
        <w:rPr>
          <w:iCs/>
          <w:noProof/>
        </w:rPr>
      </w:pPr>
      <w:r w:rsidRPr="00666E6D">
        <w:rPr>
          <w:noProof/>
        </w:rPr>
        <w:t>Article</w:t>
      </w:r>
      <w:r>
        <w:t xml:space="preserve"> </w:t>
      </w:r>
      <w:r w:rsidRPr="00981FC1">
        <w:rPr>
          <w:iCs/>
        </w:rPr>
        <w:t>3</w:t>
      </w:r>
      <w:r w:rsidR="00296EF9">
        <w:rPr>
          <w:iCs/>
        </w:rPr>
        <w:t>3</w:t>
      </w:r>
    </w:p>
    <w:p w:rsidR="001F17B8" w:rsidRPr="00F36EA6" w:rsidRDefault="001F17B8" w:rsidP="00977D98">
      <w:pPr>
        <w:pStyle w:val="ManualNumPar1"/>
        <w:rPr>
          <w:noProof/>
        </w:rPr>
      </w:pPr>
      <w:r>
        <w:t>1.</w:t>
      </w:r>
      <w:r w:rsidR="00977D98">
        <w:tab/>
      </w:r>
      <w:r>
        <w:t xml:space="preserve">Les États membres exigent des </w:t>
      </w:r>
      <w:r w:rsidR="00870FFE">
        <w:t>entités assujetties</w:t>
      </w:r>
      <w:r>
        <w:t xml:space="preserve"> et, le cas échéant, de leurs dirigeants et employés, qu'ils coopèrent pleinement:</w:t>
      </w:r>
    </w:p>
    <w:p w:rsidR="001F17B8" w:rsidRPr="00F36EA6" w:rsidRDefault="001F17B8" w:rsidP="00003C87">
      <w:pPr>
        <w:pStyle w:val="Point1"/>
      </w:pPr>
      <w:r>
        <w:t>a)</w:t>
      </w:r>
      <w:r w:rsidR="00977D98">
        <w:tab/>
      </w:r>
      <w:r>
        <w:t>en informant rapidement la CRF, de leur propre initiative, y compris par l'établissement d'un rapport, lorsque l'</w:t>
      </w:r>
      <w:r w:rsidR="007468D1">
        <w:t>entité assujettie</w:t>
      </w:r>
      <w:r>
        <w:t xml:space="preserve"> sait, soupçonne ou a de</w:t>
      </w:r>
      <w:r w:rsidR="00003C87">
        <w:t>s</w:t>
      </w:r>
      <w:r>
        <w:t xml:space="preserve"> </w:t>
      </w:r>
      <w:r w:rsidR="00003C87">
        <w:t>motifs raisonnables</w:t>
      </w:r>
      <w:r>
        <w:t xml:space="preserve"> de soupçonner que des fonds, quel que soit le montant concerné, proviennent d'une activité criminelle ou sont liés au financement du terrorisme, et en donnant rapidement suite aux demandes d'informations supplémentaires soumises par la CRF dans de tels cas;</w:t>
      </w:r>
      <w:r w:rsidR="008A415D">
        <w:t xml:space="preserve"> et</w:t>
      </w:r>
    </w:p>
    <w:p w:rsidR="001F17B8" w:rsidRPr="00F36EA6" w:rsidRDefault="001F17B8" w:rsidP="00977D98">
      <w:pPr>
        <w:pStyle w:val="Point1"/>
        <w:rPr>
          <w:noProof/>
        </w:rPr>
      </w:pPr>
      <w:r>
        <w:t>b)</w:t>
      </w:r>
      <w:r w:rsidR="00977D98">
        <w:tab/>
      </w:r>
      <w:r>
        <w:t>en fournissant rapidement à la CRF, directement ou indirectement, à la demande de celle-ci, toutes les informations nécessaires, conformément aux procédures prévues par l</w:t>
      </w:r>
      <w:r w:rsidR="000C2562">
        <w:t>e</w:t>
      </w:r>
      <w:r>
        <w:t xml:space="preserve"> </w:t>
      </w:r>
      <w:r w:rsidR="000C2562">
        <w:t>droit</w:t>
      </w:r>
      <w:r>
        <w:t xml:space="preserve"> applicable.</w:t>
      </w:r>
    </w:p>
    <w:p w:rsidR="001F17B8" w:rsidRPr="00F36EA6" w:rsidRDefault="001F17B8" w:rsidP="005E336B">
      <w:pPr>
        <w:pStyle w:val="Text1"/>
      </w:pPr>
      <w:r>
        <w:t xml:space="preserve">Toutes les transactions ou tentatives de transactions suspectes sont </w:t>
      </w:r>
      <w:r w:rsidR="00335F5B">
        <w:t>déclarées</w:t>
      </w:r>
      <w:r>
        <w:t>.</w:t>
      </w:r>
    </w:p>
    <w:p w:rsidR="001F17B8" w:rsidRPr="00F36EA6" w:rsidRDefault="00977D98" w:rsidP="005E336B">
      <w:pPr>
        <w:pStyle w:val="ManualNumPar1"/>
        <w:rPr>
          <w:noProof/>
        </w:rPr>
      </w:pPr>
      <w:r>
        <w:br w:type="page"/>
      </w:r>
      <w:r w:rsidR="001F17B8">
        <w:t>2.</w:t>
      </w:r>
      <w:r>
        <w:tab/>
      </w:r>
      <w:r w:rsidR="001F17B8">
        <w:t>L</w:t>
      </w:r>
      <w:r w:rsidR="00CF76D0">
        <w:t xml:space="preserve">a personne </w:t>
      </w:r>
      <w:r w:rsidR="00F10486">
        <w:t>nommée</w:t>
      </w:r>
      <w:r w:rsidR="00CF76D0">
        <w:t xml:space="preserve"> conformément à l'article 8, paragraphe 4, point a), transmet les </w:t>
      </w:r>
      <w:r w:rsidR="001F17B8">
        <w:t xml:space="preserve">informations visées au paragraphe 1 </w:t>
      </w:r>
      <w:r w:rsidR="000C2562">
        <w:t xml:space="preserve">du présent article </w:t>
      </w:r>
      <w:r w:rsidR="001F17B8">
        <w:t>à la CRF de l'État membre sur le</w:t>
      </w:r>
      <w:r w:rsidR="005E336B">
        <w:t xml:space="preserve"> </w:t>
      </w:r>
      <w:r w:rsidR="001F17B8">
        <w:t>territoire duquel est établie l'</w:t>
      </w:r>
      <w:r w:rsidR="007468D1">
        <w:t>entité assujettie</w:t>
      </w:r>
      <w:r w:rsidR="001F17B8">
        <w:t xml:space="preserve"> qui transmet</w:t>
      </w:r>
      <w:r w:rsidR="002466C8">
        <w:t xml:space="preserve"> les informations</w:t>
      </w:r>
      <w:r w:rsidR="001F17B8">
        <w:t>.</w:t>
      </w:r>
    </w:p>
    <w:p w:rsidR="001F17B8" w:rsidRPr="005E336B" w:rsidRDefault="001F17B8" w:rsidP="005E336B">
      <w:pPr>
        <w:pStyle w:val="Titrearticle"/>
        <w:rPr>
          <w:noProof/>
        </w:rPr>
      </w:pPr>
      <w:r w:rsidRPr="00981FC1">
        <w:rPr>
          <w:noProof/>
        </w:rPr>
        <w:t>Article 3</w:t>
      </w:r>
      <w:r w:rsidR="00296EF9">
        <w:rPr>
          <w:noProof/>
        </w:rPr>
        <w:t>4</w:t>
      </w:r>
    </w:p>
    <w:p w:rsidR="001F17B8" w:rsidRPr="00F36EA6" w:rsidRDefault="001F17B8" w:rsidP="00296EF9">
      <w:pPr>
        <w:pStyle w:val="ManualNumPar1"/>
        <w:rPr>
          <w:noProof/>
        </w:rPr>
      </w:pPr>
      <w:r>
        <w:t>1.</w:t>
      </w:r>
      <w:r w:rsidR="00977D98">
        <w:tab/>
      </w:r>
      <w:r>
        <w:t>Par dérogation à l'article 3</w:t>
      </w:r>
      <w:r w:rsidR="00296EF9">
        <w:t>3</w:t>
      </w:r>
      <w:r>
        <w:t xml:space="preserve">, paragraphe 1, les États membres peuvent, s'agissant des </w:t>
      </w:r>
      <w:r w:rsidR="00870FFE">
        <w:t>entités assujetties</w:t>
      </w:r>
      <w:r w:rsidR="008A415D">
        <w:t xml:space="preserve"> </w:t>
      </w:r>
      <w:r>
        <w:t>visées à l'article 2, paragraphe 1, point 3) a), b) et d), désigner un organisme d'autorégulation approprié de la profession concernée pour être l'autorité qui recevra les informations visées à l'article 3</w:t>
      </w:r>
      <w:r w:rsidR="00296EF9">
        <w:t>3</w:t>
      </w:r>
      <w:r>
        <w:t>, paragraphe 1.</w:t>
      </w:r>
    </w:p>
    <w:p w:rsidR="001F17B8" w:rsidRPr="00F36EA6" w:rsidRDefault="001F17B8" w:rsidP="005E336B">
      <w:pPr>
        <w:pStyle w:val="Text1"/>
      </w:pPr>
      <w:r>
        <w:t>Sans préjudice du paragraphe 2, dans les cas visés au premier alinéa</w:t>
      </w:r>
      <w:r w:rsidR="00003C87">
        <w:t xml:space="preserve"> du présent paragraphe</w:t>
      </w:r>
      <w:r>
        <w:t>, l'organisme d'autorégulation désigné transmet rapidement et de manière non filtrée les informations à la CRF.</w:t>
      </w:r>
    </w:p>
    <w:p w:rsidR="001F17B8" w:rsidRPr="00F36EA6" w:rsidRDefault="001F17B8" w:rsidP="005E336B">
      <w:pPr>
        <w:pStyle w:val="ManualNumPar1"/>
      </w:pPr>
      <w:r>
        <w:t>2.</w:t>
      </w:r>
      <w:r w:rsidR="00977D98">
        <w:tab/>
      </w:r>
      <w:r>
        <w:t>Les États membres n'appliquent pas les obligations prévues à l'article 3</w:t>
      </w:r>
      <w:r w:rsidR="00296EF9">
        <w:t>3</w:t>
      </w:r>
      <w:r w:rsidR="005E336B">
        <w:t xml:space="preserve">, paragraphe 1, aux </w:t>
      </w:r>
      <w:r>
        <w:t xml:space="preserve">notaires, aux membres des autres professions juridiques indépendantes, aux </w:t>
      </w:r>
      <w:r w:rsidRPr="00204AB4">
        <w:t>auditeurs</w:t>
      </w:r>
      <w:r>
        <w:t>, aux</w:t>
      </w:r>
      <w:r w:rsidR="005E336B">
        <w:t xml:space="preserve"> </w:t>
      </w:r>
      <w:r>
        <w:t>experts</w:t>
      </w:r>
      <w:r>
        <w:noBreakHyphen/>
        <w:t xml:space="preserve">comptables externes ni aux conseillers fiscaux, </w:t>
      </w:r>
      <w:r w:rsidR="002466C8">
        <w:t>uniquement dans</w:t>
      </w:r>
      <w:r w:rsidR="00F10486">
        <w:t xml:space="preserve"> la stricte </w:t>
      </w:r>
      <w:r w:rsidR="002466C8">
        <w:t>mesure où</w:t>
      </w:r>
      <w:r w:rsidR="00F10486">
        <w:t xml:space="preserve"> </w:t>
      </w:r>
      <w:r>
        <w:t xml:space="preserve">cette </w:t>
      </w:r>
      <w:r w:rsidR="002466C8">
        <w:t>exemption</w:t>
      </w:r>
      <w:r w:rsidR="00F10486">
        <w:t xml:space="preserve"> concerne </w:t>
      </w:r>
      <w:r w:rsidR="002466C8">
        <w:t>d</w:t>
      </w:r>
      <w:r w:rsidR="00F10486">
        <w:t>es</w:t>
      </w:r>
      <w:r>
        <w:t xml:space="preserve"> informations </w:t>
      </w:r>
      <w:r w:rsidR="002466C8">
        <w:t>qu'ils reçoivent</w:t>
      </w:r>
      <w:r>
        <w:t xml:space="preserve"> de l'un de leurs clients ou obt</w:t>
      </w:r>
      <w:r w:rsidR="002466C8">
        <w:t>iennent</w:t>
      </w:r>
      <w:r>
        <w:t xml:space="preserve"> sur l'un de leurs clients, lors de l'évaluation de la situation juridique de ce client ou dans l'exercice de leur mission de défense ou de représentation de ce client dans une procédure judiciaire ou concernant une telle procédure, y compris dans le cadre de conseils relatifs à la manière d'engager</w:t>
      </w:r>
      <w:r w:rsidR="005E336B">
        <w:t xml:space="preserve"> ou d'éviter une procédure, que </w:t>
      </w:r>
      <w:r>
        <w:t>ces informations soient reçues ou obtenues avant, pendant ou après cette procédure.</w:t>
      </w:r>
    </w:p>
    <w:p w:rsidR="001F17B8" w:rsidRPr="005E336B" w:rsidRDefault="00977D98" w:rsidP="005E336B">
      <w:pPr>
        <w:pStyle w:val="Titrearticle"/>
        <w:rPr>
          <w:noProof/>
        </w:rPr>
      </w:pPr>
      <w:r>
        <w:rPr>
          <w:noProof/>
        </w:rPr>
        <w:br w:type="page"/>
      </w:r>
      <w:r w:rsidR="001F17B8" w:rsidRPr="00666E6D">
        <w:rPr>
          <w:noProof/>
        </w:rPr>
        <w:t>Article 3</w:t>
      </w:r>
      <w:r w:rsidR="00296EF9">
        <w:rPr>
          <w:noProof/>
        </w:rPr>
        <w:t>5</w:t>
      </w:r>
    </w:p>
    <w:p w:rsidR="001F17B8" w:rsidRPr="00F36EA6" w:rsidRDefault="001F17B8" w:rsidP="002466C8">
      <w:pPr>
        <w:pStyle w:val="ManualNumPar1"/>
      </w:pPr>
      <w:r>
        <w:t>1.</w:t>
      </w:r>
      <w:r w:rsidR="00977D98">
        <w:tab/>
      </w:r>
      <w:r>
        <w:t xml:space="preserve">Les États membres </w:t>
      </w:r>
      <w:r w:rsidR="00F10486">
        <w:t>exigent des</w:t>
      </w:r>
      <w:r>
        <w:t xml:space="preserve"> </w:t>
      </w:r>
      <w:r w:rsidR="00870FFE">
        <w:t>entités assujetties</w:t>
      </w:r>
      <w:r>
        <w:t xml:space="preserve"> </w:t>
      </w:r>
      <w:r w:rsidR="00F10486">
        <w:t xml:space="preserve">qu'elles s'abstiennent </w:t>
      </w:r>
      <w:r>
        <w:t>d'</w:t>
      </w:r>
      <w:r w:rsidR="002466C8">
        <w:t>exécuter</w:t>
      </w:r>
      <w:r>
        <w:t xml:space="preserve"> toute transaction dont elles savent ou soupçonnent qu'elle est liée au produit d'une activité criminelle ou au financement du terrorisme, jusqu'à ce qu'elles aient mené à bien les actions nécessaires conformément à l'article 3</w:t>
      </w:r>
      <w:r w:rsidR="00296EF9">
        <w:t>3</w:t>
      </w:r>
      <w:r>
        <w:t xml:space="preserve">, paragraphe 1, </w:t>
      </w:r>
      <w:r w:rsidR="00F10486">
        <w:t xml:space="preserve">premier alinéa, </w:t>
      </w:r>
      <w:r>
        <w:t xml:space="preserve">point a), et </w:t>
      </w:r>
      <w:r w:rsidR="00D436FE">
        <w:t xml:space="preserve">qu'elles se soient conformées à </w:t>
      </w:r>
      <w:r>
        <w:t xml:space="preserve">toute autre instruction particulière émanant de la CRF ou des autorités compétentes conformément </w:t>
      </w:r>
      <w:r w:rsidR="00B206D9">
        <w:t xml:space="preserve">au droit </w:t>
      </w:r>
      <w:r>
        <w:t>de l'État membre concerné.</w:t>
      </w:r>
    </w:p>
    <w:p w:rsidR="001F17B8" w:rsidRPr="00F36EA6" w:rsidRDefault="001F17B8" w:rsidP="002466C8">
      <w:pPr>
        <w:pStyle w:val="ManualNumPar1"/>
      </w:pPr>
      <w:r>
        <w:t>2.</w:t>
      </w:r>
      <w:r w:rsidR="00977D98">
        <w:tab/>
      </w:r>
      <w:r>
        <w:t xml:space="preserve">Lorsqu'il n'est pas possible de s'abstenir </w:t>
      </w:r>
      <w:r w:rsidR="002466C8">
        <w:t>d'exécuter</w:t>
      </w:r>
      <w:r w:rsidR="00335F5B">
        <w:t xml:space="preserve"> </w:t>
      </w:r>
      <w:r>
        <w:t xml:space="preserve">une transaction visée au paragraphe 1 ou lorsque </w:t>
      </w:r>
      <w:r w:rsidR="00F10486">
        <w:t>cela</w:t>
      </w:r>
      <w:r>
        <w:t xml:space="preserve"> est susceptible d'entraver les efforts déployés pour pou</w:t>
      </w:r>
      <w:r w:rsidR="00D436FE">
        <w:t xml:space="preserve">rsuivre les bénéficiaires d'une </w:t>
      </w:r>
      <w:r>
        <w:t xml:space="preserve">opération suspecte, les </w:t>
      </w:r>
      <w:r w:rsidR="00870FFE">
        <w:t>entités assujetties</w:t>
      </w:r>
      <w:r>
        <w:t xml:space="preserve"> concernées </w:t>
      </w:r>
      <w:r w:rsidR="002466C8">
        <w:t xml:space="preserve">en </w:t>
      </w:r>
      <w:r>
        <w:t xml:space="preserve">informent </w:t>
      </w:r>
      <w:r w:rsidR="002466C8">
        <w:t xml:space="preserve">ensuite </w:t>
      </w:r>
      <w:r w:rsidR="00E66A73">
        <w:t xml:space="preserve">sans délai </w:t>
      </w:r>
      <w:r>
        <w:t>la CRF.</w:t>
      </w:r>
    </w:p>
    <w:p w:rsidR="001F17B8" w:rsidRPr="005E336B" w:rsidRDefault="001F17B8" w:rsidP="005E336B">
      <w:pPr>
        <w:pStyle w:val="Titrearticle"/>
        <w:rPr>
          <w:noProof/>
        </w:rPr>
      </w:pPr>
      <w:r w:rsidRPr="00666E6D">
        <w:rPr>
          <w:noProof/>
        </w:rPr>
        <w:t>Article</w:t>
      </w:r>
      <w:r>
        <w:rPr>
          <w:noProof/>
        </w:rPr>
        <w:t xml:space="preserve"> 3</w:t>
      </w:r>
      <w:r w:rsidR="00296EF9">
        <w:rPr>
          <w:noProof/>
        </w:rPr>
        <w:t>6</w:t>
      </w:r>
    </w:p>
    <w:p w:rsidR="001F17B8" w:rsidRPr="00F36EA6" w:rsidRDefault="001F17B8" w:rsidP="00003C87">
      <w:pPr>
        <w:pStyle w:val="ManualNumPar1"/>
        <w:rPr>
          <w:noProof/>
        </w:rPr>
      </w:pPr>
      <w:r>
        <w:t>1.</w:t>
      </w:r>
      <w:r w:rsidR="00977D98">
        <w:tab/>
      </w:r>
      <w:r>
        <w:t xml:space="preserve">Les États membres veillent à ce que les autorités compétentes </w:t>
      </w:r>
      <w:r w:rsidR="00F10486">
        <w:t>visées</w:t>
      </w:r>
      <w:r w:rsidR="00E66A73">
        <w:t xml:space="preserve"> </w:t>
      </w:r>
      <w:r>
        <w:t>à l'article 4</w:t>
      </w:r>
      <w:r w:rsidR="007B3FA8">
        <w:t>8</w:t>
      </w:r>
      <w:r>
        <w:t xml:space="preserve"> informent </w:t>
      </w:r>
      <w:r w:rsidR="00B206D9">
        <w:t xml:space="preserve">promptement </w:t>
      </w:r>
      <w:r>
        <w:t xml:space="preserve">la CRF si, au cours des </w:t>
      </w:r>
      <w:r w:rsidRPr="00980269">
        <w:t>inspections</w:t>
      </w:r>
      <w:r>
        <w:t xml:space="preserve"> qu'elles effectuent auprès des </w:t>
      </w:r>
      <w:r w:rsidR="00870FFE">
        <w:t>entités assujetties</w:t>
      </w:r>
      <w:r>
        <w:t>, ou de toute autre manière, elles découvrent des faits susceptibles d'être liés au blanchiment de capitaux ou au financement du terrorisme.</w:t>
      </w:r>
    </w:p>
    <w:p w:rsidR="001F17B8" w:rsidRPr="00F36EA6" w:rsidRDefault="001F17B8">
      <w:pPr>
        <w:pStyle w:val="ManualNumPar1"/>
        <w:rPr>
          <w:noProof/>
        </w:rPr>
      </w:pPr>
      <w:r>
        <w:t>2.</w:t>
      </w:r>
      <w:r w:rsidR="00977D98">
        <w:tab/>
      </w:r>
      <w:r>
        <w:t>Les États membres veillent à ce que l</w:t>
      </w:r>
      <w:r w:rsidR="00F10486">
        <w:t>es organes</w:t>
      </w:r>
      <w:r w:rsidRPr="00E66A73">
        <w:t xml:space="preserve"> de surveillance</w:t>
      </w:r>
      <w:r>
        <w:t xml:space="preserve"> habilité</w:t>
      </w:r>
      <w:r w:rsidR="00F10486">
        <w:t>s</w:t>
      </w:r>
      <w:r>
        <w:t xml:space="preserve"> en vertu de dispositions législatives ou réglementaires à surveiller les marchés boursiers, les marchés de devises et de produits financiers dérivés informe</w:t>
      </w:r>
      <w:r w:rsidR="00E85D1B">
        <w:t>nt</w:t>
      </w:r>
      <w:r>
        <w:t xml:space="preserve"> la CRF lorsqu'</w:t>
      </w:r>
      <w:r w:rsidR="00F10486">
        <w:t>ils</w:t>
      </w:r>
      <w:r>
        <w:t xml:space="preserve"> découvre</w:t>
      </w:r>
      <w:r w:rsidR="00F10486">
        <w:t>nt</w:t>
      </w:r>
      <w:r>
        <w:t xml:space="preserve"> des faits susceptibles d'être liés au blanchiment de capitaux ou au financement du terrorisme.</w:t>
      </w:r>
    </w:p>
    <w:p w:rsidR="001F17B8" w:rsidRPr="00977D98" w:rsidRDefault="001F17B8" w:rsidP="00296EF9">
      <w:pPr>
        <w:pStyle w:val="Titrearticle"/>
      </w:pPr>
      <w:r>
        <w:br w:type="page"/>
      </w:r>
      <w:r w:rsidRPr="00977D98">
        <w:t>Article 3</w:t>
      </w:r>
      <w:r w:rsidR="00296EF9">
        <w:t>7</w:t>
      </w:r>
    </w:p>
    <w:p w:rsidR="001F17B8" w:rsidRPr="00F36EA6" w:rsidRDefault="001F17B8" w:rsidP="002466C8">
      <w:pPr>
        <w:rPr>
          <w:noProof/>
        </w:rPr>
      </w:pPr>
      <w:r>
        <w:t xml:space="preserve">La divulgation d'informations effectuée de bonne foi par une </w:t>
      </w:r>
      <w:r w:rsidR="007468D1">
        <w:t>entité assujettie</w:t>
      </w:r>
      <w:r>
        <w:t xml:space="preserve">, </w:t>
      </w:r>
      <w:r w:rsidR="00B40D70">
        <w:t xml:space="preserve">ou </w:t>
      </w:r>
      <w:r>
        <w:t>par l'un de ses employés ou l'un de ses dirigeants</w:t>
      </w:r>
      <w:r w:rsidR="00825FCE">
        <w:t xml:space="preserve"> </w:t>
      </w:r>
      <w:r>
        <w:t>conformément aux articles 3</w:t>
      </w:r>
      <w:r w:rsidR="00296EF9">
        <w:t>3</w:t>
      </w:r>
      <w:r>
        <w:t xml:space="preserve"> et 3</w:t>
      </w:r>
      <w:r w:rsidR="00296EF9">
        <w:t>4</w:t>
      </w:r>
      <w:r>
        <w:t>, ne constitue pas une violation d'une quelconque restriction à la divulgation d'informations imposée par un contrat ou par une disposition législative, réglementaire ou administrative et n'entraîne, pour l'</w:t>
      </w:r>
      <w:r w:rsidR="007468D1">
        <w:t>entité assujettie</w:t>
      </w:r>
      <w:r>
        <w:t>,</w:t>
      </w:r>
      <w:r w:rsidR="00B40D70">
        <w:t xml:space="preserve"> </w:t>
      </w:r>
      <w:r w:rsidR="00003C87">
        <w:t>ou</w:t>
      </w:r>
      <w:r>
        <w:t xml:space="preserve"> pour ses employés ou ses dirigeants, aucune responsabilité d'aucune sorte, même dans une situation où ils n'avaient pas une connaissance précise de l'activité criminelle sous-jacente et ce, indépendamment du fait qu'une activité illicite </w:t>
      </w:r>
      <w:r w:rsidR="002466C8">
        <w:t>s'est</w:t>
      </w:r>
      <w:r>
        <w:t xml:space="preserve"> effectivement </w:t>
      </w:r>
      <w:r w:rsidR="002466C8">
        <w:t>produite</w:t>
      </w:r>
      <w:r>
        <w:t>.</w:t>
      </w:r>
    </w:p>
    <w:p w:rsidR="001F17B8" w:rsidRPr="00F36EA6" w:rsidRDefault="001F17B8" w:rsidP="00296EF9">
      <w:pPr>
        <w:pStyle w:val="Titrearticle"/>
        <w:rPr>
          <w:i w:val="0"/>
          <w:iCs/>
          <w:noProof/>
        </w:rPr>
      </w:pPr>
      <w:r>
        <w:rPr>
          <w:noProof/>
        </w:rPr>
        <w:t>Article 3</w:t>
      </w:r>
      <w:r w:rsidR="00296EF9">
        <w:rPr>
          <w:noProof/>
        </w:rPr>
        <w:t>8</w:t>
      </w:r>
    </w:p>
    <w:p w:rsidR="001F17B8" w:rsidRPr="00F36EA6" w:rsidRDefault="001F17B8" w:rsidP="002466C8">
      <w:r>
        <w:t xml:space="preserve">Les États membres font en sorte que les personnes, y compris les employés et les représentants de l'entité </w:t>
      </w:r>
      <w:r w:rsidR="002466C8">
        <w:t>assujettie</w:t>
      </w:r>
      <w:r>
        <w:t xml:space="preserve"> qui signalent, en interne ou à la CRF, un soupçon de blanchiment de capitaux ou de financement du terrorisme soient protégés de toute men</w:t>
      </w:r>
      <w:r w:rsidR="005E336B">
        <w:t xml:space="preserve">ace ou de tout acte hostile, et </w:t>
      </w:r>
      <w:r>
        <w:t>en particulier de toute mesure préjudiciable ou discriminatoire en matière d'emploi.</w:t>
      </w:r>
    </w:p>
    <w:p w:rsidR="001F17B8" w:rsidRPr="00F36EA6" w:rsidRDefault="001F17B8" w:rsidP="00977D98">
      <w:pPr>
        <w:pStyle w:val="SectionTitle"/>
      </w:pPr>
      <w:r>
        <w:t>Section 2</w:t>
      </w:r>
      <w:r w:rsidR="00977D98">
        <w:br/>
      </w:r>
      <w:r>
        <w:t>Interdiction de divulgation</w:t>
      </w:r>
    </w:p>
    <w:p w:rsidR="001F17B8" w:rsidRPr="00F36EA6" w:rsidRDefault="001F17B8" w:rsidP="00296EF9">
      <w:pPr>
        <w:pStyle w:val="Titrearticle"/>
        <w:rPr>
          <w:i w:val="0"/>
          <w:iCs/>
        </w:rPr>
      </w:pPr>
      <w:r>
        <w:t>Article</w:t>
      </w:r>
      <w:r>
        <w:rPr>
          <w:noProof/>
        </w:rPr>
        <w:t xml:space="preserve"> 3</w:t>
      </w:r>
      <w:r w:rsidR="00296EF9">
        <w:rPr>
          <w:noProof/>
        </w:rPr>
        <w:t>9</w:t>
      </w:r>
    </w:p>
    <w:p w:rsidR="001F17B8" w:rsidRPr="00F36EA6" w:rsidRDefault="001F17B8" w:rsidP="005E336B">
      <w:pPr>
        <w:pStyle w:val="ManualNumPar1"/>
      </w:pPr>
      <w:r>
        <w:t>1.</w:t>
      </w:r>
      <w:r w:rsidR="00977D98">
        <w:tab/>
      </w:r>
      <w:r>
        <w:t xml:space="preserve">Les </w:t>
      </w:r>
      <w:r w:rsidR="00870FFE">
        <w:t>entités assujetties</w:t>
      </w:r>
      <w:r>
        <w:t xml:space="preserve">, ainsi que leurs dirigeants et employés, ne révèlent ni au client concerné ni à des tiers que des informations sont, seront ou ont été transmises </w:t>
      </w:r>
      <w:r w:rsidR="00825FCE">
        <w:t xml:space="preserve">conformément </w:t>
      </w:r>
      <w:r w:rsidR="00E66A73">
        <w:t>à</w:t>
      </w:r>
      <w:r w:rsidR="005E336B">
        <w:t xml:space="preserve"> </w:t>
      </w:r>
      <w:r w:rsidR="00E66A73">
        <w:t>l'</w:t>
      </w:r>
      <w:r>
        <w:t>article 3</w:t>
      </w:r>
      <w:r w:rsidR="00296EF9">
        <w:t>3</w:t>
      </w:r>
      <w:r>
        <w:t xml:space="preserve"> </w:t>
      </w:r>
      <w:r w:rsidR="008A415D">
        <w:t xml:space="preserve">ou </w:t>
      </w:r>
      <w:r>
        <w:t>3</w:t>
      </w:r>
      <w:r w:rsidR="00296EF9">
        <w:t>4</w:t>
      </w:r>
      <w:r>
        <w:t xml:space="preserve"> ou qu'une analyse pour blanchiment de capitaux ou financement du terrorisme est en cours ou pourrait être ouverte.</w:t>
      </w:r>
    </w:p>
    <w:p w:rsidR="001F17B8" w:rsidRPr="00F36EA6" w:rsidRDefault="00977D98" w:rsidP="00977D98">
      <w:pPr>
        <w:pStyle w:val="ManualNumPar1"/>
      </w:pPr>
      <w:r>
        <w:br w:type="page"/>
      </w:r>
      <w:r w:rsidR="001F17B8">
        <w:t>2.</w:t>
      </w:r>
      <w:r>
        <w:tab/>
      </w:r>
      <w:r w:rsidR="001F17B8">
        <w:t>L'interdiction énoncée au paragraphe 1 ne concerne pas la divulgation aux autorités compétentes, y compris les organismes d'autorégulation, ni la divulgation à des fins répressives.</w:t>
      </w:r>
    </w:p>
    <w:p w:rsidR="001F17B8" w:rsidRPr="00F36EA6" w:rsidRDefault="001F17B8" w:rsidP="00B40D70">
      <w:pPr>
        <w:pStyle w:val="ManualNumPar1"/>
      </w:pPr>
      <w:r>
        <w:t>3.</w:t>
      </w:r>
      <w:r w:rsidR="00977D98">
        <w:tab/>
      </w:r>
      <w:r>
        <w:t xml:space="preserve">L'interdiction énoncée au paragraphe 1 n'empêche pas la divulgation entre les </w:t>
      </w:r>
      <w:r w:rsidR="00E66A73">
        <w:t>établissements de crédits et les établissements financiers</w:t>
      </w:r>
      <w:r>
        <w:t xml:space="preserve"> ni entre </w:t>
      </w:r>
      <w:r w:rsidRPr="00F10486">
        <w:t xml:space="preserve">ces </w:t>
      </w:r>
      <w:r w:rsidR="00F10486">
        <w:t>établissements</w:t>
      </w:r>
      <w:r>
        <w:t xml:space="preserve"> et leurs succursales et leurs filiales </w:t>
      </w:r>
      <w:r w:rsidRPr="00B40D70">
        <w:t>détenues majorit</w:t>
      </w:r>
      <w:r w:rsidR="00B40D70" w:rsidRPr="00B40D70">
        <w:t>airement</w:t>
      </w:r>
      <w:r>
        <w:t xml:space="preserve"> </w:t>
      </w:r>
      <w:r w:rsidR="00F10486">
        <w:t xml:space="preserve">situées </w:t>
      </w:r>
      <w:r>
        <w:t xml:space="preserve">dans des pays tiers, à condition que ces succursales et filiales détenues </w:t>
      </w:r>
      <w:r w:rsidR="00BA71C9">
        <w:t>majoritairement</w:t>
      </w:r>
      <w:r>
        <w:t xml:space="preserve"> respectent pleinement les politiques et procédures définies à l'échelle du groupe, y compris les procédures en matière de partage d'informations au sein du groupe, conformément à l'article 4</w:t>
      </w:r>
      <w:r w:rsidR="00E85D1B">
        <w:t>5</w:t>
      </w:r>
      <w:r>
        <w:t xml:space="preserve">, et que les politiques et procédures définies à l'échelle du groupe </w:t>
      </w:r>
      <w:r w:rsidR="00003C87">
        <w:t>respectent les</w:t>
      </w:r>
      <w:r>
        <w:t xml:space="preserve"> exigences </w:t>
      </w:r>
      <w:r w:rsidR="00003C87">
        <w:t xml:space="preserve">prévues </w:t>
      </w:r>
      <w:r>
        <w:t>dans la présente directive.</w:t>
      </w:r>
    </w:p>
    <w:p w:rsidR="001F17B8" w:rsidRPr="00F36EA6" w:rsidRDefault="001F17B8" w:rsidP="00296EF9">
      <w:pPr>
        <w:pStyle w:val="ManualNumPar1"/>
      </w:pPr>
      <w:r>
        <w:t>4.</w:t>
      </w:r>
      <w:r w:rsidR="00977D98">
        <w:tab/>
      </w:r>
      <w:r>
        <w:t xml:space="preserve">L'interdiction énoncée au paragraphe 1 n'empêche pas la divulgation entre les </w:t>
      </w:r>
      <w:r w:rsidR="00870FFE">
        <w:t>entités assujetties</w:t>
      </w:r>
      <w:r>
        <w:t xml:space="preserve"> visées à l'article 2, paragraphe 1, point 3) a) et b), ou entre entités de pays tiers imposant des obligations équivalentes à celles qui sont prévues dans la présente directive, qui exercent leurs activités professionnelles, salariées ou non, au sein de la même personne morale ou d'un</w:t>
      </w:r>
      <w:r w:rsidR="00E66A73">
        <w:t>e</w:t>
      </w:r>
      <w:r>
        <w:t xml:space="preserve"> structure plus large à laquelle la personne appartient et qui partage une propriété, une gestion </w:t>
      </w:r>
      <w:r w:rsidR="00003C87">
        <w:t>ou</w:t>
      </w:r>
      <w:r>
        <w:t xml:space="preserve"> un contrôle du respect des obligations communs.</w:t>
      </w:r>
    </w:p>
    <w:p w:rsidR="001F17B8" w:rsidRPr="00F36EA6" w:rsidRDefault="00977D98">
      <w:pPr>
        <w:pStyle w:val="ManualNumPar1"/>
      </w:pPr>
      <w:r>
        <w:br w:type="page"/>
      </w:r>
      <w:r w:rsidR="001F17B8">
        <w:t>5.</w:t>
      </w:r>
      <w:r>
        <w:tab/>
      </w:r>
      <w:r w:rsidR="001F17B8" w:rsidRPr="00980269">
        <w:t xml:space="preserve">En ce qui concerne les </w:t>
      </w:r>
      <w:r w:rsidR="00870FFE" w:rsidRPr="00980269">
        <w:t>entités assujetties</w:t>
      </w:r>
      <w:r w:rsidR="001F17B8" w:rsidRPr="00980269">
        <w:t xml:space="preserve"> visées à l'article 2, paragraphe 1, points 1) et 2) et point 3) a) et b), dans les cas concernant le même client et la même transaction faisant intervenir au moins deux </w:t>
      </w:r>
      <w:r w:rsidR="00870FFE" w:rsidRPr="00980269">
        <w:t>entités assujetties</w:t>
      </w:r>
      <w:r w:rsidR="001F17B8" w:rsidRPr="00980269">
        <w:t xml:space="preserve">, l'interdiction énoncée au paragraphe 1 </w:t>
      </w:r>
      <w:r w:rsidR="00825FCE" w:rsidRPr="00980269">
        <w:t xml:space="preserve">du présent article </w:t>
      </w:r>
      <w:r w:rsidR="001F17B8" w:rsidRPr="00980269">
        <w:t xml:space="preserve">n'empêche pas la divulgation entre les </w:t>
      </w:r>
      <w:r w:rsidR="00870FFE" w:rsidRPr="00980269">
        <w:t>entités assujetties</w:t>
      </w:r>
      <w:r w:rsidR="001F17B8" w:rsidRPr="00980269">
        <w:t xml:space="preserve"> concernées, à condition qu'il s'agisse d'entités d'un État membre, ou d'entités situées dans un pays tiers imposant des obligations équivalentes à celles qui sont prévues dans la présente directive, et qu'elles relèvent de la même catégorie professionnelle et soient soumises à des obligations en matière de secret professionnel et de protection des données à caractère personnel.</w:t>
      </w:r>
    </w:p>
    <w:p w:rsidR="001F17B8" w:rsidRPr="00F36EA6" w:rsidRDefault="001F17B8">
      <w:pPr>
        <w:pStyle w:val="ManualNumPar1"/>
      </w:pPr>
      <w:r>
        <w:t>6.</w:t>
      </w:r>
      <w:r w:rsidR="00977D98">
        <w:tab/>
      </w:r>
      <w:r>
        <w:t xml:space="preserve">Lorsque les </w:t>
      </w:r>
      <w:r w:rsidR="00870FFE">
        <w:t>entités assujetties</w:t>
      </w:r>
      <w:r>
        <w:t xml:space="preserve"> visées à l'article 2, paragraphe 1, point 3) a) et b), s'efforcent de dissuader un client de prendre part à une activité illégale, il n'y a pas divulgation au sens du paragraphe 1</w:t>
      </w:r>
      <w:r w:rsidR="00E66A73">
        <w:t xml:space="preserve"> du présent article</w:t>
      </w:r>
      <w:r>
        <w:t>.</w:t>
      </w:r>
    </w:p>
    <w:p w:rsidR="001F17B8" w:rsidRPr="00F36EA6" w:rsidRDefault="00977D98" w:rsidP="00977D98">
      <w:pPr>
        <w:pStyle w:val="ChapterTitle"/>
      </w:pPr>
      <w:r>
        <w:br w:type="page"/>
      </w:r>
      <w:r w:rsidR="001F17B8">
        <w:t>CHAPITRE V</w:t>
      </w:r>
      <w:r>
        <w:br/>
      </w:r>
      <w:r w:rsidR="001F17B8">
        <w:t xml:space="preserve">PROTECTION DES DONNÉES, </w:t>
      </w:r>
      <w:r w:rsidR="005E336B">
        <w:t>CONSERVATION</w:t>
      </w:r>
      <w:r w:rsidR="005E336B">
        <w:br/>
      </w:r>
      <w:r w:rsidR="001F17B8" w:rsidRPr="00B5114F">
        <w:t>DES DOCUMENTS ET PIÈCES</w:t>
      </w:r>
      <w:r w:rsidR="001F17B8">
        <w:t xml:space="preserve"> ET DONNÉES STATISTIQUES</w:t>
      </w:r>
    </w:p>
    <w:p w:rsidR="001F17B8" w:rsidRPr="00F36EA6" w:rsidRDefault="001F17B8" w:rsidP="00296EF9">
      <w:pPr>
        <w:pStyle w:val="Titrearticle"/>
        <w:rPr>
          <w:iCs/>
          <w:noProof/>
        </w:rPr>
      </w:pPr>
      <w:r>
        <w:rPr>
          <w:noProof/>
        </w:rPr>
        <w:t xml:space="preserve">Article </w:t>
      </w:r>
      <w:r w:rsidR="00296EF9">
        <w:rPr>
          <w:noProof/>
        </w:rPr>
        <w:t>40</w:t>
      </w:r>
    </w:p>
    <w:p w:rsidR="001F17B8" w:rsidRPr="00F36EA6" w:rsidRDefault="001F17B8" w:rsidP="00977D98">
      <w:pPr>
        <w:pStyle w:val="ManualNumPar1"/>
        <w:rPr>
          <w:noProof/>
        </w:rPr>
      </w:pPr>
      <w:r>
        <w:rPr>
          <w:noProof/>
        </w:rPr>
        <w:t>1.</w:t>
      </w:r>
      <w:r w:rsidR="00977D98">
        <w:rPr>
          <w:noProof/>
        </w:rPr>
        <w:tab/>
      </w:r>
      <w:r>
        <w:rPr>
          <w:noProof/>
        </w:rPr>
        <w:t xml:space="preserve">Les États </w:t>
      </w:r>
      <w:r>
        <w:t>membres</w:t>
      </w:r>
      <w:r>
        <w:rPr>
          <w:noProof/>
        </w:rPr>
        <w:t xml:space="preserve"> exigent des </w:t>
      </w:r>
      <w:r w:rsidR="00870FFE">
        <w:rPr>
          <w:noProof/>
        </w:rPr>
        <w:t>entités assujetties</w:t>
      </w:r>
      <w:r>
        <w:rPr>
          <w:noProof/>
        </w:rPr>
        <w:t xml:space="preserve"> qu'elles conservent les documents et informations ci-après, conformément au droit national, à des fins de prévention et de détection d'un éventuel blanchiment de capitaux ou d'un éventuel financement du terrorisme et des enquêtes en la matière par la CRF ou par d'autres autorités compétentes:</w:t>
      </w:r>
    </w:p>
    <w:p w:rsidR="00E66A73" w:rsidRDefault="001F17B8" w:rsidP="00D624B4">
      <w:pPr>
        <w:pStyle w:val="Point1"/>
        <w:rPr>
          <w:noProof/>
        </w:rPr>
      </w:pPr>
      <w:r>
        <w:rPr>
          <w:noProof/>
        </w:rPr>
        <w:t>a)</w:t>
      </w:r>
      <w:r w:rsidR="00977D98">
        <w:rPr>
          <w:noProof/>
        </w:rPr>
        <w:tab/>
      </w:r>
      <w:r>
        <w:rPr>
          <w:noProof/>
        </w:rPr>
        <w:t>en ce qui concerne les mesures de vigilance à l'égard de la clientèle, une copie des documents et informations qui sont nécessaires pour se conformer aux obligations de vigilance à</w:t>
      </w:r>
      <w:r w:rsidR="00D624B4">
        <w:rPr>
          <w:noProof/>
        </w:rPr>
        <w:t xml:space="preserve"> </w:t>
      </w:r>
      <w:r>
        <w:rPr>
          <w:noProof/>
        </w:rPr>
        <w:t xml:space="preserve">l'égard de la clientèle </w:t>
      </w:r>
      <w:r w:rsidR="00003C87">
        <w:rPr>
          <w:noProof/>
        </w:rPr>
        <w:t>prévues a</w:t>
      </w:r>
      <w:r w:rsidR="00F10486">
        <w:rPr>
          <w:noProof/>
        </w:rPr>
        <w:t>u chapitre II</w:t>
      </w:r>
      <w:r>
        <w:rPr>
          <w:noProof/>
        </w:rPr>
        <w:t>, pend</w:t>
      </w:r>
      <w:r w:rsidR="00D624B4">
        <w:rPr>
          <w:noProof/>
        </w:rPr>
        <w:t xml:space="preserve">ant cinq ans après la fin de la </w:t>
      </w:r>
      <w:r>
        <w:rPr>
          <w:noProof/>
        </w:rPr>
        <w:t xml:space="preserve">relation d'affaires avec le client ou </w:t>
      </w:r>
      <w:r w:rsidR="00003C87">
        <w:rPr>
          <w:noProof/>
        </w:rPr>
        <w:t xml:space="preserve">après </w:t>
      </w:r>
      <w:r>
        <w:rPr>
          <w:noProof/>
        </w:rPr>
        <w:t>la date de la transaction conclue à titre occasionnel</w:t>
      </w:r>
      <w:r w:rsidR="00E66A73">
        <w:rPr>
          <w:noProof/>
        </w:rPr>
        <w:t>;</w:t>
      </w:r>
    </w:p>
    <w:p w:rsidR="0020665E" w:rsidRDefault="001F17B8" w:rsidP="00B40D70">
      <w:pPr>
        <w:pStyle w:val="Point1"/>
        <w:rPr>
          <w:noProof/>
        </w:rPr>
      </w:pPr>
      <w:r>
        <w:rPr>
          <w:noProof/>
        </w:rPr>
        <w:t>b)</w:t>
      </w:r>
      <w:r w:rsidR="00977D98">
        <w:rPr>
          <w:noProof/>
        </w:rPr>
        <w:tab/>
      </w:r>
      <w:r>
        <w:rPr>
          <w:noProof/>
        </w:rPr>
        <w:t xml:space="preserve">les pièces justificatives et les enregistrements de transactions consistant en des documents originaux ou des copies recevables dans le cadre de procédures judiciaires au regard </w:t>
      </w:r>
      <w:r w:rsidR="003F3F9D">
        <w:rPr>
          <w:noProof/>
        </w:rPr>
        <w:t>du droit</w:t>
      </w:r>
      <w:r>
        <w:rPr>
          <w:noProof/>
        </w:rPr>
        <w:t xml:space="preserve"> national applicable, qui sont nécessaires pour identifier les transactions, pendant cinq ans après </w:t>
      </w:r>
      <w:r w:rsidR="00E66A73">
        <w:rPr>
          <w:noProof/>
        </w:rPr>
        <w:t xml:space="preserve">la fin de la relation d'affaires avec le client ou </w:t>
      </w:r>
      <w:r w:rsidR="00FA3F42">
        <w:rPr>
          <w:noProof/>
        </w:rPr>
        <w:t xml:space="preserve">après </w:t>
      </w:r>
      <w:r w:rsidR="00E66A73">
        <w:rPr>
          <w:noProof/>
        </w:rPr>
        <w:t>la date de la transact</w:t>
      </w:r>
      <w:r w:rsidR="0020665E">
        <w:rPr>
          <w:noProof/>
        </w:rPr>
        <w:t xml:space="preserve">ion </w:t>
      </w:r>
      <w:r w:rsidR="000131C2">
        <w:rPr>
          <w:noProof/>
        </w:rPr>
        <w:t xml:space="preserve">conclue </w:t>
      </w:r>
      <w:r w:rsidR="0020665E">
        <w:rPr>
          <w:noProof/>
        </w:rPr>
        <w:t>à titre occasionnel</w:t>
      </w:r>
      <w:r>
        <w:rPr>
          <w:noProof/>
        </w:rPr>
        <w:t>.</w:t>
      </w:r>
    </w:p>
    <w:p w:rsidR="001F17B8" w:rsidRPr="00F36EA6" w:rsidRDefault="00296EF9" w:rsidP="00D624B4">
      <w:pPr>
        <w:pStyle w:val="Text1"/>
        <w:rPr>
          <w:noProof/>
        </w:rPr>
      </w:pPr>
      <w:r>
        <w:rPr>
          <w:noProof/>
        </w:rPr>
        <w:br w:type="page"/>
      </w:r>
      <w:r w:rsidR="001F17B8">
        <w:rPr>
          <w:noProof/>
        </w:rPr>
        <w:t>À l'issue de</w:t>
      </w:r>
      <w:r w:rsidR="0020665E">
        <w:rPr>
          <w:noProof/>
        </w:rPr>
        <w:t>s</w:t>
      </w:r>
      <w:r w:rsidR="001F17B8">
        <w:rPr>
          <w:noProof/>
        </w:rPr>
        <w:t xml:space="preserve"> période</w:t>
      </w:r>
      <w:r w:rsidR="0020665E">
        <w:rPr>
          <w:noProof/>
        </w:rPr>
        <w:t>s</w:t>
      </w:r>
      <w:r w:rsidR="001F17B8">
        <w:rPr>
          <w:noProof/>
        </w:rPr>
        <w:t xml:space="preserve"> de conservation</w:t>
      </w:r>
      <w:r w:rsidR="0020665E">
        <w:rPr>
          <w:noProof/>
        </w:rPr>
        <w:t xml:space="preserve"> visées au premier alinéa</w:t>
      </w:r>
      <w:r w:rsidR="001F17B8">
        <w:rPr>
          <w:noProof/>
        </w:rPr>
        <w:t xml:space="preserve">, </w:t>
      </w:r>
      <w:r w:rsidR="0020665E">
        <w:rPr>
          <w:noProof/>
        </w:rPr>
        <w:t xml:space="preserve">les États membres veillent à ce que les </w:t>
      </w:r>
      <w:r w:rsidR="00870FFE">
        <w:rPr>
          <w:noProof/>
        </w:rPr>
        <w:t>entités assujetties</w:t>
      </w:r>
      <w:r w:rsidR="0020665E">
        <w:rPr>
          <w:noProof/>
        </w:rPr>
        <w:t xml:space="preserve"> effacent </w:t>
      </w:r>
      <w:r w:rsidR="001F17B8">
        <w:rPr>
          <w:noProof/>
        </w:rPr>
        <w:t xml:space="preserve">les données à caractère personnel sauf dispositions contraires </w:t>
      </w:r>
      <w:r w:rsidR="003F3F9D">
        <w:rPr>
          <w:noProof/>
        </w:rPr>
        <w:t>du droit</w:t>
      </w:r>
      <w:r w:rsidR="001F17B8">
        <w:rPr>
          <w:noProof/>
        </w:rPr>
        <w:t xml:space="preserve"> national, l</w:t>
      </w:r>
      <w:r w:rsidR="003F3F9D">
        <w:rPr>
          <w:noProof/>
        </w:rPr>
        <w:t>e</w:t>
      </w:r>
      <w:r w:rsidR="001F17B8">
        <w:rPr>
          <w:noProof/>
        </w:rPr>
        <w:t>quel précise dans quelles</w:t>
      </w:r>
      <w:r w:rsidR="001F17B8">
        <w:t xml:space="preserve"> </w:t>
      </w:r>
      <w:r w:rsidR="001F17B8">
        <w:rPr>
          <w:noProof/>
        </w:rPr>
        <w:t xml:space="preserve">circonstances les </w:t>
      </w:r>
      <w:r w:rsidR="00870FFE">
        <w:rPr>
          <w:noProof/>
        </w:rPr>
        <w:t>entités assujetties</w:t>
      </w:r>
      <w:r w:rsidR="001F17B8">
        <w:rPr>
          <w:noProof/>
        </w:rPr>
        <w:t xml:space="preserve"> peuvent ou doivent prolonger la conservation des données. Les États membres peuvent permettre ou exiger que les informations soient conservées plus longtemps après avoir minutieusement évalué la nécessité et la proportionnalité de cette</w:t>
      </w:r>
      <w:r w:rsidR="003F3F9D">
        <w:rPr>
          <w:noProof/>
        </w:rPr>
        <w:t xml:space="preserve"> conservation</w:t>
      </w:r>
      <w:r w:rsidR="001F17B8">
        <w:rPr>
          <w:noProof/>
        </w:rPr>
        <w:t xml:space="preserve"> prolong</w:t>
      </w:r>
      <w:r w:rsidR="003F3F9D">
        <w:rPr>
          <w:noProof/>
        </w:rPr>
        <w:t>ée</w:t>
      </w:r>
      <w:r w:rsidR="001F17B8">
        <w:rPr>
          <w:noProof/>
        </w:rPr>
        <w:t xml:space="preserve"> et si </w:t>
      </w:r>
      <w:r w:rsidR="0020665E">
        <w:rPr>
          <w:noProof/>
        </w:rPr>
        <w:t>elle</w:t>
      </w:r>
      <w:r w:rsidR="001F17B8">
        <w:rPr>
          <w:noProof/>
        </w:rPr>
        <w:t xml:space="preserve"> a été jugée nécessaire aux fins de prévenir ou de détecter des actes de blanchiment de capitaux ou de financement du terrorisme ou d'enquêter </w:t>
      </w:r>
      <w:r w:rsidR="00FA3F42">
        <w:rPr>
          <w:noProof/>
        </w:rPr>
        <w:t>en la matière</w:t>
      </w:r>
      <w:r w:rsidR="001F17B8">
        <w:rPr>
          <w:noProof/>
        </w:rPr>
        <w:t xml:space="preserve">. </w:t>
      </w:r>
      <w:r w:rsidR="0020665E">
        <w:rPr>
          <w:noProof/>
        </w:rPr>
        <w:t>Cette nouvelle</w:t>
      </w:r>
      <w:r w:rsidR="001F17B8">
        <w:rPr>
          <w:noProof/>
        </w:rPr>
        <w:t xml:space="preserve"> période de conservation ne dépasse pas cinq années</w:t>
      </w:r>
      <w:r w:rsidR="00004D53">
        <w:rPr>
          <w:noProof/>
        </w:rPr>
        <w:t xml:space="preserve"> </w:t>
      </w:r>
      <w:r w:rsidR="00B40D70">
        <w:rPr>
          <w:noProof/>
        </w:rPr>
        <w:t>supplémentaires</w:t>
      </w:r>
      <w:r w:rsidR="001F17B8">
        <w:rPr>
          <w:noProof/>
        </w:rPr>
        <w:t>.</w:t>
      </w:r>
    </w:p>
    <w:p w:rsidR="001F17B8" w:rsidRPr="00F36EA6" w:rsidRDefault="001F17B8" w:rsidP="00D624B4">
      <w:pPr>
        <w:pStyle w:val="ManualNumPar1"/>
      </w:pPr>
      <w:r>
        <w:t>2.</w:t>
      </w:r>
      <w:r w:rsidR="00977D98">
        <w:tab/>
      </w:r>
      <w:r>
        <w:t xml:space="preserve">Si, </w:t>
      </w:r>
      <w:r w:rsidR="00FA3F42">
        <w:t>au</w:t>
      </w:r>
      <w:r w:rsidR="008A415D">
        <w:t xml:space="preserve"> …</w:t>
      </w:r>
      <w:r w:rsidR="008A415D">
        <w:rPr>
          <w:rStyle w:val="FootnoteReference"/>
        </w:rPr>
        <w:footnoteReference w:customMarkFollows="1" w:id="39"/>
        <w:t>*</w:t>
      </w:r>
      <w:r>
        <w:t>, des procédures judicia</w:t>
      </w:r>
      <w:r w:rsidR="00D624B4">
        <w:t xml:space="preserve">ires sont en cours dans un État </w:t>
      </w:r>
      <w:r>
        <w:t xml:space="preserve">membre concernant la prévention ou la détection de cas présumés de blanchiment de capitaux ou de financement du terrorisme ou des enquêtes ou poursuites </w:t>
      </w:r>
      <w:r w:rsidR="00FA3F42">
        <w:t>en la matière</w:t>
      </w:r>
      <w:r>
        <w:t xml:space="preserve"> et qu'une </w:t>
      </w:r>
      <w:r w:rsidR="007468D1">
        <w:t>entité assujettie</w:t>
      </w:r>
      <w:r>
        <w:t xml:space="preserve"> détient des informations ou des documents relatifs à ces procédures en cours, </w:t>
      </w:r>
      <w:r w:rsidR="0020665E">
        <w:t>l'</w:t>
      </w:r>
      <w:r w:rsidR="007468D1">
        <w:t>entité assujettie</w:t>
      </w:r>
      <w:r w:rsidR="0020665E">
        <w:t xml:space="preserve"> peut conserver </w:t>
      </w:r>
      <w:r>
        <w:t xml:space="preserve">ces informations ou documents conformément </w:t>
      </w:r>
      <w:r w:rsidR="003F3F9D">
        <w:t>au droit</w:t>
      </w:r>
      <w:r>
        <w:t xml:space="preserve"> national, pendant une période de cinq ans à compter </w:t>
      </w:r>
      <w:r w:rsidR="0020665E">
        <w:t>du …</w:t>
      </w:r>
      <w:r w:rsidR="00D624B4" w:rsidRPr="00D624B4">
        <w:rPr>
          <w:b/>
          <w:bCs/>
          <w:vertAlign w:val="superscript"/>
        </w:rPr>
        <w:t>*</w:t>
      </w:r>
      <w:r>
        <w:t xml:space="preserve">. Les États membres peuvent, sans préjudice du droit pénal national </w:t>
      </w:r>
      <w:r w:rsidR="00FA3F42">
        <w:t>relatif à la</w:t>
      </w:r>
      <w:r>
        <w:t xml:space="preserve"> preuve applicable aux enquêtes criminelles et aux procédures judiciaires en cours, permettre ou exiger que ces informations</w:t>
      </w:r>
      <w:r w:rsidR="0020665E">
        <w:t xml:space="preserve"> ou documents</w:t>
      </w:r>
      <w:r>
        <w:t xml:space="preserve"> soient conservés pendant une période supplémentaire de cinq ans, lorsque la nécessité et la proportionnalité de cette </w:t>
      </w:r>
      <w:r w:rsidR="00F10486">
        <w:t>conservation prolongée</w:t>
      </w:r>
      <w:r>
        <w:t xml:space="preserve"> a été établie aux fins de prévenir ou de détecter des cas présumés de blanchiment de capitaux ou de financement du terrorisme ou de mener des enquêtes ou des poursuites </w:t>
      </w:r>
      <w:r w:rsidR="00E56C6F">
        <w:t>en la matière</w:t>
      </w:r>
      <w:r>
        <w:t>.</w:t>
      </w:r>
    </w:p>
    <w:p w:rsidR="001F17B8" w:rsidRPr="00F36EA6" w:rsidRDefault="00D624B4" w:rsidP="00296EF9">
      <w:pPr>
        <w:pStyle w:val="Titrearticle"/>
        <w:rPr>
          <w:iCs/>
        </w:rPr>
      </w:pPr>
      <w:r>
        <w:br w:type="page"/>
        <w:t xml:space="preserve">Article </w:t>
      </w:r>
      <w:r w:rsidR="00296EF9">
        <w:t>41</w:t>
      </w:r>
    </w:p>
    <w:p w:rsidR="001F17B8" w:rsidRPr="00F36EA6" w:rsidRDefault="001F17B8" w:rsidP="00E56C6F">
      <w:pPr>
        <w:pStyle w:val="ManualNumPar1"/>
      </w:pPr>
      <w:r>
        <w:t>1.</w:t>
      </w:r>
      <w:r w:rsidR="00977D98">
        <w:tab/>
      </w:r>
      <w:r w:rsidR="00E56C6F">
        <w:t>Le</w:t>
      </w:r>
      <w:r w:rsidR="00D624B4">
        <w:t xml:space="preserve"> traitement des </w:t>
      </w:r>
      <w:r>
        <w:t xml:space="preserve">données à caractère personnel </w:t>
      </w:r>
      <w:r w:rsidR="00E56C6F">
        <w:t>en vertu de la présente directive est soumis à la directive 95/46/CE, telle qu'elle a été transposée en droit national</w:t>
      </w:r>
      <w:r>
        <w:t xml:space="preserve">. </w:t>
      </w:r>
      <w:r w:rsidR="00E56C6F">
        <w:t xml:space="preserve">Les données à caractère personnel qui sont traitées au titre de la présente directive par la Commission ou les AES sont soumises au </w:t>
      </w:r>
      <w:r w:rsidR="00D624B4">
        <w:t>règlement (CE) n° </w:t>
      </w:r>
      <w:r>
        <w:t>45/2001.</w:t>
      </w:r>
    </w:p>
    <w:p w:rsidR="001F17B8" w:rsidRPr="00F36EA6" w:rsidRDefault="001F17B8" w:rsidP="00E56C6F">
      <w:pPr>
        <w:pStyle w:val="ManualNumPar1"/>
      </w:pPr>
      <w:r>
        <w:t>2.</w:t>
      </w:r>
      <w:r w:rsidR="00977D98">
        <w:tab/>
      </w:r>
      <w:r>
        <w:t xml:space="preserve">Les données à caractère personnel ne sont traitées </w:t>
      </w:r>
      <w:r w:rsidR="003F3F9D">
        <w:t xml:space="preserve">sur la base de la présente directive </w:t>
      </w:r>
      <w:r>
        <w:t xml:space="preserve">par des </w:t>
      </w:r>
      <w:r w:rsidR="00870FFE">
        <w:t>entités assujetties</w:t>
      </w:r>
      <w:r>
        <w:t xml:space="preserve"> </w:t>
      </w:r>
      <w:r w:rsidR="00E56C6F">
        <w:t>qu'</w:t>
      </w:r>
      <w:r>
        <w:t>aux fins de la prévention du blanchiment de capitaux et du financement du terrorisme, au sens de l'article 1</w:t>
      </w:r>
      <w:r>
        <w:rPr>
          <w:vertAlign w:val="superscript"/>
        </w:rPr>
        <w:t>er</w:t>
      </w:r>
      <w:r>
        <w:t>, et ne font pas l'objet d'un traitement ultérieur d'une manière incompatible avec lesdites finalités. Le traitement des données à caractère personnel sur la base de la présente directive pour toute autre finalité, par exemple à des fins commerciales, est interdit.</w:t>
      </w:r>
    </w:p>
    <w:p w:rsidR="001F17B8" w:rsidRPr="00F36EA6" w:rsidRDefault="001F17B8" w:rsidP="00977D98">
      <w:pPr>
        <w:pStyle w:val="ManualNumPar1"/>
        <w:rPr>
          <w:noProof/>
        </w:rPr>
      </w:pPr>
      <w:r>
        <w:rPr>
          <w:noProof/>
        </w:rPr>
        <w:t>3.</w:t>
      </w:r>
      <w:r w:rsidR="00977D98">
        <w:rPr>
          <w:noProof/>
        </w:rPr>
        <w:tab/>
      </w:r>
      <w:r>
        <w:rPr>
          <w:noProof/>
        </w:rPr>
        <w:t xml:space="preserve">Les </w:t>
      </w:r>
      <w:r w:rsidR="00870FFE">
        <w:rPr>
          <w:noProof/>
        </w:rPr>
        <w:t>entités assujetties</w:t>
      </w:r>
      <w:r>
        <w:rPr>
          <w:noProof/>
        </w:rPr>
        <w:t xml:space="preserve"> communiquent aux nouveaux clients les informations requises </w:t>
      </w:r>
      <w:r w:rsidR="003F3F9D">
        <w:rPr>
          <w:noProof/>
        </w:rPr>
        <w:t xml:space="preserve">en vertu de </w:t>
      </w:r>
      <w:r>
        <w:rPr>
          <w:noProof/>
        </w:rPr>
        <w:t xml:space="preserve">l'article 10 de la directive 95/46/CE avant </w:t>
      </w:r>
      <w:r w:rsidR="00C6391C">
        <w:rPr>
          <w:noProof/>
        </w:rPr>
        <w:t>de nouer</w:t>
      </w:r>
      <w:r>
        <w:rPr>
          <w:noProof/>
        </w:rPr>
        <w:t xml:space="preserve"> une relation d'affaires ou d'exécuter une transaction à titre occasionnel. Ces informations contiennent en particulier un avertissement général concernant les obligations légales </w:t>
      </w:r>
      <w:r w:rsidR="000131C2">
        <w:rPr>
          <w:noProof/>
        </w:rPr>
        <w:t>des entités assujetties au titre de la présente directive en ce qui concerne le traitement</w:t>
      </w:r>
      <w:r>
        <w:rPr>
          <w:noProof/>
        </w:rPr>
        <w:t xml:space="preserve"> des données à caractère personnel aux fins de la prévention du blanchiment de capitaux et du financement du terrorisme visés à l'article 1</w:t>
      </w:r>
      <w:r>
        <w:rPr>
          <w:noProof/>
          <w:vertAlign w:val="superscript"/>
        </w:rPr>
        <w:t>er</w:t>
      </w:r>
      <w:r w:rsidR="0020665E">
        <w:rPr>
          <w:noProof/>
        </w:rPr>
        <w:t xml:space="preserve"> de la présente directive</w:t>
      </w:r>
      <w:r w:rsidR="00D624B4">
        <w:rPr>
          <w:noProof/>
        </w:rPr>
        <w:t>.</w:t>
      </w:r>
    </w:p>
    <w:p w:rsidR="001F17B8" w:rsidRPr="00F36EA6" w:rsidRDefault="00D624B4" w:rsidP="00296EF9">
      <w:pPr>
        <w:pStyle w:val="ManualNumPar1"/>
        <w:rPr>
          <w:noProof/>
        </w:rPr>
      </w:pPr>
      <w:r>
        <w:rPr>
          <w:noProof/>
        </w:rPr>
        <w:br w:type="page"/>
      </w:r>
      <w:r w:rsidR="001F17B8">
        <w:rPr>
          <w:noProof/>
        </w:rPr>
        <w:t>4.</w:t>
      </w:r>
      <w:r w:rsidR="00977D98">
        <w:rPr>
          <w:noProof/>
        </w:rPr>
        <w:tab/>
      </w:r>
      <w:r w:rsidR="001F17B8">
        <w:t>En</w:t>
      </w:r>
      <w:r w:rsidR="001F17B8">
        <w:rPr>
          <w:noProof/>
        </w:rPr>
        <w:t xml:space="preserve"> application de l'interdiction de divulgation prévue à l'article </w:t>
      </w:r>
      <w:r w:rsidR="00296EF9">
        <w:rPr>
          <w:noProof/>
        </w:rPr>
        <w:t>39</w:t>
      </w:r>
      <w:r w:rsidR="001F17B8">
        <w:rPr>
          <w:noProof/>
        </w:rPr>
        <w:t xml:space="preserve">, paragraphe 1, les États membres adoptent des </w:t>
      </w:r>
      <w:r w:rsidR="001F17B8">
        <w:t>dispositions</w:t>
      </w:r>
      <w:r w:rsidR="001F17B8">
        <w:rPr>
          <w:noProof/>
        </w:rPr>
        <w:t xml:space="preserve"> législatives restreignant, partiellement ou totalement, le droit d'accès de la personne concernée aux données à caractère personnel la concernant, dans la mesure où cette restriction partielle ou totale constitue une mesure nécessaire et proportionnée dans une société démocratique, dans le respect des intérêts légitimes de la personne concernée:</w:t>
      </w:r>
    </w:p>
    <w:p w:rsidR="001F17B8" w:rsidRPr="00F36EA6" w:rsidRDefault="001F17B8" w:rsidP="00977D98">
      <w:pPr>
        <w:pStyle w:val="Point1"/>
        <w:rPr>
          <w:noProof/>
        </w:rPr>
      </w:pPr>
      <w:r>
        <w:rPr>
          <w:noProof/>
        </w:rPr>
        <w:t>a)</w:t>
      </w:r>
      <w:r w:rsidR="00977D98">
        <w:tab/>
      </w:r>
      <w:r>
        <w:rPr>
          <w:noProof/>
        </w:rPr>
        <w:t>pour permettre à l'</w:t>
      </w:r>
      <w:r w:rsidR="007468D1">
        <w:rPr>
          <w:noProof/>
        </w:rPr>
        <w:t>entité assujettie</w:t>
      </w:r>
      <w:r>
        <w:rPr>
          <w:noProof/>
        </w:rPr>
        <w:t xml:space="preserve"> ou à l'autorité nationale compétente d'accomplir ses tâches comme il convient aux fins de la présente directive; ou</w:t>
      </w:r>
    </w:p>
    <w:p w:rsidR="001F17B8" w:rsidRPr="00F36EA6" w:rsidRDefault="001F17B8" w:rsidP="00977D98">
      <w:pPr>
        <w:pStyle w:val="Point1"/>
      </w:pPr>
      <w:r>
        <w:t>b)</w:t>
      </w:r>
      <w:r w:rsidR="00977D98">
        <w:tab/>
      </w:r>
      <w:r>
        <w:t>pour éviter de faire obstacle aux demandes de renseignements, analyses, enquêtes ou procédures à caractère officiel ou judiciaire, menées aux fins de la présente directive et pour ne pas compromettre la prévention et la détection des cas de blanchiment de capitaux ou de financement du terrorisme ni les enquêtes en la matière.</w:t>
      </w:r>
    </w:p>
    <w:p w:rsidR="001F17B8" w:rsidRPr="00D624B4" w:rsidRDefault="001F17B8" w:rsidP="00D624B4">
      <w:pPr>
        <w:pStyle w:val="Titrearticle"/>
      </w:pPr>
      <w:r>
        <w:t xml:space="preserve">Article </w:t>
      </w:r>
      <w:r w:rsidR="00296EF9">
        <w:t>42</w:t>
      </w:r>
    </w:p>
    <w:p w:rsidR="001F17B8" w:rsidRPr="00F36EA6" w:rsidRDefault="001F17B8" w:rsidP="00E56C6F">
      <w:pPr>
        <w:rPr>
          <w:noProof/>
        </w:rPr>
      </w:pPr>
      <w:r>
        <w:t xml:space="preserve">Les États membres exigent de leurs </w:t>
      </w:r>
      <w:r w:rsidR="00870FFE">
        <w:t>entités assujetties</w:t>
      </w:r>
      <w:r>
        <w:t xml:space="preserve"> qu'elles disposent de systèmes leur permettant de répondre de manière rapide et complète aux demandes d'informations émanant de l</w:t>
      </w:r>
      <w:r w:rsidR="0020665E">
        <w:t>eur</w:t>
      </w:r>
      <w:r>
        <w:t xml:space="preserve"> CRF, ou d'autres autorités, agissant dans le cadre du droit national, tendant à déterminer si elles entretiennent ou ont entretenu au cours des cinq années précéd</w:t>
      </w:r>
      <w:r w:rsidR="0020665E">
        <w:t>a</w:t>
      </w:r>
      <w:r>
        <w:t>nt</w:t>
      </w:r>
      <w:r w:rsidR="0020665E">
        <w:t xml:space="preserve"> cette demande</w:t>
      </w:r>
      <w:r>
        <w:t xml:space="preserve"> une relation d'affaires avec une personne donnée et quelle est ou a été la nature de cette relation, par l'intermédiaire de canaux sécurisés et d'une manière garantissant la confidentialité totale</w:t>
      </w:r>
      <w:r w:rsidR="00F10486">
        <w:t xml:space="preserve"> des demandes d'informations</w:t>
      </w:r>
      <w:r>
        <w:t>.</w:t>
      </w:r>
    </w:p>
    <w:p w:rsidR="001F17B8" w:rsidRPr="00F36EA6" w:rsidRDefault="00977D98" w:rsidP="00296EF9">
      <w:pPr>
        <w:pStyle w:val="Titrearticle"/>
        <w:rPr>
          <w:iCs/>
          <w:noProof/>
        </w:rPr>
      </w:pPr>
      <w:r>
        <w:rPr>
          <w:noProof/>
        </w:rPr>
        <w:br w:type="page"/>
      </w:r>
      <w:r w:rsidR="001F17B8">
        <w:rPr>
          <w:noProof/>
        </w:rPr>
        <w:t>Article </w:t>
      </w:r>
      <w:r w:rsidR="00296EF9">
        <w:rPr>
          <w:noProof/>
        </w:rPr>
        <w:t>43</w:t>
      </w:r>
    </w:p>
    <w:p w:rsidR="001F17B8" w:rsidRPr="00F36EA6" w:rsidRDefault="001F17B8" w:rsidP="00D624B4">
      <w:r>
        <w:t>Le traitement de données à caractère personnel sur la base de la pr</w:t>
      </w:r>
      <w:r w:rsidR="00D624B4">
        <w:t xml:space="preserve">ésente directive aux fins de la </w:t>
      </w:r>
      <w:r>
        <w:t>prévention du blanchiment de capitaux et du financement du terrorisme visés à l'article 1</w:t>
      </w:r>
      <w:r>
        <w:rPr>
          <w:vertAlign w:val="superscript"/>
        </w:rPr>
        <w:t>er</w:t>
      </w:r>
      <w:r>
        <w:t xml:space="preserve"> est considéré comme une question d'intérêt public au titre de la directive 95/46/CE.</w:t>
      </w:r>
    </w:p>
    <w:p w:rsidR="001F17B8" w:rsidRPr="00F36EA6" w:rsidRDefault="001F17B8" w:rsidP="00296EF9">
      <w:pPr>
        <w:pStyle w:val="Titrearticle"/>
        <w:rPr>
          <w:i w:val="0"/>
          <w:iCs/>
          <w:noProof/>
        </w:rPr>
      </w:pPr>
      <w:r>
        <w:rPr>
          <w:noProof/>
        </w:rPr>
        <w:t xml:space="preserve">Article </w:t>
      </w:r>
      <w:r w:rsidR="00296EF9">
        <w:rPr>
          <w:noProof/>
        </w:rPr>
        <w:t>44</w:t>
      </w:r>
    </w:p>
    <w:p w:rsidR="001F17B8" w:rsidRPr="000E6602" w:rsidRDefault="001F17B8" w:rsidP="00E56C6F">
      <w:pPr>
        <w:pStyle w:val="ManualNumPar1"/>
        <w:rPr>
          <w:noProof/>
        </w:rPr>
      </w:pPr>
      <w:r w:rsidRPr="000E6602">
        <w:t>1.</w:t>
      </w:r>
      <w:r w:rsidR="00977D98">
        <w:tab/>
      </w:r>
      <w:r w:rsidRPr="000E6602">
        <w:t xml:space="preserve">Afin de contribuer à l'élaboration des évaluations des risques en application de l'article 7, les États membres font en sorte d'être en mesure d'évaluer l'efficacité de leurs systèmes de lutte contre le blanchiment de capitaux ou le financement du terrorisme, en </w:t>
      </w:r>
      <w:r w:rsidRPr="0020665E">
        <w:t>tenant</w:t>
      </w:r>
      <w:r w:rsidRPr="000E6602">
        <w:t xml:space="preserve"> des statistiques complètes sur les aspects pertinents du point de vue de cette efficacité.</w:t>
      </w:r>
    </w:p>
    <w:p w:rsidR="001F17B8" w:rsidRPr="00F36EA6" w:rsidRDefault="001F17B8" w:rsidP="00732871">
      <w:pPr>
        <w:pStyle w:val="ManualNumPar1"/>
        <w:rPr>
          <w:noProof/>
        </w:rPr>
      </w:pPr>
      <w:r w:rsidRPr="000E6602">
        <w:t>2.</w:t>
      </w:r>
      <w:r w:rsidR="00977D98">
        <w:tab/>
      </w:r>
      <w:r w:rsidRPr="000E6602">
        <w:t>Les statistiques visées au paragraphe</w:t>
      </w:r>
      <w:r>
        <w:t> 1 comprennent:</w:t>
      </w:r>
    </w:p>
    <w:p w:rsidR="001F17B8" w:rsidRPr="00F36EA6" w:rsidRDefault="001F17B8" w:rsidP="00977D98">
      <w:pPr>
        <w:pStyle w:val="Point1"/>
        <w:rPr>
          <w:noProof/>
        </w:rPr>
      </w:pPr>
      <w:r>
        <w:t>a)</w:t>
      </w:r>
      <w:r w:rsidR="00977D98">
        <w:tab/>
      </w:r>
      <w:r>
        <w:t>des données mesurant la taille et l'importance des différents secteurs entrant dans le champ d'application de la présente directive, notamment le nombre d'entités et de personnes ainsi que l'importance économique de chaque secteur;</w:t>
      </w:r>
    </w:p>
    <w:p w:rsidR="001F17B8" w:rsidRPr="00F36EA6" w:rsidRDefault="001F17B8" w:rsidP="00C91F3C">
      <w:pPr>
        <w:pStyle w:val="Point1"/>
      </w:pPr>
      <w:r>
        <w:t>b)</w:t>
      </w:r>
      <w:r w:rsidR="00977D98">
        <w:tab/>
      </w:r>
      <w:r>
        <w:t xml:space="preserve">des données mesurant les phases de déclaration et d'enquête et les phases judiciaires du système national de lutte contre le blanchiment de capitaux et le financement du terrorisme, notamment le nombre de </w:t>
      </w:r>
      <w:r w:rsidR="00650A73">
        <w:t xml:space="preserve">déclarations </w:t>
      </w:r>
      <w:r>
        <w:t>de transactions suspectes présenté</w:t>
      </w:r>
      <w:r w:rsidR="00004D53">
        <w:t>e</w:t>
      </w:r>
      <w:r>
        <w:t xml:space="preserve">s à la CRF, les suites données à ces </w:t>
      </w:r>
      <w:r w:rsidR="00E359B3">
        <w:t xml:space="preserve">déclarations </w:t>
      </w:r>
      <w:r>
        <w:t xml:space="preserve">et, sur une base annuelle, le nombre d'affaires instruites, de personnes poursuivies et de personnes condamnées pour blanchiment de capitaux ou financement du terrorisme, les types d'infractions </w:t>
      </w:r>
      <w:r w:rsidR="00C91F3C">
        <w:t>sous-jacentes associées</w:t>
      </w:r>
      <w:r>
        <w:t>, lorsque ces informations sont disponibles, ainsi que la valeur en euros des biens gelés, saisis ou confisqués;</w:t>
      </w:r>
    </w:p>
    <w:p w:rsidR="001F17B8" w:rsidRPr="00F36EA6" w:rsidRDefault="00977D98">
      <w:pPr>
        <w:pStyle w:val="Point1"/>
        <w:rPr>
          <w:noProof/>
        </w:rPr>
      </w:pPr>
      <w:r>
        <w:br w:type="page"/>
      </w:r>
      <w:r w:rsidR="00296EF9" w:rsidRPr="00320A3E">
        <w:t>c</w:t>
      </w:r>
      <w:r w:rsidR="001F17B8" w:rsidRPr="000131C2">
        <w:t>)</w:t>
      </w:r>
      <w:r>
        <w:tab/>
      </w:r>
      <w:r w:rsidR="001F17B8">
        <w:t>s'il en existe, des données permettant de déterminer</w:t>
      </w:r>
      <w:r w:rsidR="00D624B4">
        <w:t xml:space="preserve"> le nombre et le pourcentage de </w:t>
      </w:r>
      <w:r w:rsidR="00650A73">
        <w:t xml:space="preserve">déclarations </w:t>
      </w:r>
      <w:r w:rsidR="001F17B8">
        <w:t xml:space="preserve">donnant lieu à une enquête ultérieure, </w:t>
      </w:r>
      <w:r w:rsidR="00AB0E6F">
        <w:t>ainsi qu'</w:t>
      </w:r>
      <w:r w:rsidR="001F17B8">
        <w:t>un rapport annuel adressé aux </w:t>
      </w:r>
      <w:r w:rsidR="00870FFE">
        <w:t>entités assujetties</w:t>
      </w:r>
      <w:r w:rsidR="001F17B8">
        <w:t xml:space="preserve"> pour leur fournir des précisions sur l'utilité et le suivi de leurs </w:t>
      </w:r>
      <w:r w:rsidR="00650A73">
        <w:t>déclarations</w:t>
      </w:r>
      <w:r w:rsidR="001F17B8">
        <w:t>;</w:t>
      </w:r>
    </w:p>
    <w:p w:rsidR="001F17B8" w:rsidRPr="00F36EA6" w:rsidRDefault="00296EF9" w:rsidP="00296EF9">
      <w:pPr>
        <w:pStyle w:val="Point1"/>
        <w:rPr>
          <w:noProof/>
        </w:rPr>
      </w:pPr>
      <w:r w:rsidRPr="00320A3E">
        <w:t>d</w:t>
      </w:r>
      <w:r w:rsidR="001F17B8" w:rsidRPr="000131C2">
        <w:t>)</w:t>
      </w:r>
      <w:r w:rsidR="00977D98">
        <w:tab/>
      </w:r>
      <w:r w:rsidR="001F17B8">
        <w:t>des données concernant le nombre de demandes d'informations transfront</w:t>
      </w:r>
      <w:r w:rsidR="00E56C6F">
        <w:t>al</w:t>
      </w:r>
      <w:r w:rsidR="001F17B8">
        <w:t>ières qui ont été formulées, reçues, rejetées et auxquelles une réponse partielle ou complète a été donnée par la CRF.</w:t>
      </w:r>
    </w:p>
    <w:p w:rsidR="008A415D" w:rsidRDefault="001F17B8" w:rsidP="00977D98">
      <w:pPr>
        <w:pStyle w:val="ManualNumPar1"/>
      </w:pPr>
      <w:r>
        <w:t>3.</w:t>
      </w:r>
      <w:r w:rsidR="00977D98">
        <w:tab/>
      </w:r>
      <w:r>
        <w:t>Les États membres veillent à ce qu'un état consolidé de ces rapports statistiques soit publié</w:t>
      </w:r>
      <w:r w:rsidR="008A415D">
        <w:t>.</w:t>
      </w:r>
    </w:p>
    <w:p w:rsidR="001F17B8" w:rsidRPr="00F36EA6" w:rsidRDefault="008A415D" w:rsidP="00977D98">
      <w:pPr>
        <w:pStyle w:val="ManualNumPar1"/>
        <w:rPr>
          <w:noProof/>
        </w:rPr>
      </w:pPr>
      <w:r>
        <w:t>4.</w:t>
      </w:r>
      <w:r>
        <w:tab/>
        <w:t>Les États membres</w:t>
      </w:r>
      <w:r w:rsidR="001F17B8">
        <w:t xml:space="preserve"> transmettent à la Commission les statistiques visées au paragraphe 2.</w:t>
      </w:r>
    </w:p>
    <w:p w:rsidR="001F17B8" w:rsidRPr="00977D98" w:rsidRDefault="001F17B8" w:rsidP="00977D98">
      <w:pPr>
        <w:pStyle w:val="ChapterTitle"/>
      </w:pPr>
      <w:r w:rsidRPr="00977D98">
        <w:t>CHAPITRE VI</w:t>
      </w:r>
      <w:r w:rsidR="00977D98" w:rsidRPr="00977D98">
        <w:br/>
      </w:r>
      <w:r w:rsidRPr="00977D98">
        <w:t>POLITIQUES, PROCÉDURES ET SURVEILLANCE</w:t>
      </w:r>
    </w:p>
    <w:p w:rsidR="001F17B8" w:rsidRPr="00977D98" w:rsidRDefault="001F17B8" w:rsidP="00977D98">
      <w:pPr>
        <w:pStyle w:val="SectionTitle"/>
      </w:pPr>
      <w:r w:rsidRPr="00977D98">
        <w:t>Section 1</w:t>
      </w:r>
      <w:r w:rsidR="00977D98" w:rsidRPr="00977D98">
        <w:br/>
      </w:r>
      <w:r w:rsidRPr="00977D98">
        <w:t>Procédures internes, formation et retour d'information</w:t>
      </w:r>
    </w:p>
    <w:p w:rsidR="001F17B8" w:rsidRPr="00F36EA6" w:rsidRDefault="001F17B8" w:rsidP="00296EF9">
      <w:pPr>
        <w:pStyle w:val="Titrearticle"/>
        <w:rPr>
          <w:iCs/>
          <w:noProof/>
        </w:rPr>
      </w:pPr>
      <w:r>
        <w:rPr>
          <w:noProof/>
        </w:rPr>
        <w:t>Article</w:t>
      </w:r>
      <w:r>
        <w:t xml:space="preserve"> 4</w:t>
      </w:r>
      <w:r w:rsidR="00296EF9">
        <w:t>5</w:t>
      </w:r>
    </w:p>
    <w:p w:rsidR="001F17B8" w:rsidRPr="00F36EA6" w:rsidRDefault="001F17B8" w:rsidP="00E56C6F">
      <w:pPr>
        <w:pStyle w:val="ManualNumPar1"/>
      </w:pPr>
      <w:r>
        <w:t>1.</w:t>
      </w:r>
      <w:r w:rsidR="00977D98">
        <w:tab/>
      </w:r>
      <w:r>
        <w:t xml:space="preserve">Les États membres </w:t>
      </w:r>
      <w:r w:rsidR="00E56C6F">
        <w:t>exigent des</w:t>
      </w:r>
      <w:r>
        <w:t xml:space="preserve"> </w:t>
      </w:r>
      <w:r w:rsidR="00870FFE">
        <w:t>entités assujetties</w:t>
      </w:r>
      <w:r>
        <w:t xml:space="preserve"> qui font partie d'un groupe </w:t>
      </w:r>
      <w:r w:rsidR="00E56C6F">
        <w:t xml:space="preserve">qu'elles </w:t>
      </w:r>
      <w:r>
        <w:t>mette</w:t>
      </w:r>
      <w:r w:rsidR="00E56C6F">
        <w:t>nt</w:t>
      </w:r>
      <w:r>
        <w:t xml:space="preserve"> en œuvre des politiques et des procédures à l'échelle du groupe, notamment des politiques de protection des données ainsi que des politiques et des proc</w:t>
      </w:r>
      <w:r w:rsidR="00D624B4">
        <w:t xml:space="preserve">édures relatives au partage des </w:t>
      </w:r>
      <w:r>
        <w:t>informations au sein du groupe aux fins de la lutte contre l</w:t>
      </w:r>
      <w:r w:rsidR="00D624B4">
        <w:t xml:space="preserve">e blanchiment de capitaux et le </w:t>
      </w:r>
      <w:r>
        <w:t>financement du terrorisme. Ces politiques et procédures sont mises en œuvre efficacement au niveau des succursales et des filiales détenues majorit</w:t>
      </w:r>
      <w:r w:rsidR="00BA71C9">
        <w:t>airement</w:t>
      </w:r>
      <w:r>
        <w:t>, établies dans les États membres et dans des pays tiers.</w:t>
      </w:r>
    </w:p>
    <w:p w:rsidR="001F17B8" w:rsidRPr="00F36EA6" w:rsidRDefault="00977D98" w:rsidP="00732871">
      <w:pPr>
        <w:pStyle w:val="ManualNumPar1"/>
      </w:pPr>
      <w:r>
        <w:br w:type="page"/>
      </w:r>
      <w:r w:rsidR="00296EF9" w:rsidRPr="00B772CF">
        <w:rPr>
          <w:iCs/>
        </w:rPr>
        <w:t>2</w:t>
      </w:r>
      <w:r w:rsidR="001F17B8">
        <w:t>.</w:t>
      </w:r>
      <w:r>
        <w:tab/>
      </w:r>
      <w:r w:rsidR="001F17B8">
        <w:t xml:space="preserve">Les États membres exigent des </w:t>
      </w:r>
      <w:r w:rsidR="00870FFE">
        <w:t>entités assujetties</w:t>
      </w:r>
      <w:r w:rsidR="001F17B8">
        <w:t xml:space="preserve"> qui exploitent </w:t>
      </w:r>
      <w:r w:rsidR="001F17B8" w:rsidRPr="00004D53">
        <w:t>des établissements</w:t>
      </w:r>
      <w:r w:rsidR="001F17B8">
        <w:t xml:space="preserve"> dans un autre État membre qu'elles veillent à ce que ces établissements respectent les dispositions nationales </w:t>
      </w:r>
      <w:r w:rsidR="00F41390">
        <w:t>de</w:t>
      </w:r>
      <w:r w:rsidR="001F17B8">
        <w:t xml:space="preserve"> </w:t>
      </w:r>
      <w:r w:rsidR="00AB0E6F">
        <w:t xml:space="preserve">cet autre </w:t>
      </w:r>
      <w:r w:rsidR="001F17B8">
        <w:t xml:space="preserve">État membre </w:t>
      </w:r>
      <w:r w:rsidR="00AB0E6F">
        <w:t>transpos</w:t>
      </w:r>
      <w:r w:rsidR="00F41390">
        <w:t>ant</w:t>
      </w:r>
      <w:r w:rsidR="001F17B8">
        <w:t xml:space="preserve"> la présente directive.</w:t>
      </w:r>
    </w:p>
    <w:p w:rsidR="001F17B8" w:rsidRPr="0020665E" w:rsidRDefault="00296EF9" w:rsidP="00E56C6F">
      <w:pPr>
        <w:pStyle w:val="ManualNumPar1"/>
        <w:rPr>
          <w:noProof/>
        </w:rPr>
      </w:pPr>
      <w:r>
        <w:t>3</w:t>
      </w:r>
      <w:r w:rsidR="001F17B8" w:rsidRPr="0020665E">
        <w:t>.</w:t>
      </w:r>
      <w:r w:rsidR="00977D98" w:rsidRPr="007F21D3">
        <w:tab/>
      </w:r>
      <w:r w:rsidR="001F17B8" w:rsidRPr="0020665E">
        <w:t xml:space="preserve">Chaque État membre veille à ce que, lorsqu'une </w:t>
      </w:r>
      <w:r w:rsidR="007468D1">
        <w:t>entité assujettie</w:t>
      </w:r>
      <w:r w:rsidR="001F17B8" w:rsidRPr="0020665E">
        <w:t xml:space="preserve"> a des succursales ou des filiales détenues majorit</w:t>
      </w:r>
      <w:r w:rsidR="00BA71C9">
        <w:t>airement</w:t>
      </w:r>
      <w:r w:rsidR="001F17B8" w:rsidRPr="0020665E">
        <w:t xml:space="preserve"> </w:t>
      </w:r>
      <w:r w:rsidR="00AB0E6F" w:rsidRPr="0020665E">
        <w:t xml:space="preserve">situées </w:t>
      </w:r>
      <w:r w:rsidR="001F17B8" w:rsidRPr="0020665E">
        <w:t xml:space="preserve">dans des pays tiers dans lesquels les obligations minimales en matière de lutte contre le blanchiment de capitaux et le financement du terrorisme sont moins strictes que sur son territoire, </w:t>
      </w:r>
      <w:r w:rsidR="00E56C6F">
        <w:t>s</w:t>
      </w:r>
      <w:r w:rsidR="001F17B8" w:rsidRPr="0020665E">
        <w:t xml:space="preserve">es succursales et filiales </w:t>
      </w:r>
      <w:r w:rsidR="00AB0E6F" w:rsidRPr="0020665E">
        <w:t>détenues majorit</w:t>
      </w:r>
      <w:r w:rsidR="00BA71C9">
        <w:t>airement</w:t>
      </w:r>
      <w:r w:rsidR="00AB0E6F" w:rsidRPr="0020665E">
        <w:t xml:space="preserve"> situées dans </w:t>
      </w:r>
      <w:r w:rsidR="0020665E">
        <w:t>le</w:t>
      </w:r>
      <w:r w:rsidR="00AB0E6F" w:rsidRPr="0020665E">
        <w:t xml:space="preserve"> pays tiers </w:t>
      </w:r>
      <w:r w:rsidR="001F17B8" w:rsidRPr="0020665E">
        <w:t xml:space="preserve">appliquent les obligations </w:t>
      </w:r>
      <w:r w:rsidR="0020665E">
        <w:t>de l'État membre</w:t>
      </w:r>
      <w:r w:rsidR="001F17B8" w:rsidRPr="0020665E">
        <w:t xml:space="preserve">, y compris en matière de protection des données, dans la mesure où le </w:t>
      </w:r>
      <w:r w:rsidR="00AB0E6F" w:rsidRPr="0020665E">
        <w:t>droit</w:t>
      </w:r>
      <w:r w:rsidR="008A415D" w:rsidRPr="0020665E">
        <w:t xml:space="preserve"> </w:t>
      </w:r>
      <w:r w:rsidR="001F17B8" w:rsidRPr="0020665E">
        <w:t>d</w:t>
      </w:r>
      <w:r w:rsidR="00AB0E6F" w:rsidRPr="0020665E">
        <w:t>u</w:t>
      </w:r>
      <w:r w:rsidR="001F17B8" w:rsidRPr="0020665E">
        <w:t xml:space="preserve"> pays tiers en question le permet.</w:t>
      </w:r>
    </w:p>
    <w:p w:rsidR="001F17B8" w:rsidRPr="00F36EA6" w:rsidRDefault="00296EF9">
      <w:pPr>
        <w:pStyle w:val="ManualNumPar1"/>
        <w:rPr>
          <w:noProof/>
        </w:rPr>
      </w:pPr>
      <w:r>
        <w:t>4</w:t>
      </w:r>
      <w:r w:rsidR="001F17B8" w:rsidRPr="00613C50">
        <w:t>.</w:t>
      </w:r>
      <w:r w:rsidR="00977D98" w:rsidRPr="00613C50">
        <w:tab/>
      </w:r>
      <w:r w:rsidR="001F17B8" w:rsidRPr="00613C50">
        <w:t>Les États membres et</w:t>
      </w:r>
      <w:r w:rsidR="001F17B8">
        <w:t xml:space="preserve"> les </w:t>
      </w:r>
      <w:r w:rsidR="00AB0E6F">
        <w:t>AES</w:t>
      </w:r>
      <w:r w:rsidR="001F17B8">
        <w:t xml:space="preserve"> s'informent </w:t>
      </w:r>
      <w:r w:rsidR="00E56C6F" w:rsidRPr="00B40D70">
        <w:t xml:space="preserve">mutuellement </w:t>
      </w:r>
      <w:r w:rsidR="001F17B8" w:rsidRPr="008B3389">
        <w:t>d</w:t>
      </w:r>
      <w:r w:rsidR="001F17B8">
        <w:t xml:space="preserve">es cas dans lesquels le droit d'un pays tiers ne permet pas </w:t>
      </w:r>
      <w:r w:rsidR="00AB0E6F">
        <w:t xml:space="preserve">de mettre en </w:t>
      </w:r>
      <w:r w:rsidR="00613C50">
        <w:t>œuvre</w:t>
      </w:r>
      <w:r w:rsidR="001F17B8">
        <w:t xml:space="preserve"> les </w:t>
      </w:r>
      <w:r w:rsidR="00AB0E6F">
        <w:t xml:space="preserve">politiques et procédures </w:t>
      </w:r>
      <w:r w:rsidR="001F17B8">
        <w:t>requises en application du paragraphe 1</w:t>
      </w:r>
      <w:r w:rsidR="00AB0E6F">
        <w:t xml:space="preserve">. Dans ces cas, </w:t>
      </w:r>
      <w:r w:rsidR="001F17B8">
        <w:t xml:space="preserve">une action coordonnée </w:t>
      </w:r>
      <w:r w:rsidR="00F10486">
        <w:t xml:space="preserve">peut être engagée </w:t>
      </w:r>
      <w:r w:rsidR="001F17B8">
        <w:t>pour rechercher une solution.</w:t>
      </w:r>
    </w:p>
    <w:p w:rsidR="001F17B8" w:rsidRPr="00F36EA6" w:rsidRDefault="00296EF9" w:rsidP="00E56C6F">
      <w:pPr>
        <w:pStyle w:val="ManualNumPar1"/>
      </w:pPr>
      <w:r>
        <w:t>5</w:t>
      </w:r>
      <w:r w:rsidR="001F17B8">
        <w:t>.</w:t>
      </w:r>
      <w:r w:rsidR="00977D98">
        <w:tab/>
      </w:r>
      <w:r w:rsidR="001F17B8">
        <w:t xml:space="preserve">Les États membres exigent que, si </w:t>
      </w:r>
      <w:r w:rsidR="00AB0E6F">
        <w:t xml:space="preserve">le droit </w:t>
      </w:r>
      <w:r w:rsidR="001F17B8">
        <w:t>d</w:t>
      </w:r>
      <w:r w:rsidR="00AB0E6F">
        <w:t>'</w:t>
      </w:r>
      <w:r w:rsidR="001F17B8">
        <w:t>u</w:t>
      </w:r>
      <w:r w:rsidR="00AB0E6F">
        <w:t>n</w:t>
      </w:r>
      <w:r w:rsidR="001F17B8">
        <w:t xml:space="preserve"> pays tiers ne permet pas </w:t>
      </w:r>
      <w:r w:rsidR="007149C4">
        <w:t xml:space="preserve">de mettre en </w:t>
      </w:r>
      <w:r w:rsidR="00613C50">
        <w:t>œuvre</w:t>
      </w:r>
      <w:r w:rsidR="007149C4">
        <w:t xml:space="preserve"> </w:t>
      </w:r>
      <w:r w:rsidR="001F17B8">
        <w:t xml:space="preserve">les </w:t>
      </w:r>
      <w:r w:rsidR="007149C4">
        <w:t>politiques et procédures</w:t>
      </w:r>
      <w:r w:rsidR="001F17B8">
        <w:t xml:space="preserve"> requises en application du paragraphe 1, les </w:t>
      </w:r>
      <w:r w:rsidR="00870FFE">
        <w:t>entités assujetties</w:t>
      </w:r>
      <w:r w:rsidR="001F17B8">
        <w:t xml:space="preserve"> veillent à ce que les succursales et les filiales détenues majorit</w:t>
      </w:r>
      <w:r w:rsidR="00BA71C9">
        <w:t>airement</w:t>
      </w:r>
      <w:r w:rsidR="001F17B8">
        <w:t xml:space="preserve"> dans ce pays tiers appliquent des mesures supplémentaires pour traiter efficacement le risque de blanchiment de capitaux ou de financement du terrorisme</w:t>
      </w:r>
      <w:r w:rsidR="00E56C6F">
        <w:t>,</w:t>
      </w:r>
      <w:r w:rsidR="001F17B8">
        <w:t xml:space="preserve"> et en informent les autorités </w:t>
      </w:r>
      <w:r w:rsidR="00A97D4D">
        <w:t xml:space="preserve">compétentes de </w:t>
      </w:r>
      <w:r w:rsidR="00A97D4D" w:rsidRPr="00A97D4D">
        <w:t>l</w:t>
      </w:r>
      <w:r w:rsidR="00A97D4D">
        <w:t xml:space="preserve">eur </w:t>
      </w:r>
      <w:r w:rsidR="00A97D4D" w:rsidRPr="00A97D4D">
        <w:t xml:space="preserve">État membre </w:t>
      </w:r>
      <w:r w:rsidR="001F17B8">
        <w:t xml:space="preserve">d'origine. Si ces mesures supplémentaires sont insuffisantes, les autorités compétentes </w:t>
      </w:r>
      <w:r w:rsidR="007149C4">
        <w:t>de l'État membre</w:t>
      </w:r>
      <w:r w:rsidR="001F17B8">
        <w:t xml:space="preserve"> d'origine mettent en œuvre des mesures de surveillance supplémentaires, notamment en exigeant que le groupe n'établisse pas de relations d'affaires ou qu'il y mette fin et qu'il n'effectue pas de transactions et, si nécessaire, en lui demandant de cesser ses activités dans le pays tiers concerné.</w:t>
      </w:r>
    </w:p>
    <w:p w:rsidR="001F17B8" w:rsidRPr="00F36EA6" w:rsidRDefault="001F17B8">
      <w:pPr>
        <w:pStyle w:val="ManualNumPar1"/>
      </w:pPr>
      <w:r>
        <w:br w:type="page"/>
      </w:r>
      <w:r w:rsidR="006950AA">
        <w:t>6</w:t>
      </w:r>
      <w:r>
        <w:t>.</w:t>
      </w:r>
      <w:r w:rsidR="00977D98">
        <w:tab/>
      </w:r>
      <w:r>
        <w:t xml:space="preserve">Les </w:t>
      </w:r>
      <w:r w:rsidR="007149C4">
        <w:t>AES</w:t>
      </w:r>
      <w:r>
        <w:t xml:space="preserve"> élaborent des projets de normes techniques de réglementation pour préciser le type de mesures supplémentaires visées au paragraphe </w:t>
      </w:r>
      <w:r w:rsidR="006950AA">
        <w:t>5</w:t>
      </w:r>
      <w:r w:rsidR="00D624B4">
        <w:t xml:space="preserve"> et les </w:t>
      </w:r>
      <w:r>
        <w:t xml:space="preserve">actions que doivent au minimum engager les </w:t>
      </w:r>
      <w:r w:rsidR="00E56C6F">
        <w:t>établissements de crédit et les établissements financiers</w:t>
      </w:r>
      <w:r>
        <w:t xml:space="preserve">, lorsque le droit du pays tiers ne permet pas </w:t>
      </w:r>
      <w:r w:rsidR="007149C4">
        <w:t xml:space="preserve">de mettre en œuvre </w:t>
      </w:r>
      <w:r>
        <w:t>les mesures requises en application des paragraphes 1 et </w:t>
      </w:r>
      <w:r w:rsidR="006950AA">
        <w:t>3</w:t>
      </w:r>
      <w:r>
        <w:t>.</w:t>
      </w:r>
    </w:p>
    <w:p w:rsidR="001F17B8" w:rsidRPr="00F36EA6" w:rsidRDefault="001F17B8" w:rsidP="00D624B4">
      <w:pPr>
        <w:pStyle w:val="Text1"/>
      </w:pPr>
      <w:r>
        <w:t xml:space="preserve">Les </w:t>
      </w:r>
      <w:r w:rsidR="007149C4">
        <w:t>AES</w:t>
      </w:r>
      <w:r>
        <w:t xml:space="preserve"> soumettent </w:t>
      </w:r>
      <w:r w:rsidR="007149C4">
        <w:t xml:space="preserve">les </w:t>
      </w:r>
      <w:r>
        <w:t xml:space="preserve">projets de normes techniques de réglementation </w:t>
      </w:r>
      <w:r w:rsidR="007149C4">
        <w:t xml:space="preserve">visés au premier alinéa </w:t>
      </w:r>
      <w:r>
        <w:t>à la Commission au plus tard le ...</w:t>
      </w:r>
      <w:r w:rsidR="008A415D">
        <w:rPr>
          <w:rStyle w:val="FootnoteReference"/>
        </w:rPr>
        <w:footnoteReference w:customMarkFollows="1" w:id="40"/>
        <w:t>*</w:t>
      </w:r>
      <w:r>
        <w:t>.</w:t>
      </w:r>
    </w:p>
    <w:p w:rsidR="001F17B8" w:rsidRPr="00F36EA6" w:rsidRDefault="006950AA" w:rsidP="006950AA">
      <w:pPr>
        <w:pStyle w:val="ManualNumPar1"/>
        <w:rPr>
          <w:noProof/>
        </w:rPr>
      </w:pPr>
      <w:r>
        <w:t>7</w:t>
      </w:r>
      <w:r w:rsidR="001F17B8">
        <w:t>.</w:t>
      </w:r>
      <w:r w:rsidR="00977D98">
        <w:tab/>
      </w:r>
      <w:r w:rsidR="001F17B8">
        <w:t>Le pouvoir d'adopter les normes techniques de réglementation visées au paragraphe </w:t>
      </w:r>
      <w:r>
        <w:t>6 du présent article</w:t>
      </w:r>
      <w:r w:rsidR="001F17B8">
        <w:t xml:space="preserve"> est conféré à la Commission conformément aux articles 10 à 14 </w:t>
      </w:r>
      <w:r w:rsidR="008A415D">
        <w:t xml:space="preserve">des </w:t>
      </w:r>
      <w:r w:rsidR="001F17B8">
        <w:t>règlement</w:t>
      </w:r>
      <w:r w:rsidR="008A415D">
        <w:t>s</w:t>
      </w:r>
      <w:r w:rsidR="001F17B8">
        <w:t xml:space="preserve"> (UE) n° 1093/2010, </w:t>
      </w:r>
      <w:r w:rsidR="00D624B4">
        <w:t>(UE) n° </w:t>
      </w:r>
      <w:r w:rsidR="001F17B8">
        <w:t xml:space="preserve">1094/2010 et </w:t>
      </w:r>
      <w:r w:rsidR="00D624B4">
        <w:t>(UE) n° </w:t>
      </w:r>
      <w:r w:rsidR="001F17B8">
        <w:t>1095/2010.</w:t>
      </w:r>
    </w:p>
    <w:p w:rsidR="001F17B8" w:rsidRPr="00F36EA6" w:rsidRDefault="006950AA" w:rsidP="00977D98">
      <w:pPr>
        <w:pStyle w:val="ManualNumPar1"/>
      </w:pPr>
      <w:r>
        <w:t>8</w:t>
      </w:r>
      <w:r w:rsidR="001F17B8">
        <w:t>.</w:t>
      </w:r>
      <w:r w:rsidR="00977D98">
        <w:tab/>
      </w:r>
      <w:r w:rsidR="001F17B8">
        <w:t>Les États membres font en sorte que le partage d'informations au sein du groupe soit autorisé. Les informations concernant des soupçons selon lesquels des fonds proviennent d'une activité criminelle ou sont liés au financement du terrorisme qui ont été transmises à la CRF sont partagées au sein du groupe, sauf instruction contraire émanant de la CRF.</w:t>
      </w:r>
    </w:p>
    <w:p w:rsidR="001F17B8" w:rsidRPr="00F36EA6" w:rsidRDefault="006950AA">
      <w:pPr>
        <w:pStyle w:val="ManualNumPar1"/>
      </w:pPr>
      <w:r>
        <w:t>9</w:t>
      </w:r>
      <w:r w:rsidR="001F17B8">
        <w:t>.</w:t>
      </w:r>
      <w:r w:rsidR="00977D98">
        <w:tab/>
      </w:r>
      <w:r w:rsidR="001F17B8">
        <w:t xml:space="preserve">Les États membres peuvent exiger que les émetteurs de monnaie électronique </w:t>
      </w:r>
      <w:r w:rsidR="00F10486">
        <w:t xml:space="preserve">au sens de l'article 2, point 3), de la directive 2009/110/CE, </w:t>
      </w:r>
      <w:r w:rsidR="001F17B8">
        <w:t>et les prestataires de services de paiement au sens de</w:t>
      </w:r>
      <w:r w:rsidR="008A415D">
        <w:t xml:space="preserve"> l'article 4, p</w:t>
      </w:r>
      <w:r w:rsidR="00F10486">
        <w:t xml:space="preserve">oint </w:t>
      </w:r>
      <w:r w:rsidR="008A415D">
        <w:t>9</w:t>
      </w:r>
      <w:r w:rsidR="00F10486">
        <w:t>)</w:t>
      </w:r>
      <w:r w:rsidR="007149C4">
        <w:t>,</w:t>
      </w:r>
      <w:r w:rsidR="008A415D">
        <w:t xml:space="preserve"> de</w:t>
      </w:r>
      <w:r w:rsidR="001F17B8">
        <w:t xml:space="preserve"> la directive 2007/64/CE, qui sont établis sur leur territoire sous une forme autre que celle de la succursale et dont le siège </w:t>
      </w:r>
      <w:r w:rsidR="00E74E87">
        <w:t xml:space="preserve">social </w:t>
      </w:r>
      <w:r w:rsidR="001F17B8">
        <w:t xml:space="preserve">est situé dans un autre État membre, nomment un point de contact central sur leur territoire </w:t>
      </w:r>
      <w:r w:rsidR="00BA71C9">
        <w:t xml:space="preserve">afin </w:t>
      </w:r>
      <w:r w:rsidR="001F17B8">
        <w:t>de veiller, au nom de l'établissement qui l'a nommé, au respect des règles en matière de lutte contre le blanchiment de capitaux et le financement du terrorisme, et de faciliter la surveillance de la part des autorités compétentes, notamment en fournissant à celles-ci, à leur demande, des documents et des informations.</w:t>
      </w:r>
    </w:p>
    <w:p w:rsidR="001F17B8" w:rsidRPr="00F36EA6" w:rsidRDefault="00977D98" w:rsidP="00732871">
      <w:pPr>
        <w:pStyle w:val="ManualNumPar1"/>
        <w:rPr>
          <w:noProof/>
        </w:rPr>
      </w:pPr>
      <w:r>
        <w:br w:type="page"/>
      </w:r>
      <w:r w:rsidR="006950AA">
        <w:t>10</w:t>
      </w:r>
      <w:r w:rsidR="001F17B8">
        <w:t>.</w:t>
      </w:r>
      <w:r>
        <w:tab/>
      </w:r>
      <w:r w:rsidR="001F17B8">
        <w:t xml:space="preserve">Les </w:t>
      </w:r>
      <w:r w:rsidR="007149C4">
        <w:t>AES</w:t>
      </w:r>
      <w:r w:rsidR="001F17B8">
        <w:t xml:space="preserve"> élaborent des projets de normes techniques de réglementation concernant les critères servant à déterminer les circonstances dans lesquelles il convient, en application du paragraphe </w:t>
      </w:r>
      <w:r w:rsidR="006950AA">
        <w:t>9</w:t>
      </w:r>
      <w:r w:rsidR="001F17B8">
        <w:t xml:space="preserve">, de nommer un point de contact central et quelles </w:t>
      </w:r>
      <w:r w:rsidR="00732871">
        <w:t>devraient</w:t>
      </w:r>
      <w:r w:rsidR="001F17B8">
        <w:t xml:space="preserve"> être les fonctions de ce dernier.</w:t>
      </w:r>
    </w:p>
    <w:p w:rsidR="001F17B8" w:rsidRPr="00F36EA6" w:rsidRDefault="001F17B8" w:rsidP="00D624B4">
      <w:pPr>
        <w:pStyle w:val="Text1"/>
      </w:pPr>
      <w:r>
        <w:t xml:space="preserve">Les </w:t>
      </w:r>
      <w:r w:rsidR="007149C4">
        <w:t>AES</w:t>
      </w:r>
      <w:r>
        <w:t xml:space="preserve"> soumettent </w:t>
      </w:r>
      <w:r w:rsidR="007149C4">
        <w:t>l</w:t>
      </w:r>
      <w:r>
        <w:t>es projets de normes techniques de réglementation</w:t>
      </w:r>
      <w:r w:rsidR="007149C4">
        <w:t xml:space="preserve"> visées au premier alinéa</w:t>
      </w:r>
      <w:r>
        <w:t xml:space="preserve"> à la Commission au plus tard le </w:t>
      </w:r>
      <w:r w:rsidRPr="00D624B4">
        <w:t>...</w:t>
      </w:r>
      <w:r w:rsidR="00D624B4">
        <w:rPr>
          <w:rStyle w:val="FootnoteReference"/>
        </w:rPr>
        <w:footnoteReference w:customMarkFollows="1" w:id="41"/>
        <w:t>*</w:t>
      </w:r>
      <w:r w:rsidRPr="00D624B4">
        <w:t>.</w:t>
      </w:r>
    </w:p>
    <w:p w:rsidR="001F17B8" w:rsidRPr="00F36EA6" w:rsidRDefault="001F17B8" w:rsidP="006950AA">
      <w:pPr>
        <w:pStyle w:val="ManualNumPar1"/>
      </w:pPr>
      <w:r>
        <w:t>1</w:t>
      </w:r>
      <w:r w:rsidR="006950AA">
        <w:t>1</w:t>
      </w:r>
      <w:r>
        <w:t>.</w:t>
      </w:r>
      <w:r w:rsidR="00977D98">
        <w:tab/>
      </w:r>
      <w:r>
        <w:t>Le pouvoir d'adopter les normes techniques de réglementation visées au paragraphe </w:t>
      </w:r>
      <w:r w:rsidR="006950AA">
        <w:t>10 du présent article</w:t>
      </w:r>
      <w:r>
        <w:t xml:space="preserve"> est conféré à la Commission conformément aux articles 10 à 14 </w:t>
      </w:r>
      <w:r w:rsidR="008A415D">
        <w:t xml:space="preserve">des </w:t>
      </w:r>
      <w:r>
        <w:t>règlement</w:t>
      </w:r>
      <w:r w:rsidR="008A415D">
        <w:t>s</w:t>
      </w:r>
      <w:r>
        <w:t xml:space="preserve"> (UE) n° 1093/2010, (UE) n° 1094/2010 et (UE) n° 1095/2010.</w:t>
      </w:r>
    </w:p>
    <w:p w:rsidR="001F17B8" w:rsidRPr="001601B2" w:rsidRDefault="001F17B8" w:rsidP="00D624B4">
      <w:pPr>
        <w:pStyle w:val="Titrearticle"/>
        <w:rPr>
          <w:iCs/>
          <w:noProof/>
        </w:rPr>
      </w:pPr>
      <w:r w:rsidRPr="001601B2">
        <w:rPr>
          <w:noProof/>
        </w:rPr>
        <w:t>Article 4</w:t>
      </w:r>
      <w:r w:rsidR="006950AA">
        <w:rPr>
          <w:noProof/>
        </w:rPr>
        <w:t>6</w:t>
      </w:r>
    </w:p>
    <w:p w:rsidR="001F17B8" w:rsidRPr="000F185B" w:rsidRDefault="001F17B8" w:rsidP="00977D98">
      <w:pPr>
        <w:pStyle w:val="ManualNumPar1"/>
      </w:pPr>
      <w:r w:rsidRPr="00803E9C">
        <w:t>1.</w:t>
      </w:r>
      <w:r w:rsidR="00977D98" w:rsidRPr="00ED21E8">
        <w:tab/>
      </w:r>
      <w:r w:rsidRPr="00ED21E8">
        <w:t xml:space="preserve">Les États membres exigent des </w:t>
      </w:r>
      <w:r w:rsidR="00870FFE">
        <w:t>entités assujetties</w:t>
      </w:r>
      <w:r w:rsidRPr="00ED21E8">
        <w:t xml:space="preserve"> qu'elles prennent des mesures proportionnées à leurs risques, leur nature et leur taille, afin que leurs employés aient connaissance d</w:t>
      </w:r>
      <w:r w:rsidRPr="00945E02">
        <w:t>es dispositions adoptées en application de la présente directive, y compris des exigences applicables en matière de protection des données.</w:t>
      </w:r>
    </w:p>
    <w:p w:rsidR="001F17B8" w:rsidRPr="00F36EA6" w:rsidRDefault="001F17B8" w:rsidP="00D624B4">
      <w:pPr>
        <w:pStyle w:val="Text1"/>
      </w:pPr>
      <w:r w:rsidRPr="000F185B">
        <w:t>Ces mesures comprennent la participation de leurs employés à des programmes spéciaux de formation continue visant à les aider à reconnaître les opérations susceptibles d'être liées au blanchiment de capitaux ou au financement du terrorisme et à les</w:t>
      </w:r>
      <w:r>
        <w:t xml:space="preserve"> instruire sur la manière de procéder en pareil cas.</w:t>
      </w:r>
    </w:p>
    <w:p w:rsidR="001F17B8" w:rsidRPr="00F36EA6" w:rsidRDefault="001F17B8" w:rsidP="00D624B4">
      <w:pPr>
        <w:pStyle w:val="Text1"/>
      </w:pPr>
      <w:r>
        <w:t>Lorsqu'une personne physique relevant de l'une des catégories énumérées à l'article 2, paragraphe 1, point 3), exerce son activité professionnelle en tant qu'employé d'une personne morale, les obligations prévues dans la présente section s'appliquent à cette personne morale et non à la personne physique.</w:t>
      </w:r>
    </w:p>
    <w:p w:rsidR="001F17B8" w:rsidRPr="00F36EA6" w:rsidRDefault="00977D98" w:rsidP="006950AA">
      <w:pPr>
        <w:pStyle w:val="ManualNumPar1"/>
        <w:rPr>
          <w:noProof/>
        </w:rPr>
      </w:pPr>
      <w:r>
        <w:br w:type="page"/>
      </w:r>
      <w:r w:rsidR="001F17B8">
        <w:t>2.</w:t>
      </w:r>
      <w:r>
        <w:tab/>
      </w:r>
      <w:r w:rsidR="001F17B8">
        <w:t xml:space="preserve">Les États membres veillent à ce que les </w:t>
      </w:r>
      <w:r w:rsidR="00870FFE">
        <w:t>entités assujetties</w:t>
      </w:r>
      <w:r w:rsidR="001F17B8">
        <w:t xml:space="preserve"> aient accès à des informations à jour sur les pratiques des criminels qui blanchissent des capitaux et </w:t>
      </w:r>
      <w:r w:rsidR="006950AA">
        <w:t xml:space="preserve">ceux </w:t>
      </w:r>
      <w:r w:rsidR="001F17B8">
        <w:t>qui financent le terrorisme et sur les indices qui permettent d'identifier les transactions suspectes.</w:t>
      </w:r>
    </w:p>
    <w:p w:rsidR="001F17B8" w:rsidRPr="00F36EA6" w:rsidRDefault="001F17B8">
      <w:pPr>
        <w:pStyle w:val="ManualNumPar1"/>
      </w:pPr>
      <w:r>
        <w:t>3.</w:t>
      </w:r>
      <w:r w:rsidR="00977D98">
        <w:tab/>
      </w:r>
      <w:r>
        <w:t xml:space="preserve">Les États membres veillent à ce que, si possible, un retour d'information sur l'efficacité des </w:t>
      </w:r>
      <w:r w:rsidR="00650A73">
        <w:t xml:space="preserve">déclarations </w:t>
      </w:r>
      <w:r>
        <w:t>de soupçons de blanchiment de capitaux ou de finan</w:t>
      </w:r>
      <w:r w:rsidR="0001478E">
        <w:t xml:space="preserve">cement du terrorisme et sur les </w:t>
      </w:r>
      <w:r>
        <w:t xml:space="preserve">suites données à celles-ci soit fourni </w:t>
      </w:r>
      <w:r w:rsidR="00E56C6F">
        <w:t xml:space="preserve">en temps utile </w:t>
      </w:r>
      <w:r>
        <w:t xml:space="preserve">aux </w:t>
      </w:r>
      <w:r w:rsidR="00870FFE">
        <w:t>entités assujetties</w:t>
      </w:r>
      <w:r>
        <w:t>.</w:t>
      </w:r>
    </w:p>
    <w:p w:rsidR="001F17B8" w:rsidRPr="00F36EA6" w:rsidRDefault="006950AA" w:rsidP="00977D98">
      <w:pPr>
        <w:pStyle w:val="ManualNumPar1"/>
      </w:pPr>
      <w:r>
        <w:t>4</w:t>
      </w:r>
      <w:r w:rsidR="001F17B8">
        <w:t>.</w:t>
      </w:r>
      <w:r w:rsidR="00977D98">
        <w:tab/>
      </w:r>
      <w:r w:rsidR="001F17B8">
        <w:t xml:space="preserve">Les États membres exigent que, le cas échéant, les </w:t>
      </w:r>
      <w:r w:rsidR="00870FFE">
        <w:t>entités assujetties</w:t>
      </w:r>
      <w:r w:rsidR="0001478E">
        <w:t xml:space="preserve"> désignent le </w:t>
      </w:r>
      <w:r w:rsidR="001F17B8">
        <w:t>membre du conseil d'administration qui est responsable de la mise en œuvre des dispositions législatives, règlementaires et administratives nécessaires pour se conformer à la présente directive.</w:t>
      </w:r>
    </w:p>
    <w:p w:rsidR="001F17B8" w:rsidRPr="00F36EA6" w:rsidRDefault="001F17B8" w:rsidP="00977D98">
      <w:pPr>
        <w:pStyle w:val="SectionTitle"/>
        <w:rPr>
          <w:noProof/>
        </w:rPr>
      </w:pPr>
      <w:r>
        <w:rPr>
          <w:noProof/>
        </w:rPr>
        <w:t>Section 2</w:t>
      </w:r>
      <w:r w:rsidR="00977D98">
        <w:rPr>
          <w:noProof/>
        </w:rPr>
        <w:br/>
      </w:r>
      <w:r>
        <w:rPr>
          <w:noProof/>
        </w:rPr>
        <w:t>Surveillance</w:t>
      </w:r>
    </w:p>
    <w:p w:rsidR="001F17B8" w:rsidRPr="0001478E" w:rsidRDefault="001F17B8" w:rsidP="0001478E">
      <w:pPr>
        <w:pStyle w:val="Titrearticle"/>
        <w:rPr>
          <w:noProof/>
        </w:rPr>
      </w:pPr>
      <w:r>
        <w:rPr>
          <w:noProof/>
        </w:rPr>
        <w:t xml:space="preserve">Article </w:t>
      </w:r>
      <w:r w:rsidR="006950AA">
        <w:rPr>
          <w:noProof/>
        </w:rPr>
        <w:t>47</w:t>
      </w:r>
    </w:p>
    <w:p w:rsidR="001F17B8" w:rsidRPr="00F36EA6" w:rsidRDefault="001F17B8" w:rsidP="00977D98">
      <w:pPr>
        <w:pStyle w:val="ManualNumPar1"/>
        <w:rPr>
          <w:noProof/>
        </w:rPr>
      </w:pPr>
      <w:r>
        <w:t>1.</w:t>
      </w:r>
      <w:r w:rsidR="00977D98">
        <w:tab/>
      </w:r>
      <w:r>
        <w:t xml:space="preserve">Les États membres prévoient que les bureaux de change et d'encaissement de chèques et les prestataires de services aux sociétés </w:t>
      </w:r>
      <w:r w:rsidR="00324616">
        <w:t xml:space="preserve">ou </w:t>
      </w:r>
      <w:r>
        <w:t>fiducies</w:t>
      </w:r>
      <w:r w:rsidR="00870FFE">
        <w:t>/trusts</w:t>
      </w:r>
      <w:r>
        <w:t xml:space="preserve"> sont agréés ou immatriculés, et que les prestataires de services de jeux d'argent et de hasard sont réglementés.</w:t>
      </w:r>
    </w:p>
    <w:p w:rsidR="001F17B8" w:rsidRPr="00F36EA6" w:rsidRDefault="001F17B8" w:rsidP="00977D98">
      <w:pPr>
        <w:pStyle w:val="ManualNumPar1"/>
        <w:rPr>
          <w:noProof/>
        </w:rPr>
      </w:pPr>
      <w:r>
        <w:t>2.</w:t>
      </w:r>
      <w:r w:rsidR="00977D98">
        <w:tab/>
      </w:r>
      <w:r>
        <w:t>Les États membres exigent des autorités compétentes qu'elles veillent à la compétence et à l'honorabilité des personnes qui exercent une fonction de direction au sein des en</w:t>
      </w:r>
      <w:r w:rsidR="00D436FE">
        <w:t xml:space="preserve">tités visées au </w:t>
      </w:r>
      <w:r>
        <w:t>paragraphe 1 ou qui en sont les bénéficiaires effectifs.</w:t>
      </w:r>
    </w:p>
    <w:p w:rsidR="001F17B8" w:rsidRPr="00F36EA6" w:rsidRDefault="00977D98" w:rsidP="0001478E">
      <w:pPr>
        <w:pStyle w:val="ManualNumPar1"/>
      </w:pPr>
      <w:r>
        <w:br w:type="page"/>
      </w:r>
      <w:r w:rsidR="001F17B8">
        <w:t>3.</w:t>
      </w:r>
      <w:r>
        <w:tab/>
      </w:r>
      <w:r w:rsidR="001F17B8">
        <w:t xml:space="preserve">En ce qui concerne les </w:t>
      </w:r>
      <w:r w:rsidR="00870FFE">
        <w:t>entités assujetties</w:t>
      </w:r>
      <w:r w:rsidR="001F17B8">
        <w:t xml:space="preserve"> visées à l</w:t>
      </w:r>
      <w:r w:rsidR="0001478E">
        <w:t xml:space="preserve">'article 2, paragraphe 1, point </w:t>
      </w:r>
      <w:r w:rsidR="001F17B8">
        <w:t>3)</w:t>
      </w:r>
      <w:r w:rsidR="0001478E">
        <w:t xml:space="preserve"> </w:t>
      </w:r>
      <w:r w:rsidR="001F17B8">
        <w:t xml:space="preserve">a), b) et d), les États membres veillent à ce que les autorités compétentes prennent les mesures nécessaires pour empêcher que des criminels condamnés </w:t>
      </w:r>
      <w:r w:rsidR="00F10486">
        <w:t xml:space="preserve">dans </w:t>
      </w:r>
      <w:r w:rsidR="00D8167F">
        <w:t>d</w:t>
      </w:r>
      <w:r w:rsidR="00F10486">
        <w:t xml:space="preserve">es secteurs </w:t>
      </w:r>
      <w:r w:rsidR="00D8167F">
        <w:t xml:space="preserve">pertinents </w:t>
      </w:r>
      <w:r w:rsidR="001F17B8">
        <w:t xml:space="preserve">ou leurs complices exercent une fonction de direction dans lesdites </w:t>
      </w:r>
      <w:r w:rsidR="00870FFE">
        <w:t>entités assujetties</w:t>
      </w:r>
      <w:r w:rsidR="00324616">
        <w:t xml:space="preserve"> </w:t>
      </w:r>
      <w:r w:rsidR="001F17B8">
        <w:t>ou en soient les bénéficiaires effectifs.</w:t>
      </w:r>
    </w:p>
    <w:p w:rsidR="001F17B8" w:rsidRPr="0001478E" w:rsidRDefault="001F17B8" w:rsidP="0001478E">
      <w:pPr>
        <w:pStyle w:val="Titrearticle"/>
        <w:rPr>
          <w:noProof/>
        </w:rPr>
      </w:pPr>
      <w:r>
        <w:rPr>
          <w:noProof/>
        </w:rPr>
        <w:t>Article 4</w:t>
      </w:r>
      <w:r w:rsidR="006950AA">
        <w:rPr>
          <w:noProof/>
        </w:rPr>
        <w:t>8</w:t>
      </w:r>
    </w:p>
    <w:p w:rsidR="001F17B8" w:rsidRPr="00F36EA6" w:rsidRDefault="001F17B8" w:rsidP="00977D98">
      <w:pPr>
        <w:pStyle w:val="ManualNumPar1"/>
      </w:pPr>
      <w:r>
        <w:t>1.</w:t>
      </w:r>
      <w:r w:rsidR="00977D98">
        <w:tab/>
      </w:r>
      <w:r>
        <w:t xml:space="preserve">Les États membres exigent des autorités compétentes qu'elles assurent un suivi effectif du respect </w:t>
      </w:r>
      <w:r w:rsidR="008A415D">
        <w:t>de</w:t>
      </w:r>
      <w:r>
        <w:t xml:space="preserve"> la présente directive et qu'elles prennent les mesures nécessaires à cet effet.</w:t>
      </w:r>
    </w:p>
    <w:p w:rsidR="001F17B8" w:rsidRPr="00F36EA6" w:rsidRDefault="001F17B8">
      <w:pPr>
        <w:pStyle w:val="ManualNumPar1"/>
        <w:rPr>
          <w:noProof/>
        </w:rPr>
      </w:pPr>
      <w:r>
        <w:t>2.</w:t>
      </w:r>
      <w:r w:rsidR="00977D98">
        <w:tab/>
      </w:r>
      <w:r>
        <w:t xml:space="preserve">Les États membres veillent à ce que les autorités compétentes disposent des pouvoirs appropriés, dont le pouvoir d'exiger la production de toute information pertinente pour assurer le </w:t>
      </w:r>
      <w:r w:rsidR="00E359B3">
        <w:t xml:space="preserve">contrôle </w:t>
      </w:r>
      <w:r>
        <w:t>du respect des obligations et d'effectuer des vérifications, ainsi que des ressources financières, humaines et techniques nécessaires à l'accomplissement de leurs fonctions. Les États membres s'assurent que le personnel de ces autorités respecte des exigences professionnelles élevées, notamment en matière de confidentialité et de protection des données, et qu'il soit de la plus haute intégrité et possède les compétences nécessaires.</w:t>
      </w:r>
    </w:p>
    <w:p w:rsidR="001F17B8" w:rsidRPr="00F36EA6" w:rsidRDefault="001F17B8" w:rsidP="00977D98">
      <w:pPr>
        <w:pStyle w:val="ManualNumPar1"/>
        <w:rPr>
          <w:noProof/>
        </w:rPr>
      </w:pPr>
      <w:r>
        <w:t>3.</w:t>
      </w:r>
      <w:r w:rsidR="00977D98">
        <w:tab/>
      </w:r>
      <w:r>
        <w:t>Les autorités compétentes disposent de pouvoirs renforcés en matière de surveillance en ce qui concerne les établissements de crédit, les établissements financiers et les prestataires de services de jeux d'argent et de hasard.</w:t>
      </w:r>
    </w:p>
    <w:p w:rsidR="001F17B8" w:rsidRPr="00F36EA6" w:rsidRDefault="0001478E" w:rsidP="00732871">
      <w:pPr>
        <w:pStyle w:val="ManualNumPar1"/>
        <w:rPr>
          <w:noProof/>
        </w:rPr>
      </w:pPr>
      <w:r>
        <w:br w:type="page"/>
      </w:r>
      <w:r w:rsidR="001F17B8">
        <w:t>4.</w:t>
      </w:r>
      <w:r w:rsidR="00977D98">
        <w:tab/>
      </w:r>
      <w:r w:rsidR="001F17B8">
        <w:t>Les États membres veillent à ce que les autorités compétentes de l'État membre dans lequel l'</w:t>
      </w:r>
      <w:r w:rsidR="007468D1">
        <w:t>entité assujettie</w:t>
      </w:r>
      <w:r w:rsidR="001F17B8">
        <w:t xml:space="preserve"> exploite des établissements surveillent le </w:t>
      </w:r>
      <w:r w:rsidR="001F17B8" w:rsidRPr="00324616">
        <w:t xml:space="preserve">respect, par ces derniers, des dispositions nationales </w:t>
      </w:r>
      <w:r w:rsidR="00F41390">
        <w:t>de cet</w:t>
      </w:r>
      <w:r w:rsidR="001F17B8" w:rsidRPr="00324616">
        <w:t xml:space="preserve"> État membre</w:t>
      </w:r>
      <w:r w:rsidR="00324616">
        <w:t xml:space="preserve"> transpos</w:t>
      </w:r>
      <w:r w:rsidR="00F41390">
        <w:t>ant</w:t>
      </w:r>
      <w:r w:rsidR="001F17B8" w:rsidRPr="00324616">
        <w:t xml:space="preserve"> la présente directive. Dans</w:t>
      </w:r>
      <w:r w:rsidR="001F17B8">
        <w:t xml:space="preserve"> le cas des établissements visés à l'article 4</w:t>
      </w:r>
      <w:r w:rsidR="006950AA">
        <w:t>5</w:t>
      </w:r>
      <w:r w:rsidR="001F17B8">
        <w:t xml:space="preserve">, paragraphe </w:t>
      </w:r>
      <w:r w:rsidR="006950AA">
        <w:t>9</w:t>
      </w:r>
      <w:r w:rsidR="001F17B8">
        <w:t xml:space="preserve">, cette surveillance peut comporter l'adoption de mesures appropriées et proportionnées afin de </w:t>
      </w:r>
      <w:r w:rsidR="00E56C6F">
        <w:t>remédier aux</w:t>
      </w:r>
      <w:r w:rsidR="001F17B8">
        <w:t xml:space="preserve"> manquements graves nécessitant une intervention rapide. Ces mesures sont temporaires et prennent fin lorsqu'il a été remédié aux manquements relevés, y compris avec l'aide des autorités compétentes </w:t>
      </w:r>
      <w:r w:rsidR="001601B2">
        <w:t>de l'État membre</w:t>
      </w:r>
      <w:r w:rsidR="001F17B8">
        <w:t xml:space="preserve"> </w:t>
      </w:r>
      <w:r w:rsidR="001F17B8" w:rsidRPr="001601B2">
        <w:t>d'</w:t>
      </w:r>
      <w:r w:rsidR="001601B2">
        <w:t>origine de l'</w:t>
      </w:r>
      <w:r w:rsidR="007468D1">
        <w:t>entité assujettie</w:t>
      </w:r>
      <w:r w:rsidR="001F17B8">
        <w:t xml:space="preserve"> ou en collaboration avec celles-ci, conformément à l'article 4</w:t>
      </w:r>
      <w:r w:rsidR="006950AA">
        <w:t>5</w:t>
      </w:r>
      <w:r w:rsidR="001F17B8">
        <w:t xml:space="preserve">, paragraphe </w:t>
      </w:r>
      <w:r w:rsidR="006950AA" w:rsidRPr="00B772CF">
        <w:rPr>
          <w:iCs/>
        </w:rPr>
        <w:t>2</w:t>
      </w:r>
      <w:r w:rsidR="001F17B8">
        <w:t>.</w:t>
      </w:r>
    </w:p>
    <w:p w:rsidR="001F17B8" w:rsidRPr="00F36EA6" w:rsidRDefault="001F17B8" w:rsidP="00977D98">
      <w:pPr>
        <w:pStyle w:val="ManualNumPar1"/>
      </w:pPr>
      <w:r>
        <w:t>5.</w:t>
      </w:r>
      <w:r w:rsidR="00977D98">
        <w:tab/>
      </w:r>
      <w:r>
        <w:t>Les États membres veillent à ce que les autorités compétentes de l'État membre dans lequel l'</w:t>
      </w:r>
      <w:r w:rsidR="007468D1">
        <w:t>entité assujettie</w:t>
      </w:r>
      <w:r>
        <w:t xml:space="preserve"> exploite des établissements coopèrent avec les autorités compétentes de l'État membre dans lequel se trouve le siège </w:t>
      </w:r>
      <w:r w:rsidR="00E74E87">
        <w:t xml:space="preserve">social </w:t>
      </w:r>
      <w:r>
        <w:t>de l'</w:t>
      </w:r>
      <w:r w:rsidR="007468D1">
        <w:t>entité assujettie</w:t>
      </w:r>
      <w:r w:rsidR="0001478E">
        <w:t xml:space="preserve">, afin d'assurer une </w:t>
      </w:r>
      <w:r>
        <w:t>surveillance efficace du respect des exigences de la présente directive.</w:t>
      </w:r>
    </w:p>
    <w:p w:rsidR="001F17B8" w:rsidRPr="00F36EA6" w:rsidRDefault="001F17B8" w:rsidP="00E56C6F">
      <w:pPr>
        <w:pStyle w:val="ManualNumPar1"/>
      </w:pPr>
      <w:r>
        <w:t>6.</w:t>
      </w:r>
      <w:r w:rsidR="00977D98">
        <w:tab/>
      </w:r>
      <w:r>
        <w:t xml:space="preserve">Les États membres </w:t>
      </w:r>
      <w:r w:rsidR="00E56C6F">
        <w:t>veillent à ce</w:t>
      </w:r>
      <w:r>
        <w:t xml:space="preserve"> que, lorsqu'elles mettent en œuvre une approche de </w:t>
      </w:r>
      <w:r w:rsidR="0001478E">
        <w:t xml:space="preserve">la </w:t>
      </w:r>
      <w:r w:rsidRPr="008B3389">
        <w:t xml:space="preserve">surveillance </w:t>
      </w:r>
      <w:r w:rsidR="00E56C6F" w:rsidRPr="00B772CF">
        <w:t>fondée</w:t>
      </w:r>
      <w:r w:rsidRPr="008B3389">
        <w:t xml:space="preserve"> sur </w:t>
      </w:r>
      <w:r w:rsidR="006F6EE6">
        <w:t>les</w:t>
      </w:r>
      <w:r w:rsidRPr="008B3389">
        <w:t xml:space="preserve"> risques</w:t>
      </w:r>
      <w:r>
        <w:t>, les autorités compétentes:</w:t>
      </w:r>
    </w:p>
    <w:p w:rsidR="001F17B8" w:rsidRPr="00F36EA6" w:rsidRDefault="001F17B8" w:rsidP="00977D98">
      <w:pPr>
        <w:pStyle w:val="Point1"/>
        <w:rPr>
          <w:noProof/>
        </w:rPr>
      </w:pPr>
      <w:r>
        <w:t>a)</w:t>
      </w:r>
      <w:r w:rsidR="00977D98">
        <w:tab/>
      </w:r>
      <w:r>
        <w:t xml:space="preserve">aient une bonne compréhension des risques de blanchiment de capitaux et de financement du terrorisme existant dans leur </w:t>
      </w:r>
      <w:r w:rsidR="008A415D">
        <w:t>État membre</w:t>
      </w:r>
      <w:r>
        <w:t>;</w:t>
      </w:r>
    </w:p>
    <w:p w:rsidR="001F17B8" w:rsidRPr="00F36EA6" w:rsidRDefault="001F17B8" w:rsidP="00977D98">
      <w:pPr>
        <w:pStyle w:val="Point1"/>
      </w:pPr>
      <w:r>
        <w:t>b)</w:t>
      </w:r>
      <w:r w:rsidR="00977D98">
        <w:tab/>
      </w:r>
      <w:r>
        <w:t xml:space="preserve">aient accès sur site et hors site à toutes les informations pertinentes relatives aux risques nationaux et internationaux spécifiquement liés aux clients, produits et services des </w:t>
      </w:r>
      <w:r w:rsidR="00870FFE">
        <w:t>entités assujetties</w:t>
      </w:r>
      <w:r>
        <w:t>; et</w:t>
      </w:r>
    </w:p>
    <w:p w:rsidR="001F17B8" w:rsidRPr="00F36EA6" w:rsidRDefault="0001478E" w:rsidP="00F10486">
      <w:pPr>
        <w:pStyle w:val="Point1"/>
      </w:pPr>
      <w:r>
        <w:br w:type="page"/>
      </w:r>
      <w:r w:rsidR="001F17B8">
        <w:t>c)</w:t>
      </w:r>
      <w:r w:rsidR="00977D98">
        <w:tab/>
      </w:r>
      <w:r w:rsidR="001F17B8">
        <w:t>fondent la fréquence et l'intensité de la surveillance sur site et hors site sur le profil de risque de</w:t>
      </w:r>
      <w:r w:rsidR="00F10486">
        <w:t>s</w:t>
      </w:r>
      <w:r w:rsidR="001F17B8">
        <w:t xml:space="preserve"> </w:t>
      </w:r>
      <w:r w:rsidR="00870FFE">
        <w:t>entités assujetties</w:t>
      </w:r>
      <w:r w:rsidR="001F17B8">
        <w:t xml:space="preserve"> et les risques de blanchiment de capitaux et de financement du terrorisme existant dans </w:t>
      </w:r>
      <w:r w:rsidR="00324616">
        <w:t xml:space="preserve">cet </w:t>
      </w:r>
      <w:r w:rsidR="008A415D">
        <w:t>État membre</w:t>
      </w:r>
      <w:r w:rsidR="001F17B8">
        <w:t>.</w:t>
      </w:r>
    </w:p>
    <w:p w:rsidR="001F17B8" w:rsidRPr="00F36EA6" w:rsidRDefault="001F17B8">
      <w:pPr>
        <w:pStyle w:val="ManualNumPar1"/>
      </w:pPr>
      <w:r>
        <w:t>7.</w:t>
      </w:r>
      <w:r w:rsidR="00977D98">
        <w:tab/>
      </w:r>
      <w:r>
        <w:t>L'évaluation du profil de</w:t>
      </w:r>
      <w:r w:rsidR="0016350C">
        <w:t>s</w:t>
      </w:r>
      <w:r>
        <w:t xml:space="preserve"> </w:t>
      </w:r>
      <w:r w:rsidR="00870FFE">
        <w:t>entités assujetties</w:t>
      </w:r>
      <w:r>
        <w:t xml:space="preserve"> en termes de risques de b</w:t>
      </w:r>
      <w:r w:rsidR="0001478E">
        <w:t xml:space="preserve">lanchiment de </w:t>
      </w:r>
      <w:r>
        <w:t xml:space="preserve">capitaux et de financement du terrorisme, </w:t>
      </w:r>
      <w:r w:rsidR="00324616">
        <w:t>y compris</w:t>
      </w:r>
      <w:r>
        <w:t xml:space="preserve"> les risques de non-respect, est réexaminée </w:t>
      </w:r>
      <w:r w:rsidR="00E56C6F">
        <w:t xml:space="preserve">à la fois </w:t>
      </w:r>
      <w:r>
        <w:t>de façon périodique et lorsqu'interviennent des évènements ou changements majeurs dans l</w:t>
      </w:r>
      <w:r w:rsidR="0016350C">
        <w:t>eur</w:t>
      </w:r>
      <w:r>
        <w:t xml:space="preserve"> gestion et le</w:t>
      </w:r>
      <w:r w:rsidR="0016350C">
        <w:t>ur</w:t>
      </w:r>
      <w:r>
        <w:t>s activités.</w:t>
      </w:r>
    </w:p>
    <w:p w:rsidR="001F17B8" w:rsidRPr="00F36EA6" w:rsidRDefault="001F17B8" w:rsidP="00E56C6F">
      <w:pPr>
        <w:pStyle w:val="ManualNumPar1"/>
      </w:pPr>
      <w:r>
        <w:t>8.</w:t>
      </w:r>
      <w:r w:rsidR="00977D98">
        <w:tab/>
      </w:r>
      <w:r>
        <w:t>Les États membres veillent à ce que les autorités compétentes prennent en compte la marge d'appréciation laissée à l'</w:t>
      </w:r>
      <w:r w:rsidR="007468D1">
        <w:t>entité assujettie</w:t>
      </w:r>
      <w:r>
        <w:t>, et examinent de manière appropriée les évaluations de risques sous-tendant ce pouvoir d'appréciation, ainsi que l'adéquation et la</w:t>
      </w:r>
      <w:r w:rsidR="0001478E">
        <w:t xml:space="preserve"> mise en </w:t>
      </w:r>
      <w:r>
        <w:t>œuvre de ses politiques, contrôles et procédures</w:t>
      </w:r>
      <w:r w:rsidR="00FA3F29" w:rsidRPr="00FA3F29">
        <w:t xml:space="preserve"> </w:t>
      </w:r>
      <w:r w:rsidR="00FA3F29">
        <w:t>internes</w:t>
      </w:r>
      <w:r>
        <w:t>.</w:t>
      </w:r>
    </w:p>
    <w:p w:rsidR="001F17B8" w:rsidRPr="00F36EA6" w:rsidRDefault="001F17B8" w:rsidP="00977D98">
      <w:pPr>
        <w:pStyle w:val="ManualNumPar1"/>
      </w:pPr>
      <w:r>
        <w:t>9.</w:t>
      </w:r>
      <w:r w:rsidR="00977D98">
        <w:tab/>
      </w:r>
      <w:r>
        <w:t xml:space="preserve">S'agissant des </w:t>
      </w:r>
      <w:r w:rsidR="00870FFE">
        <w:t>entités assujetties</w:t>
      </w:r>
      <w:r>
        <w:t xml:space="preserve"> visées à l'article 2, paragraphe 1, point 3) a), b) et d), les États membres peuvent permettre que les fonctions visées au paragraphe 1</w:t>
      </w:r>
      <w:r w:rsidR="001601B2">
        <w:t xml:space="preserve"> du présent article</w:t>
      </w:r>
      <w:r>
        <w:t xml:space="preserve"> soient exercées par des organismes d'autorégulation, pourvu que ces derniers </w:t>
      </w:r>
      <w:r w:rsidR="00FA3F29">
        <w:t>se conforment</w:t>
      </w:r>
      <w:r>
        <w:t xml:space="preserve"> au paragraphe 2 du présent article.</w:t>
      </w:r>
    </w:p>
    <w:p w:rsidR="001F17B8" w:rsidRPr="00F36EA6" w:rsidRDefault="001F17B8" w:rsidP="00E56C6F">
      <w:pPr>
        <w:pStyle w:val="ManualNumPar1"/>
        <w:rPr>
          <w:noProof/>
        </w:rPr>
      </w:pPr>
      <w:r>
        <w:t>10.</w:t>
      </w:r>
      <w:r w:rsidR="00977D98">
        <w:tab/>
      </w:r>
      <w:r>
        <w:t>Au plus tard le ...</w:t>
      </w:r>
      <w:r w:rsidR="008A415D">
        <w:rPr>
          <w:rStyle w:val="FootnoteReference"/>
        </w:rPr>
        <w:footnoteReference w:customMarkFollows="1" w:id="42"/>
        <w:t>*</w:t>
      </w:r>
      <w:r>
        <w:t xml:space="preserve">, les </w:t>
      </w:r>
      <w:r w:rsidR="00FA3F29">
        <w:t>AES</w:t>
      </w:r>
      <w:r>
        <w:t xml:space="preserve"> émettent à l'intention des autorités compétentes</w:t>
      </w:r>
      <w:r w:rsidR="00E56C6F">
        <w:t>,</w:t>
      </w:r>
      <w:r>
        <w:t xml:space="preserve"> </w:t>
      </w:r>
      <w:r w:rsidR="00E56C6F">
        <w:t>conformément à l'article 16 des règlements (UE) n° 1093/201</w:t>
      </w:r>
      <w:r w:rsidR="0001478E">
        <w:t>0, (UE) n° 1094/2010 et (UE) n° </w:t>
      </w:r>
      <w:r w:rsidR="00E56C6F">
        <w:t xml:space="preserve">1095/2010, </w:t>
      </w:r>
      <w:r>
        <w:t xml:space="preserve">des orientations concernant les caractéristiques d'une approche de la surveillance </w:t>
      </w:r>
      <w:r w:rsidR="00E56C6F" w:rsidRPr="008B3389">
        <w:t>fondée</w:t>
      </w:r>
      <w:r w:rsidRPr="008B3389">
        <w:t xml:space="preserve"> sur </w:t>
      </w:r>
      <w:r w:rsidR="0016350C" w:rsidRPr="008B3389">
        <w:t>les</w:t>
      </w:r>
      <w:r w:rsidRPr="008B3389">
        <w:t xml:space="preserve"> risques</w:t>
      </w:r>
      <w:r>
        <w:t xml:space="preserve"> et la marche à suivre lors d'une surveillance </w:t>
      </w:r>
      <w:r w:rsidRPr="008B3389">
        <w:t xml:space="preserve">fondée sur </w:t>
      </w:r>
      <w:r w:rsidR="0016350C" w:rsidRPr="008B3389">
        <w:t>les</w:t>
      </w:r>
      <w:r w:rsidRPr="008B3389">
        <w:t xml:space="preserve"> risques</w:t>
      </w:r>
      <w:r>
        <w:t xml:space="preserve">. </w:t>
      </w:r>
      <w:r w:rsidR="00ED21E8">
        <w:t>L</w:t>
      </w:r>
      <w:r>
        <w:t xml:space="preserve">a nature et la taille des activités sont </w:t>
      </w:r>
      <w:r w:rsidR="00E56C6F">
        <w:t xml:space="preserve">spécifiquement </w:t>
      </w:r>
      <w:r>
        <w:t>prises en compte et, lorsque cela est approprié et proportionné, des mesures spécifiques sont prévues.</w:t>
      </w:r>
    </w:p>
    <w:p w:rsidR="001F17B8" w:rsidRPr="00977D98" w:rsidRDefault="00977D98" w:rsidP="00977D98">
      <w:pPr>
        <w:pStyle w:val="SectionTitle"/>
      </w:pPr>
      <w:r>
        <w:br w:type="page"/>
      </w:r>
      <w:r w:rsidR="001F17B8" w:rsidRPr="00977D98">
        <w:t>Section 3</w:t>
      </w:r>
      <w:r w:rsidRPr="00977D98">
        <w:br/>
      </w:r>
      <w:r w:rsidR="0001478E" w:rsidRPr="00977D98">
        <w:t>Coopération</w:t>
      </w:r>
    </w:p>
    <w:p w:rsidR="001F17B8" w:rsidRPr="00F36EA6" w:rsidRDefault="001F17B8" w:rsidP="00977D98">
      <w:pPr>
        <w:pStyle w:val="SectionTitle"/>
        <w:rPr>
          <w:noProof/>
        </w:rPr>
      </w:pPr>
      <w:r>
        <w:rPr>
          <w:noProof/>
        </w:rPr>
        <w:t>Sous-section I</w:t>
      </w:r>
      <w:r w:rsidR="00977D98">
        <w:rPr>
          <w:noProof/>
        </w:rPr>
        <w:br/>
      </w:r>
      <w:r w:rsidR="0001478E">
        <w:rPr>
          <w:noProof/>
        </w:rPr>
        <w:t>C</w:t>
      </w:r>
      <w:r>
        <w:rPr>
          <w:noProof/>
        </w:rPr>
        <w:t>oopération nationale</w:t>
      </w:r>
    </w:p>
    <w:p w:rsidR="001F17B8" w:rsidRPr="00977D98" w:rsidRDefault="001F17B8" w:rsidP="006950AA">
      <w:pPr>
        <w:pStyle w:val="Titrearticle"/>
      </w:pPr>
      <w:r w:rsidRPr="00977D98">
        <w:t xml:space="preserve">Article </w:t>
      </w:r>
      <w:r w:rsidR="006950AA">
        <w:t>49</w:t>
      </w:r>
    </w:p>
    <w:p w:rsidR="001F17B8" w:rsidRPr="00F36EA6" w:rsidRDefault="001F17B8" w:rsidP="00977D98">
      <w:r>
        <w:t>Les États membres veillent à ce que les instances responsables, les CRF, les autorités de surveillance et les autres autorités compétentes participant à la lutte contre le blanchiment de capitaux et le financement du terrorisme disposent de mécanismes efficaces leur permettant de coopérer et de se coordonner à l'échelle nationale en ce qui concerne la définition et la mise en œuvre de politiques et d'activités visant à lutter contre le blanchiment de capitaux et le financement du terrorisme, notamment en vue de s'acquitter des obligations qui leur incombent au titre de l'article 7.</w:t>
      </w:r>
    </w:p>
    <w:p w:rsidR="001F17B8" w:rsidRPr="00F36EA6" w:rsidRDefault="001F17B8" w:rsidP="00977D98">
      <w:pPr>
        <w:pStyle w:val="SectionTitle"/>
      </w:pPr>
      <w:r>
        <w:rPr>
          <w:noProof/>
        </w:rPr>
        <w:t>Sous-section II</w:t>
      </w:r>
      <w:r w:rsidR="00977D98">
        <w:rPr>
          <w:noProof/>
        </w:rPr>
        <w:br/>
      </w:r>
      <w:r>
        <w:rPr>
          <w:noProof/>
        </w:rPr>
        <w:t>Coopération avec</w:t>
      </w:r>
      <w:r>
        <w:t xml:space="preserve"> </w:t>
      </w:r>
      <w:r>
        <w:rPr>
          <w:noProof/>
        </w:rPr>
        <w:t xml:space="preserve">les </w:t>
      </w:r>
      <w:r w:rsidR="0001478E">
        <w:rPr>
          <w:noProof/>
        </w:rPr>
        <w:t>AES</w:t>
      </w:r>
    </w:p>
    <w:p w:rsidR="001F17B8" w:rsidRPr="00977D98" w:rsidRDefault="001F17B8" w:rsidP="006950AA">
      <w:pPr>
        <w:pStyle w:val="Titrearticle"/>
      </w:pPr>
      <w:r w:rsidRPr="00977D98">
        <w:t xml:space="preserve">Article </w:t>
      </w:r>
      <w:r w:rsidR="006950AA">
        <w:t>50</w:t>
      </w:r>
    </w:p>
    <w:p w:rsidR="001F17B8" w:rsidRPr="00F36EA6" w:rsidRDefault="001F17B8" w:rsidP="00977D98">
      <w:pPr>
        <w:rPr>
          <w:noProof/>
        </w:rPr>
      </w:pPr>
      <w:r>
        <w:t xml:space="preserve">Les autorités compétentes fournissent aux </w:t>
      </w:r>
      <w:r w:rsidR="00FA3F29">
        <w:t>AES</w:t>
      </w:r>
      <w:r>
        <w:t xml:space="preserve"> toutes les informations nécessaires </w:t>
      </w:r>
      <w:r w:rsidR="00FA3F29">
        <w:t>pour leur permettre d</w:t>
      </w:r>
      <w:r>
        <w:t>'accompli</w:t>
      </w:r>
      <w:r w:rsidR="00FA3F29">
        <w:t>r</w:t>
      </w:r>
      <w:r>
        <w:t xml:space="preserve"> leur mission au titre de la présente directive.</w:t>
      </w:r>
    </w:p>
    <w:p w:rsidR="001F17B8" w:rsidRPr="00F627E3" w:rsidRDefault="00977D98" w:rsidP="00977D98">
      <w:pPr>
        <w:pStyle w:val="SectionTitle"/>
        <w:rPr>
          <w:noProof/>
        </w:rPr>
      </w:pPr>
      <w:r>
        <w:rPr>
          <w:noProof/>
        </w:rPr>
        <w:br w:type="page"/>
      </w:r>
      <w:r w:rsidR="001F17B8">
        <w:rPr>
          <w:noProof/>
        </w:rPr>
        <w:t>Sous-section III</w:t>
      </w:r>
      <w:r>
        <w:rPr>
          <w:noProof/>
        </w:rPr>
        <w:br/>
      </w:r>
      <w:r w:rsidR="001F17B8">
        <w:rPr>
          <w:noProof/>
        </w:rPr>
        <w:t>Coopération entre les CRF et avec la Commission</w:t>
      </w:r>
    </w:p>
    <w:p w:rsidR="001F17B8" w:rsidRPr="00977D98" w:rsidRDefault="001F17B8" w:rsidP="006950AA">
      <w:pPr>
        <w:pStyle w:val="Titrearticle"/>
      </w:pPr>
      <w:r w:rsidRPr="00977D98">
        <w:t xml:space="preserve">Article </w:t>
      </w:r>
      <w:r w:rsidR="006950AA">
        <w:t>51</w:t>
      </w:r>
    </w:p>
    <w:p w:rsidR="001F17B8" w:rsidRPr="00F627E3" w:rsidRDefault="001F17B8" w:rsidP="00732871">
      <w:pPr>
        <w:rPr>
          <w:highlight w:val="cyan"/>
        </w:rPr>
      </w:pPr>
      <w:r>
        <w:t xml:space="preserve">La Commission peut apporter tout le soutien nécessaire pour faciliter la coordination, </w:t>
      </w:r>
      <w:r w:rsidR="00FA3F29">
        <w:t>y compris</w:t>
      </w:r>
      <w:r>
        <w:t xml:space="preserve"> l'échange d'informations entre les CRF au sein de l'Union. Elle p</w:t>
      </w:r>
      <w:r w:rsidR="0001478E">
        <w:t xml:space="preserve">eut convoquer régulièrement des </w:t>
      </w:r>
      <w:r>
        <w:t>réunions de la plate-forme des CRF de l'UE, composée de représentants des CRF des États membres, afin de faciliter la coopération entre les CRF, de procéder à des échanges de vues et de fournir des conseils sur des questions de mise en œuvre pertinentes pour les CRF et les entités déclarantes et sur les questions relatives à la coopération, telles qu'une</w:t>
      </w:r>
      <w:r w:rsidR="0001478E">
        <w:t xml:space="preserve"> coopération efficace entre les </w:t>
      </w:r>
      <w:r>
        <w:t>CRF, l'identification de transactions suspectes présentant une dimension transfront</w:t>
      </w:r>
      <w:r w:rsidR="00E56C6F">
        <w:t>al</w:t>
      </w:r>
      <w:r>
        <w:t xml:space="preserve">ière, la normalisation des formats de déclaration </w:t>
      </w:r>
      <w:r w:rsidR="00E56C6F">
        <w:t>par l'intermédiaire du</w:t>
      </w:r>
      <w:r>
        <w:t xml:space="preserve"> FIU.net</w:t>
      </w:r>
      <w:r w:rsidR="0016350C">
        <w:t xml:space="preserve"> ou son successeur</w:t>
      </w:r>
      <w:r>
        <w:t>, l'analyse conjointe de cas transfront</w:t>
      </w:r>
      <w:r w:rsidR="00E56C6F">
        <w:t>al</w:t>
      </w:r>
      <w:r>
        <w:t>i</w:t>
      </w:r>
      <w:r w:rsidR="00E56C6F">
        <w:t>e</w:t>
      </w:r>
      <w:r>
        <w:t xml:space="preserve">rs et l'identification des tendances et des facteurs </w:t>
      </w:r>
      <w:r w:rsidR="00732871">
        <w:t>pertinents</w:t>
      </w:r>
      <w:r w:rsidR="00E56C6F">
        <w:t xml:space="preserve"> pour </w:t>
      </w:r>
      <w:r>
        <w:t>évalu</w:t>
      </w:r>
      <w:r w:rsidR="00E56C6F">
        <w:t>er</w:t>
      </w:r>
      <w:r>
        <w:t xml:space="preserve"> </w:t>
      </w:r>
      <w:r w:rsidR="00E56C6F">
        <w:t>l</w:t>
      </w:r>
      <w:r>
        <w:t>es risques de blanchiment de capitaux et de financement du terrorisme, tant au niveau national qu'à l'échelle supranationale.</w:t>
      </w:r>
    </w:p>
    <w:p w:rsidR="001F17B8" w:rsidRPr="00977D98" w:rsidRDefault="001F17B8" w:rsidP="006950AA">
      <w:pPr>
        <w:pStyle w:val="Titrearticle"/>
      </w:pPr>
      <w:r>
        <w:t xml:space="preserve">Article </w:t>
      </w:r>
      <w:r w:rsidR="006950AA">
        <w:t>52</w:t>
      </w:r>
    </w:p>
    <w:p w:rsidR="001F17B8" w:rsidRPr="00F627E3" w:rsidRDefault="001F17B8" w:rsidP="00732871">
      <w:pPr>
        <w:rPr>
          <w:noProof/>
        </w:rPr>
      </w:pPr>
      <w:r>
        <w:t xml:space="preserve">Les États membres veillent à ce que les CRF coopèrent </w:t>
      </w:r>
      <w:r w:rsidR="00732871">
        <w:t>dans la plus grande mesure</w:t>
      </w:r>
      <w:r>
        <w:t xml:space="preserve"> possible, quel que soit leur statut.</w:t>
      </w:r>
    </w:p>
    <w:p w:rsidR="001F17B8" w:rsidRPr="00F627E3" w:rsidRDefault="00977D98" w:rsidP="006950AA">
      <w:pPr>
        <w:pStyle w:val="Titrearticle"/>
        <w:rPr>
          <w:iCs/>
          <w:noProof/>
        </w:rPr>
      </w:pPr>
      <w:r>
        <w:br w:type="page"/>
      </w:r>
      <w:r w:rsidR="001F17B8">
        <w:t>Article 5</w:t>
      </w:r>
      <w:r w:rsidR="006950AA">
        <w:t>3</w:t>
      </w:r>
    </w:p>
    <w:p w:rsidR="00ED21E8" w:rsidRDefault="001F17B8" w:rsidP="00C91F3C">
      <w:pPr>
        <w:pStyle w:val="ManualNumPar1"/>
      </w:pPr>
      <w:r>
        <w:t>1.</w:t>
      </w:r>
      <w:r w:rsidR="00977D98">
        <w:tab/>
      </w:r>
      <w:r>
        <w:t>Les États membres veillent à ce que les CRF échangent, spontané</w:t>
      </w:r>
      <w:r w:rsidR="0001478E">
        <w:t xml:space="preserve">ment ou sur demande, toutes les </w:t>
      </w:r>
      <w:r>
        <w:t xml:space="preserve">informations susceptibles d'être </w:t>
      </w:r>
      <w:r w:rsidR="008D7683">
        <w:t>pertinentes pour le</w:t>
      </w:r>
      <w:r>
        <w:t xml:space="preserve"> traitement ou l'analyse d'informations effectués par une CRF en lien avec le blanchiment de capitaux ou le financement du terrorisme et la personne physique ou morale en cause, même si la nature de </w:t>
      </w:r>
      <w:r w:rsidRPr="00C91F3C">
        <w:t xml:space="preserve">l'infraction </w:t>
      </w:r>
      <w:r w:rsidR="00C91F3C" w:rsidRPr="00C91F3C">
        <w:t>sous</w:t>
      </w:r>
      <w:r w:rsidR="00C91F3C">
        <w:t>-jacente associée</w:t>
      </w:r>
      <w:r>
        <w:t xml:space="preserve"> susceptible d'être </w:t>
      </w:r>
      <w:r w:rsidR="001302D5">
        <w:t>en cause</w:t>
      </w:r>
      <w:r>
        <w:t xml:space="preserve"> n'est pas identifiée au moment où l'échange se produit.</w:t>
      </w:r>
    </w:p>
    <w:p w:rsidR="001F17B8" w:rsidRPr="00F627E3" w:rsidRDefault="001F17B8" w:rsidP="0001478E">
      <w:pPr>
        <w:pStyle w:val="Text1"/>
      </w:pPr>
      <w:r>
        <w:t>Une demande décrit les faits pertinents et leur contexte et fournit les raisons de la demande et des indications sur la manière dont les informations demandées seront utilisées. Différents mécanismes d'échange peuvent s'appliquer si les CRF en conviennent, notamment en ce qui concerne les échanges effectués par l'intermédiaire du FIU.net</w:t>
      </w:r>
      <w:r w:rsidR="008B3389">
        <w:t xml:space="preserve"> </w:t>
      </w:r>
      <w:r w:rsidR="0016350C">
        <w:t>ou son successeur</w:t>
      </w:r>
      <w:r>
        <w:t>.</w:t>
      </w:r>
    </w:p>
    <w:p w:rsidR="001F17B8" w:rsidRPr="00F627E3" w:rsidRDefault="001F17B8" w:rsidP="0001478E">
      <w:pPr>
        <w:pStyle w:val="Text1"/>
      </w:pPr>
      <w:r>
        <w:t>Lorsqu'une CRF reçoit un rapport établi en application de l'article 3</w:t>
      </w:r>
      <w:r w:rsidR="006950AA">
        <w:t>3</w:t>
      </w:r>
      <w:r>
        <w:t xml:space="preserve">, paragraphe 1, </w:t>
      </w:r>
      <w:r w:rsidR="0016350C">
        <w:t xml:space="preserve">premier alinéa, </w:t>
      </w:r>
      <w:r>
        <w:t>point a), qui concerne un autre État membre, elle le transmet sans délai à la CRF dudit État membre.</w:t>
      </w:r>
    </w:p>
    <w:p w:rsidR="001F17B8" w:rsidRPr="00F627E3" w:rsidRDefault="001F17B8">
      <w:pPr>
        <w:pStyle w:val="ManualNumPar1"/>
        <w:rPr>
          <w:noProof/>
        </w:rPr>
      </w:pPr>
      <w:r>
        <w:t>2.</w:t>
      </w:r>
      <w:r w:rsidR="00977D98">
        <w:tab/>
      </w:r>
      <w:r>
        <w:t xml:space="preserve">Les États membres veillent à ce que la CRF qui est saisie, par une autre CRF, d'une demande d'informations </w:t>
      </w:r>
      <w:r w:rsidR="00E00B77">
        <w:t>visée au</w:t>
      </w:r>
      <w:r>
        <w:t xml:space="preserve"> paragraphe 1 soit tenue d'</w:t>
      </w:r>
      <w:r w:rsidR="008D7683">
        <w:t>utiliser, lorsqu'elle répond à la demande,</w:t>
      </w:r>
      <w:r>
        <w:t xml:space="preserve"> tous les pouvoirs dont elle dispose et auxquels elle aurait habituellement recours à l'échelle nationale pour recevoir et analyser des informations. La CRF à laquelle la demande est présentée répond </w:t>
      </w:r>
      <w:r w:rsidR="001302D5">
        <w:t>en temps utile</w:t>
      </w:r>
      <w:r>
        <w:t>.</w:t>
      </w:r>
    </w:p>
    <w:p w:rsidR="001F17B8" w:rsidRPr="00F627E3" w:rsidRDefault="0001478E" w:rsidP="0001478E">
      <w:pPr>
        <w:pStyle w:val="Text1"/>
      </w:pPr>
      <w:r>
        <w:br w:type="page"/>
      </w:r>
      <w:r w:rsidR="00ED21E8">
        <w:t>L</w:t>
      </w:r>
      <w:r w:rsidR="001F17B8">
        <w:t>orsqu</w:t>
      </w:r>
      <w:r w:rsidR="00E00B77">
        <w:t>'un</w:t>
      </w:r>
      <w:r w:rsidR="001F17B8">
        <w:t xml:space="preserve">e CRF cherche à obtenir des informations complémentaires auprès d'une </w:t>
      </w:r>
      <w:r w:rsidR="007468D1">
        <w:t>entité assujettie</w:t>
      </w:r>
      <w:r w:rsidR="001F17B8">
        <w:t xml:space="preserve"> </w:t>
      </w:r>
      <w:r w:rsidR="00D557D5">
        <w:t xml:space="preserve">établie dans </w:t>
      </w:r>
      <w:r w:rsidR="001F17B8">
        <w:t>un autr</w:t>
      </w:r>
      <w:r>
        <w:t xml:space="preserve">e État membre qui opère sur son </w:t>
      </w:r>
      <w:r w:rsidR="001F17B8">
        <w:t xml:space="preserve">territoire, la demande est adressée à la CRF de l'État membre sur le territoire duquel </w:t>
      </w:r>
      <w:r w:rsidR="00ED21E8">
        <w:t>est établie</w:t>
      </w:r>
      <w:r w:rsidR="001F17B8">
        <w:t xml:space="preserve"> l'</w:t>
      </w:r>
      <w:r w:rsidR="007468D1">
        <w:t>entité assujettie</w:t>
      </w:r>
      <w:r w:rsidR="001F17B8">
        <w:t>. Cette CRF transmet les demandes et les réponses rapidement.</w:t>
      </w:r>
    </w:p>
    <w:p w:rsidR="001F17B8" w:rsidRPr="00F627E3" w:rsidRDefault="001F17B8">
      <w:pPr>
        <w:pStyle w:val="ManualNumPar1"/>
        <w:rPr>
          <w:noProof/>
        </w:rPr>
      </w:pPr>
      <w:r>
        <w:t>3.</w:t>
      </w:r>
      <w:r w:rsidR="00977D98">
        <w:tab/>
      </w:r>
      <w:r>
        <w:t>Une CRF ne peut refuser d'échanger des informations qu'à titre exceptionnel, lorsque l'échange pourrait être contraire à des principes fondamentaux d</w:t>
      </w:r>
      <w:r w:rsidR="00E00B77">
        <w:t>e son</w:t>
      </w:r>
      <w:r>
        <w:t xml:space="preserve"> droit national. Ces exceptions sont précisé</w:t>
      </w:r>
      <w:r w:rsidR="00E90C75">
        <w:t>e</w:t>
      </w:r>
      <w:r>
        <w:t>s de manière à prévenir tout usage abusif ou toute restriction indue du libre échange d'informations à des fins d'analyse.</w:t>
      </w:r>
    </w:p>
    <w:p w:rsidR="001F17B8" w:rsidRPr="00977D98" w:rsidRDefault="001F17B8" w:rsidP="006950AA">
      <w:pPr>
        <w:pStyle w:val="Titrearticle"/>
      </w:pPr>
      <w:r w:rsidRPr="00977D98">
        <w:t>Article 5</w:t>
      </w:r>
      <w:r w:rsidR="006950AA">
        <w:t>4</w:t>
      </w:r>
    </w:p>
    <w:p w:rsidR="001F17B8" w:rsidRPr="00F627E3" w:rsidRDefault="001F17B8" w:rsidP="00732871">
      <w:pPr>
        <w:rPr>
          <w:noProof/>
        </w:rPr>
      </w:pPr>
      <w:r>
        <w:t>Les informations et les documents reçus en vertu des articles </w:t>
      </w:r>
      <w:r w:rsidR="006950AA">
        <w:t>52</w:t>
      </w:r>
      <w:r>
        <w:t xml:space="preserve"> et 5</w:t>
      </w:r>
      <w:r w:rsidR="006950AA">
        <w:t>3</w:t>
      </w:r>
      <w:r>
        <w:t xml:space="preserve"> sont utilisés pour l'accomplissement des tâches de la CRF telles qu'elles sont définies dans la présente directive. L</w:t>
      </w:r>
      <w:r w:rsidR="00732871">
        <w:t>ors</w:t>
      </w:r>
      <w:r>
        <w:t xml:space="preserve"> </w:t>
      </w:r>
      <w:r w:rsidR="00732871">
        <w:t>d'</w:t>
      </w:r>
      <w:r w:rsidR="00ED21E8">
        <w:t>échange</w:t>
      </w:r>
      <w:r w:rsidR="00732871">
        <w:t>s</w:t>
      </w:r>
      <w:r w:rsidR="00ED21E8">
        <w:t xml:space="preserve"> </w:t>
      </w:r>
      <w:r>
        <w:t>d</w:t>
      </w:r>
      <w:r w:rsidR="00732871">
        <w:t>'</w:t>
      </w:r>
      <w:r>
        <w:t xml:space="preserve">informations et de documents en </w:t>
      </w:r>
      <w:r w:rsidR="00ED21E8">
        <w:t xml:space="preserve">vertu </w:t>
      </w:r>
      <w:r>
        <w:t>des articles </w:t>
      </w:r>
      <w:r w:rsidR="006950AA">
        <w:t xml:space="preserve">52 </w:t>
      </w:r>
      <w:r>
        <w:t>et 5</w:t>
      </w:r>
      <w:r w:rsidR="006950AA">
        <w:t>3</w:t>
      </w:r>
      <w:r>
        <w:t>,</w:t>
      </w:r>
      <w:r w:rsidR="00732871">
        <w:t xml:space="preserve"> la CRF</w:t>
      </w:r>
      <w:r w:rsidR="00AD6FF1">
        <w:t xml:space="preserve"> </w:t>
      </w:r>
      <w:r w:rsidR="00732871">
        <w:t>qui les transmet peut</w:t>
      </w:r>
      <w:r>
        <w:t xml:space="preserve"> imposer des restrictions et des conditions quant à l'utilisation de ces informations. La CRF destinataire se conforme à ces restrictions et conditions.</w:t>
      </w:r>
    </w:p>
    <w:p w:rsidR="001F17B8" w:rsidRPr="00977D98" w:rsidRDefault="001F17B8" w:rsidP="006950AA">
      <w:pPr>
        <w:pStyle w:val="Titrearticle"/>
      </w:pPr>
      <w:r>
        <w:t>Article 5</w:t>
      </w:r>
      <w:r w:rsidR="006950AA">
        <w:t>5</w:t>
      </w:r>
    </w:p>
    <w:p w:rsidR="001F17B8" w:rsidRPr="00F627E3" w:rsidRDefault="001F17B8">
      <w:pPr>
        <w:pStyle w:val="ManualNumPar1"/>
        <w:rPr>
          <w:noProof/>
        </w:rPr>
      </w:pPr>
      <w:r>
        <w:t>1.</w:t>
      </w:r>
      <w:r w:rsidR="00977D98">
        <w:tab/>
      </w:r>
      <w:r>
        <w:t xml:space="preserve">Les États membres veillent à ce que les informations échangées </w:t>
      </w:r>
      <w:r w:rsidR="00ED21E8">
        <w:t xml:space="preserve">en vertu des articles </w:t>
      </w:r>
      <w:r w:rsidR="006950AA">
        <w:t>52</w:t>
      </w:r>
      <w:r w:rsidR="0001478E">
        <w:t xml:space="preserve"> et </w:t>
      </w:r>
      <w:r w:rsidR="00ED21E8">
        <w:t>5</w:t>
      </w:r>
      <w:r w:rsidR="006950AA">
        <w:t>3</w:t>
      </w:r>
      <w:r w:rsidR="00ED21E8">
        <w:t xml:space="preserve"> </w:t>
      </w:r>
      <w:r>
        <w:t xml:space="preserve">soient utilisées uniquement aux fins pour lesquelles elles ont été demandées ou fournies et à ce que toute </w:t>
      </w:r>
      <w:r w:rsidR="008D7683">
        <w:t xml:space="preserve">dissémination </w:t>
      </w:r>
      <w:r>
        <w:t>de</w:t>
      </w:r>
      <w:r w:rsidR="00ED21E8">
        <w:t xml:space="preserve"> ce</w:t>
      </w:r>
      <w:r>
        <w:t>s informations par la CRF destinataire à toute autre autorité, agence ou département, ou toute utilisation de ces informations à des fins allant au-delà de celles initialement approuvées, soit subordonnée à l'autorisation préalable de la CRF ayant fourni ces informations.</w:t>
      </w:r>
    </w:p>
    <w:p w:rsidR="001F17B8" w:rsidRPr="00F627E3" w:rsidRDefault="001F17B8">
      <w:pPr>
        <w:pStyle w:val="ManualNumPar1"/>
      </w:pPr>
      <w:r>
        <w:br w:type="page"/>
        <w:t>2.</w:t>
      </w:r>
      <w:r w:rsidR="00977D98">
        <w:tab/>
      </w:r>
      <w:r>
        <w:t xml:space="preserve">Les États membres veillent à ce que l'accord préalable de la CRF sollicitée pour la </w:t>
      </w:r>
      <w:r w:rsidR="00500C3C">
        <w:t xml:space="preserve">dissémination </w:t>
      </w:r>
      <w:r>
        <w:t>des informations aux autorités compétentes soit octroyé sans délai et dans la plus large mesure possible. La CRF sollicitée ne refuse</w:t>
      </w:r>
      <w:r w:rsidR="0090512C">
        <w:t xml:space="preserve"> pas</w:t>
      </w:r>
      <w:r>
        <w:t xml:space="preserve"> de donner son accord</w:t>
      </w:r>
      <w:r w:rsidR="008D7683">
        <w:t xml:space="preserve"> à cette dissémination</w:t>
      </w:r>
      <w:r>
        <w:t xml:space="preserve">, sauf si </w:t>
      </w:r>
      <w:r w:rsidR="008D7683">
        <w:t>elle</w:t>
      </w:r>
      <w:r>
        <w:t xml:space="preserve"> n'entre pas dans le champ d'application de ses dispositions en matière de lutte contre le blanchiment de capitaux et le financement du terrorisme, est susceptible d'entraver une enquête pénale, serait manifestement disproportionnée par rapport aux intérêts légitimes d'une personne physique ou morale ou de l'État membre de la CRF </w:t>
      </w:r>
      <w:r w:rsidRPr="00ED21E8">
        <w:t xml:space="preserve">sollicitée ou serait, pour une autre raison, contraire aux principes fondamentaux du droit national dudit État membre. À cet égard, tout refus de donner son accord est dûment </w:t>
      </w:r>
      <w:r w:rsidR="001A6EB7">
        <w:t>expliqué</w:t>
      </w:r>
      <w:r w:rsidRPr="00ED21E8">
        <w:t>.</w:t>
      </w:r>
    </w:p>
    <w:p w:rsidR="001F17B8" w:rsidRPr="00977D98" w:rsidRDefault="001F17B8" w:rsidP="006950AA">
      <w:pPr>
        <w:pStyle w:val="Titrearticle"/>
      </w:pPr>
      <w:r w:rsidRPr="00977D98">
        <w:t>Article 5</w:t>
      </w:r>
      <w:r w:rsidR="006950AA">
        <w:t>6</w:t>
      </w:r>
    </w:p>
    <w:p w:rsidR="001F17B8" w:rsidRPr="00F627E3" w:rsidRDefault="001F17B8" w:rsidP="00977D98">
      <w:pPr>
        <w:pStyle w:val="ManualNumPar1"/>
        <w:rPr>
          <w:noProof/>
        </w:rPr>
      </w:pPr>
      <w:r>
        <w:t>1.</w:t>
      </w:r>
      <w:r w:rsidR="00977D98">
        <w:tab/>
      </w:r>
      <w:r>
        <w:t>Les États membres exigent de leurs CRF qu'elles recourent à des canaux de communication protégés entre elles et les encouragent à utiliser le FIU.net</w:t>
      </w:r>
      <w:r w:rsidR="0016350C">
        <w:t xml:space="preserve"> ou son successeur</w:t>
      </w:r>
      <w:r>
        <w:t>.</w:t>
      </w:r>
    </w:p>
    <w:p w:rsidR="001F17B8" w:rsidRPr="00F627E3" w:rsidRDefault="001F17B8" w:rsidP="00732871">
      <w:pPr>
        <w:pStyle w:val="ManualNumPar1"/>
        <w:rPr>
          <w:noProof/>
        </w:rPr>
      </w:pPr>
      <w:r>
        <w:t>2.</w:t>
      </w:r>
      <w:r w:rsidR="00977D98">
        <w:tab/>
      </w:r>
      <w:r>
        <w:t xml:space="preserve">Les États membres veillent à ce qu'afin de s'acquitter de leurs tâches telles qu'elles sont définies dans la présente directive, leurs CRF coopèrent </w:t>
      </w:r>
      <w:r w:rsidR="00732871">
        <w:t>dans le cadre</w:t>
      </w:r>
      <w:r>
        <w:t xml:space="preserve"> de l'application de technologies de pointe, conformément à leur droit national. Ces technologies permettent à chaque CRF de comparer ses données à celles d'autres CRF de façon anonyme, en assurant pleinement la protection des données à caractère personnel, dans le but de détecter, dans d'autres États membres, des personnes qui l'intéressent et d'identifier leurs produits et leurs fonds.</w:t>
      </w:r>
    </w:p>
    <w:p w:rsidR="001F17B8" w:rsidRPr="00977D98" w:rsidRDefault="001F17B8" w:rsidP="006950AA">
      <w:pPr>
        <w:pStyle w:val="Titrearticle"/>
      </w:pPr>
      <w:r>
        <w:t xml:space="preserve">Article </w:t>
      </w:r>
      <w:r w:rsidR="006950AA">
        <w:t>57</w:t>
      </w:r>
    </w:p>
    <w:p w:rsidR="001F17B8" w:rsidRPr="00F627E3" w:rsidRDefault="001F17B8" w:rsidP="00732871">
      <w:pPr>
        <w:rPr>
          <w:noProof/>
        </w:rPr>
      </w:pPr>
      <w:r>
        <w:t>Les différences existant entre les droits nationaux en ce qui concerne la définition des infractions fiscales pénales n'entravent pas la capacité des CRF d'échanger des informations ou d'apporter leur aide à une autre CRF dans la</w:t>
      </w:r>
      <w:r w:rsidR="00732871">
        <w:t xml:space="preserve"> plus grande</w:t>
      </w:r>
      <w:r>
        <w:t xml:space="preserve"> mesure </w:t>
      </w:r>
      <w:r w:rsidR="008D7683">
        <w:t>possible en vertu de</w:t>
      </w:r>
      <w:r>
        <w:t xml:space="preserve"> leur droit national.</w:t>
      </w:r>
    </w:p>
    <w:p w:rsidR="001F17B8" w:rsidRPr="00977D98" w:rsidRDefault="00977D98" w:rsidP="00977D98">
      <w:pPr>
        <w:pStyle w:val="SectionTitle"/>
      </w:pPr>
      <w:r>
        <w:br w:type="page"/>
      </w:r>
      <w:r w:rsidR="001F17B8" w:rsidRPr="00977D98">
        <w:t>Section 4</w:t>
      </w:r>
      <w:r w:rsidRPr="00977D98">
        <w:br/>
      </w:r>
      <w:r w:rsidR="001F17B8" w:rsidRPr="00977D98">
        <w:t>Sanctions</w:t>
      </w:r>
    </w:p>
    <w:p w:rsidR="001F17B8" w:rsidRPr="00F627E3" w:rsidRDefault="001F17B8" w:rsidP="006950AA">
      <w:pPr>
        <w:pStyle w:val="Titrearticle"/>
        <w:rPr>
          <w:iCs/>
          <w:noProof/>
        </w:rPr>
      </w:pPr>
      <w:r>
        <w:rPr>
          <w:noProof/>
        </w:rPr>
        <w:t>Article 5</w:t>
      </w:r>
      <w:r w:rsidR="006950AA">
        <w:rPr>
          <w:noProof/>
        </w:rPr>
        <w:t>8</w:t>
      </w:r>
    </w:p>
    <w:p w:rsidR="001F17B8" w:rsidRPr="00F627E3" w:rsidRDefault="001F17B8" w:rsidP="006950AA">
      <w:pPr>
        <w:pStyle w:val="ManualNumPar1"/>
      </w:pPr>
      <w:r>
        <w:t>1.</w:t>
      </w:r>
      <w:r w:rsidR="00977D98">
        <w:tab/>
      </w:r>
      <w:r>
        <w:t xml:space="preserve">Les États membres veillent à ce que les </w:t>
      </w:r>
      <w:r w:rsidR="00870FFE">
        <w:t>entités assujetties</w:t>
      </w:r>
      <w:r>
        <w:t xml:space="preserve"> puissent être tenues responsables en cas d'infraction aux dispositions nationales </w:t>
      </w:r>
      <w:r w:rsidR="0090512C">
        <w:t>transposant</w:t>
      </w:r>
      <w:r>
        <w:t xml:space="preserve"> la présente directive, conformément </w:t>
      </w:r>
      <w:r w:rsidR="006950AA">
        <w:t xml:space="preserve">au présent article et </w:t>
      </w:r>
      <w:r>
        <w:t>aux articles </w:t>
      </w:r>
      <w:r w:rsidR="006950AA">
        <w:t xml:space="preserve">59 </w:t>
      </w:r>
      <w:r>
        <w:t>à </w:t>
      </w:r>
      <w:r w:rsidR="006950AA">
        <w:t>61</w:t>
      </w:r>
      <w:r>
        <w:t>. Toute sanction ou mesure qui en découle est effective, proportionnée et dissuasive.</w:t>
      </w:r>
    </w:p>
    <w:p w:rsidR="001F17B8" w:rsidRPr="00F627E3" w:rsidRDefault="001F17B8" w:rsidP="00977D98">
      <w:pPr>
        <w:pStyle w:val="ManualNumPar1"/>
        <w:rPr>
          <w:noProof/>
        </w:rPr>
      </w:pPr>
      <w:r>
        <w:t>2.</w:t>
      </w:r>
      <w:r w:rsidR="00977D98">
        <w:tab/>
      </w:r>
      <w:r>
        <w:t>Sans préjudice du droit des États membres de prévoir et d'imposer des sanctions pénales, les États membres établissent des règles relatives aux sanctions et mesures administratives et veillent à ce que leurs autorités compétentes puissent imposer ces sanctions et mesures à l'égard des infractions aux dispositions nationales transposant la présente directive, et ils s'assurent qu'elles sont appliquées.</w:t>
      </w:r>
    </w:p>
    <w:p w:rsidR="001F17B8" w:rsidRPr="00F627E3" w:rsidRDefault="001F17B8" w:rsidP="0001478E">
      <w:pPr>
        <w:pStyle w:val="Text1"/>
        <w:rPr>
          <w:noProof/>
        </w:rPr>
      </w:pPr>
      <w:r w:rsidRPr="00F41390">
        <w:t xml:space="preserve">Les États membres </w:t>
      </w:r>
      <w:r w:rsidR="00F41390">
        <w:t xml:space="preserve">peuvent </w:t>
      </w:r>
      <w:r w:rsidRPr="00F41390">
        <w:t>décide</w:t>
      </w:r>
      <w:r w:rsidR="00F41390">
        <w:t>r</w:t>
      </w:r>
      <w:r w:rsidRPr="00F41390">
        <w:t xml:space="preserve"> de</w:t>
      </w:r>
      <w:r>
        <w:t xml:space="preserve"> ne pas fixer de régime de sanctions </w:t>
      </w:r>
      <w:r w:rsidR="0016350C">
        <w:t>ou</w:t>
      </w:r>
      <w:r w:rsidR="00ED21E8">
        <w:t xml:space="preserve"> mesures </w:t>
      </w:r>
      <w:r>
        <w:t xml:space="preserve">administratives pour les infractions qui </w:t>
      </w:r>
      <w:r w:rsidR="001302D5">
        <w:t>f</w:t>
      </w:r>
      <w:r w:rsidR="00F41390">
        <w:t>ont</w:t>
      </w:r>
      <w:r>
        <w:t xml:space="preserve"> </w:t>
      </w:r>
      <w:r w:rsidR="00F41390">
        <w:t>l'objet de sanctions pénales dans leur</w:t>
      </w:r>
      <w:r>
        <w:t xml:space="preserve"> droit national</w:t>
      </w:r>
      <w:r w:rsidR="008A415D">
        <w:t>.</w:t>
      </w:r>
      <w:r>
        <w:t xml:space="preserve"> </w:t>
      </w:r>
      <w:r w:rsidR="00ED21E8">
        <w:t>Dans ce cas</w:t>
      </w:r>
      <w:r w:rsidR="008A415D">
        <w:t xml:space="preserve">, les États membres </w:t>
      </w:r>
      <w:r>
        <w:t xml:space="preserve">communiquent à la Commission les dispositions </w:t>
      </w:r>
      <w:r w:rsidR="00F41390">
        <w:t xml:space="preserve">pertinentes </w:t>
      </w:r>
      <w:r>
        <w:t xml:space="preserve">de </w:t>
      </w:r>
      <w:r w:rsidR="00F41390">
        <w:t xml:space="preserve">leur </w:t>
      </w:r>
      <w:r>
        <w:t>droit pénal.</w:t>
      </w:r>
    </w:p>
    <w:p w:rsidR="001F17B8" w:rsidRPr="00F627E3" w:rsidRDefault="001F17B8" w:rsidP="001302D5">
      <w:pPr>
        <w:pStyle w:val="ManualNumPar1"/>
        <w:rPr>
          <w:noProof/>
        </w:rPr>
      </w:pPr>
      <w:r>
        <w:t>3.</w:t>
      </w:r>
      <w:r w:rsidR="00977D98">
        <w:tab/>
      </w:r>
      <w:r>
        <w:t xml:space="preserve">Lorsque des obligations s'appliquent à des personnes morales, les États membres font en sorte qu'en cas d'infraction aux dispositions nationales transposant la présente directive, des sanctions </w:t>
      </w:r>
      <w:r w:rsidR="00EA2ACE">
        <w:t>et</w:t>
      </w:r>
      <w:r w:rsidR="0016350C">
        <w:t xml:space="preserve"> </w:t>
      </w:r>
      <w:r>
        <w:t>des mesures</w:t>
      </w:r>
      <w:r w:rsidR="008A415D">
        <w:t xml:space="preserve"> </w:t>
      </w:r>
      <w:r>
        <w:t xml:space="preserve">puissent être imposées aux membres des organes de direction et aux autres personnes physiques qui sont responsables, </w:t>
      </w:r>
      <w:r w:rsidR="001302D5">
        <w:t xml:space="preserve">au titre du </w:t>
      </w:r>
      <w:r>
        <w:t xml:space="preserve">droit </w:t>
      </w:r>
      <w:r w:rsidR="00F41390">
        <w:t>national</w:t>
      </w:r>
      <w:r>
        <w:t>, de l'infraction.</w:t>
      </w:r>
    </w:p>
    <w:p w:rsidR="001F17B8" w:rsidRPr="00F627E3" w:rsidRDefault="00977D98" w:rsidP="00977D98">
      <w:pPr>
        <w:pStyle w:val="ManualNumPar1"/>
        <w:rPr>
          <w:noProof/>
        </w:rPr>
      </w:pPr>
      <w:r>
        <w:br w:type="page"/>
      </w:r>
      <w:r w:rsidR="001F17B8">
        <w:t>4.</w:t>
      </w:r>
      <w:r>
        <w:tab/>
      </w:r>
      <w:r w:rsidR="001F17B8">
        <w:t>Les États membres veillent à ce que les autorités compétentes soient dotées de tous les pouvoirs de surveillance et d'enquête nécessaires à l'exercice de leurs fonctions.</w:t>
      </w:r>
    </w:p>
    <w:p w:rsidR="001F17B8" w:rsidRPr="00F627E3" w:rsidRDefault="001F17B8" w:rsidP="00977D98">
      <w:pPr>
        <w:pStyle w:val="ManualNumPar1"/>
        <w:rPr>
          <w:noProof/>
        </w:rPr>
      </w:pPr>
      <w:r>
        <w:t>5.</w:t>
      </w:r>
      <w:r w:rsidR="00977D98">
        <w:tab/>
      </w:r>
      <w:r>
        <w:t xml:space="preserve">Les autorités compétentes exercent leur pouvoir d'imposer des sanctions et des mesures </w:t>
      </w:r>
      <w:r w:rsidR="008A415D">
        <w:t xml:space="preserve">administratives </w:t>
      </w:r>
      <w:r>
        <w:t>conformément à la présente directive</w:t>
      </w:r>
      <w:r w:rsidR="001302D5">
        <w:t>,</w:t>
      </w:r>
      <w:r>
        <w:t xml:space="preserve"> et au droit national, selon les modalités suivantes:</w:t>
      </w:r>
    </w:p>
    <w:p w:rsidR="001F17B8" w:rsidRPr="00F627E3" w:rsidRDefault="001F17B8" w:rsidP="00977D98">
      <w:pPr>
        <w:pStyle w:val="Point1"/>
        <w:rPr>
          <w:noProof/>
        </w:rPr>
      </w:pPr>
      <w:r>
        <w:t>a)</w:t>
      </w:r>
      <w:r w:rsidR="00977D98">
        <w:tab/>
      </w:r>
      <w:r>
        <w:t>directement;</w:t>
      </w:r>
    </w:p>
    <w:p w:rsidR="001F17B8" w:rsidRPr="00F627E3" w:rsidRDefault="001F17B8" w:rsidP="00977D98">
      <w:pPr>
        <w:pStyle w:val="Point1"/>
        <w:rPr>
          <w:noProof/>
        </w:rPr>
      </w:pPr>
      <w:r>
        <w:t>b)</w:t>
      </w:r>
      <w:r w:rsidR="00977D98">
        <w:tab/>
      </w:r>
      <w:r>
        <w:t>en coopération avec d'autres autorités;</w:t>
      </w:r>
    </w:p>
    <w:p w:rsidR="001F17B8" w:rsidRPr="00F627E3" w:rsidRDefault="001F17B8" w:rsidP="00977D98">
      <w:pPr>
        <w:pStyle w:val="Point1"/>
        <w:rPr>
          <w:noProof/>
        </w:rPr>
      </w:pPr>
      <w:r>
        <w:t>c)</w:t>
      </w:r>
      <w:r w:rsidR="00977D98">
        <w:tab/>
      </w:r>
      <w:r>
        <w:t xml:space="preserve">sous leur responsabilité, par délégation à </w:t>
      </w:r>
      <w:r w:rsidR="00F41390">
        <w:t>ces autres</w:t>
      </w:r>
      <w:r>
        <w:t xml:space="preserve"> autorités;</w:t>
      </w:r>
    </w:p>
    <w:p w:rsidR="001F17B8" w:rsidRPr="00F627E3" w:rsidRDefault="001F17B8" w:rsidP="00977D98">
      <w:pPr>
        <w:pStyle w:val="Point1"/>
        <w:rPr>
          <w:noProof/>
        </w:rPr>
      </w:pPr>
      <w:r>
        <w:t>d)</w:t>
      </w:r>
      <w:r w:rsidR="00977D98">
        <w:tab/>
      </w:r>
      <w:r>
        <w:t>en adressant une demande aux autorités judiciaires compétentes.</w:t>
      </w:r>
    </w:p>
    <w:p w:rsidR="001F17B8" w:rsidRPr="00F627E3" w:rsidRDefault="001F17B8" w:rsidP="0001478E">
      <w:pPr>
        <w:pStyle w:val="Text1"/>
      </w:pPr>
      <w:r>
        <w:t>Lorsqu'elles exercent leur pouvoir d'imposer des sanctions et des mesures</w:t>
      </w:r>
      <w:r w:rsidR="008A415D" w:rsidRPr="008A415D">
        <w:t xml:space="preserve"> </w:t>
      </w:r>
      <w:r w:rsidR="008A415D">
        <w:t>administratives</w:t>
      </w:r>
      <w:r>
        <w:t xml:space="preserve">, les autorités compétentes coopèrent étroitement entre elles afin que les sanctions </w:t>
      </w:r>
      <w:r w:rsidR="008A415D">
        <w:t xml:space="preserve">ou </w:t>
      </w:r>
      <w:r>
        <w:t>mesures administratives produisent les résultats escomptés et elles coordonnent leur action dans le cas d'affaires transfront</w:t>
      </w:r>
      <w:r w:rsidR="001302D5">
        <w:t>al</w:t>
      </w:r>
      <w:r>
        <w:t>ières.</w:t>
      </w:r>
    </w:p>
    <w:p w:rsidR="001F17B8" w:rsidRPr="00F627E3" w:rsidRDefault="001F17B8" w:rsidP="006950AA">
      <w:pPr>
        <w:pStyle w:val="Titrearticle"/>
        <w:rPr>
          <w:iCs/>
          <w:noProof/>
        </w:rPr>
      </w:pPr>
      <w:r>
        <w:rPr>
          <w:noProof/>
        </w:rPr>
        <w:t>Article 5</w:t>
      </w:r>
      <w:r w:rsidR="006950AA">
        <w:rPr>
          <w:noProof/>
        </w:rPr>
        <w:t>9</w:t>
      </w:r>
    </w:p>
    <w:p w:rsidR="001F17B8" w:rsidRPr="00F627E3" w:rsidRDefault="001F17B8" w:rsidP="001302D5">
      <w:pPr>
        <w:pStyle w:val="ManualNumPar1"/>
        <w:rPr>
          <w:noProof/>
        </w:rPr>
      </w:pPr>
      <w:r>
        <w:t>1.</w:t>
      </w:r>
      <w:r w:rsidR="00977D98">
        <w:tab/>
      </w:r>
      <w:r>
        <w:t xml:space="preserve">Les États membres veillent à ce que le présent article s'applique au moins aux </w:t>
      </w:r>
      <w:r w:rsidR="004B2D53">
        <w:t xml:space="preserve">infractions </w:t>
      </w:r>
      <w:r>
        <w:t>graves, répété</w:t>
      </w:r>
      <w:r w:rsidR="004B2D53">
        <w:t>e</w:t>
      </w:r>
      <w:r>
        <w:t>s</w:t>
      </w:r>
      <w:r w:rsidR="001302D5">
        <w:t>,</w:t>
      </w:r>
      <w:r>
        <w:t xml:space="preserve"> systématiques, ou qui présentent une combinaison de ces caractéristiques, commis</w:t>
      </w:r>
      <w:r w:rsidR="004B2D53">
        <w:t>es</w:t>
      </w:r>
      <w:r>
        <w:t xml:space="preserve"> par des </w:t>
      </w:r>
      <w:r w:rsidR="00870FFE">
        <w:t>entités assujetties</w:t>
      </w:r>
      <w:r>
        <w:t xml:space="preserve">, </w:t>
      </w:r>
      <w:r w:rsidR="001302D5">
        <w:t>aux</w:t>
      </w:r>
      <w:r>
        <w:t xml:space="preserve"> exigences </w:t>
      </w:r>
      <w:r w:rsidR="001302D5">
        <w:t>prévues</w:t>
      </w:r>
      <w:r>
        <w:t xml:space="preserve"> aux:</w:t>
      </w:r>
    </w:p>
    <w:p w:rsidR="001F17B8" w:rsidRPr="00F627E3" w:rsidRDefault="001F17B8" w:rsidP="006950AA">
      <w:pPr>
        <w:pStyle w:val="Point1"/>
        <w:rPr>
          <w:noProof/>
        </w:rPr>
      </w:pPr>
      <w:r>
        <w:t>a)</w:t>
      </w:r>
      <w:r w:rsidR="00977D98">
        <w:tab/>
      </w:r>
      <w:r>
        <w:t xml:space="preserve">articles </w:t>
      </w:r>
      <w:r w:rsidR="006950AA">
        <w:t>10</w:t>
      </w:r>
      <w:r>
        <w:t xml:space="preserve"> à </w:t>
      </w:r>
      <w:r w:rsidR="006950AA">
        <w:t>24</w:t>
      </w:r>
      <w:r>
        <w:t xml:space="preserve"> (obligations de vigilance à l'égard de la clientèle);</w:t>
      </w:r>
    </w:p>
    <w:p w:rsidR="001F17B8" w:rsidRPr="00F627E3" w:rsidRDefault="0001478E">
      <w:pPr>
        <w:pStyle w:val="Point1"/>
        <w:rPr>
          <w:noProof/>
        </w:rPr>
      </w:pPr>
      <w:r>
        <w:br w:type="page"/>
      </w:r>
      <w:r w:rsidR="001F17B8">
        <w:t>b)</w:t>
      </w:r>
      <w:r w:rsidR="00977D98">
        <w:tab/>
      </w:r>
      <w:r w:rsidR="001F17B8">
        <w:t xml:space="preserve">articles </w:t>
      </w:r>
      <w:r w:rsidR="006950AA">
        <w:t>33</w:t>
      </w:r>
      <w:r w:rsidR="001F17B8">
        <w:t>, 3</w:t>
      </w:r>
      <w:r w:rsidR="006950AA">
        <w:t>4</w:t>
      </w:r>
      <w:r w:rsidR="001F17B8">
        <w:t xml:space="preserve"> et 3</w:t>
      </w:r>
      <w:r w:rsidR="006950AA">
        <w:t>5</w:t>
      </w:r>
      <w:r w:rsidR="001F17B8">
        <w:t xml:space="preserve"> (</w:t>
      </w:r>
      <w:r w:rsidR="00650A73">
        <w:t xml:space="preserve">déclaration </w:t>
      </w:r>
      <w:r w:rsidR="001F17B8">
        <w:t>de transactions suspectes);</w:t>
      </w:r>
    </w:p>
    <w:p w:rsidR="001F17B8" w:rsidRPr="00F627E3" w:rsidRDefault="001F17B8" w:rsidP="006950AA">
      <w:pPr>
        <w:pStyle w:val="Point1"/>
        <w:rPr>
          <w:noProof/>
        </w:rPr>
      </w:pPr>
      <w:r>
        <w:t>c)</w:t>
      </w:r>
      <w:r w:rsidR="00977D98">
        <w:tab/>
      </w:r>
      <w:r>
        <w:t xml:space="preserve">article </w:t>
      </w:r>
      <w:r w:rsidR="006950AA">
        <w:t xml:space="preserve">40 </w:t>
      </w:r>
      <w:r>
        <w:t>(conservation des documents et pièces)</w:t>
      </w:r>
      <w:r w:rsidR="00F41390">
        <w:t>;</w:t>
      </w:r>
      <w:r>
        <w:t xml:space="preserve"> et</w:t>
      </w:r>
    </w:p>
    <w:p w:rsidR="001F17B8" w:rsidRPr="00F627E3" w:rsidRDefault="001F17B8" w:rsidP="006950AA">
      <w:pPr>
        <w:pStyle w:val="Point1"/>
        <w:rPr>
          <w:noProof/>
        </w:rPr>
      </w:pPr>
      <w:r>
        <w:t>d)</w:t>
      </w:r>
      <w:r w:rsidR="00977D98">
        <w:tab/>
      </w:r>
      <w:r>
        <w:t>articles 4</w:t>
      </w:r>
      <w:r w:rsidR="006950AA">
        <w:t>5</w:t>
      </w:r>
      <w:r>
        <w:t xml:space="preserve"> et </w:t>
      </w:r>
      <w:r w:rsidR="006950AA">
        <w:t xml:space="preserve">46 </w:t>
      </w:r>
      <w:r>
        <w:t>(contrôles internes).</w:t>
      </w:r>
    </w:p>
    <w:p w:rsidR="001F17B8" w:rsidRPr="00F627E3" w:rsidRDefault="001F17B8">
      <w:pPr>
        <w:pStyle w:val="ManualNumPar1"/>
        <w:rPr>
          <w:noProof/>
        </w:rPr>
      </w:pPr>
      <w:r>
        <w:t>2.</w:t>
      </w:r>
      <w:r w:rsidR="00977D98">
        <w:tab/>
      </w:r>
      <w:r>
        <w:t xml:space="preserve">Les États membres veillent à ce que, dans les cas visés au paragraphe 1, les </w:t>
      </w:r>
      <w:r w:rsidR="0016350C">
        <w:t xml:space="preserve">sanctions </w:t>
      </w:r>
      <w:r>
        <w:t xml:space="preserve">et </w:t>
      </w:r>
      <w:r w:rsidR="0016350C">
        <w:t xml:space="preserve">mesures </w:t>
      </w:r>
      <w:r>
        <w:t>administratives qui peuvent être appliquées comprennent au moins:</w:t>
      </w:r>
    </w:p>
    <w:p w:rsidR="001F17B8" w:rsidRPr="00F627E3" w:rsidRDefault="001F17B8" w:rsidP="0001478E">
      <w:pPr>
        <w:pStyle w:val="Point1"/>
      </w:pPr>
      <w:r>
        <w:t>a)</w:t>
      </w:r>
      <w:r w:rsidR="00977D98">
        <w:tab/>
      </w:r>
      <w:r>
        <w:t>une déclaration publique qui précise l'identité de la personne physique ou morale et la nature de</w:t>
      </w:r>
      <w:r w:rsidR="0001478E">
        <w:t xml:space="preserve"> </w:t>
      </w:r>
      <w:r>
        <w:t>l'infraction;</w:t>
      </w:r>
    </w:p>
    <w:p w:rsidR="001F17B8" w:rsidRPr="00F627E3" w:rsidRDefault="001F17B8" w:rsidP="00977D98">
      <w:pPr>
        <w:pStyle w:val="Point1"/>
      </w:pPr>
      <w:r>
        <w:t>b)</w:t>
      </w:r>
      <w:r w:rsidR="00977D98">
        <w:tab/>
      </w:r>
      <w:r>
        <w:t>une injonction ordonnant à la personne physique ou morale de mettre un terme au comportement en cause et lui interdisant de le réitérer;</w:t>
      </w:r>
    </w:p>
    <w:p w:rsidR="001F17B8" w:rsidRPr="00F627E3" w:rsidRDefault="001F17B8" w:rsidP="001302D5">
      <w:pPr>
        <w:pStyle w:val="Point1"/>
      </w:pPr>
      <w:r>
        <w:t>c)</w:t>
      </w:r>
      <w:r w:rsidR="00977D98">
        <w:tab/>
      </w:r>
      <w:r>
        <w:t xml:space="preserve">lorsqu'une </w:t>
      </w:r>
      <w:r w:rsidR="007468D1">
        <w:t>entité assujettie</w:t>
      </w:r>
      <w:r>
        <w:t xml:space="preserve"> </w:t>
      </w:r>
      <w:r w:rsidR="001302D5">
        <w:t>est soumise à</w:t>
      </w:r>
      <w:r>
        <w:t xml:space="preserve"> un agrément, le retrait ou la suspension de cet agrément;</w:t>
      </w:r>
    </w:p>
    <w:p w:rsidR="001F17B8" w:rsidRPr="00F627E3" w:rsidRDefault="001F17B8" w:rsidP="00977D98">
      <w:pPr>
        <w:pStyle w:val="Point1"/>
      </w:pPr>
      <w:r>
        <w:t>d)</w:t>
      </w:r>
      <w:r w:rsidR="00977D98">
        <w:tab/>
      </w:r>
      <w:r>
        <w:t xml:space="preserve">l'interdiction temporaire, pour toute personne exerçant des responsabilités dirigeantes au sein d'une </w:t>
      </w:r>
      <w:r w:rsidR="007468D1">
        <w:t>entité assujettie</w:t>
      </w:r>
      <w:r>
        <w:t xml:space="preserve"> ou toute autre personne physique tenue pour responsable de l'infraction, d'exercer des fonctions de direction dans des </w:t>
      </w:r>
      <w:r w:rsidR="00870FFE">
        <w:t>entités assujetties</w:t>
      </w:r>
      <w:r>
        <w:t>;</w:t>
      </w:r>
    </w:p>
    <w:p w:rsidR="001F17B8" w:rsidRPr="00F627E3" w:rsidRDefault="004B2D53" w:rsidP="008B3389">
      <w:pPr>
        <w:pStyle w:val="Point1"/>
      </w:pPr>
      <w:r>
        <w:t>e</w:t>
      </w:r>
      <w:r w:rsidR="001F17B8">
        <w:t>)</w:t>
      </w:r>
      <w:r w:rsidR="00977D98">
        <w:tab/>
      </w:r>
      <w:r w:rsidR="001F17B8" w:rsidRPr="008B3389">
        <w:t xml:space="preserve">des </w:t>
      </w:r>
      <w:r w:rsidR="008B3389">
        <w:t>sanctions</w:t>
      </w:r>
      <w:r w:rsidR="001302D5" w:rsidRPr="008B3389">
        <w:t xml:space="preserve"> </w:t>
      </w:r>
      <w:r w:rsidR="001F17B8" w:rsidRPr="008B3389">
        <w:t xml:space="preserve">administratives </w:t>
      </w:r>
      <w:r w:rsidR="008B3389">
        <w:t xml:space="preserve">pécuniaires </w:t>
      </w:r>
      <w:r w:rsidR="001F17B8">
        <w:t>maximales d'un mon</w:t>
      </w:r>
      <w:r w:rsidR="0001478E">
        <w:t xml:space="preserve">tant au moins égal au double du </w:t>
      </w:r>
      <w:r w:rsidR="001F17B8">
        <w:t>montant de l'avantage tiré de l'infraction, lorsqu'il est possible de déterminer celui-ci, ou d'au moins 1 000 000 EUR.</w:t>
      </w:r>
    </w:p>
    <w:p w:rsidR="001F17B8" w:rsidRPr="00F627E3" w:rsidRDefault="00977D98" w:rsidP="00DC3FC0">
      <w:pPr>
        <w:pStyle w:val="ManualNumPar1"/>
        <w:rPr>
          <w:noProof/>
        </w:rPr>
      </w:pPr>
      <w:r>
        <w:br w:type="page"/>
      </w:r>
      <w:r w:rsidR="00DC3FC0">
        <w:t>3</w:t>
      </w:r>
      <w:r w:rsidR="001F17B8">
        <w:t>.</w:t>
      </w:r>
      <w:r>
        <w:tab/>
      </w:r>
      <w:r w:rsidR="001F17B8">
        <w:t xml:space="preserve">Les États membres veillent à ce que, par dérogation au paragraphe 2, point </w:t>
      </w:r>
      <w:r w:rsidR="004B2D53">
        <w:t>e</w:t>
      </w:r>
      <w:r w:rsidR="001F17B8">
        <w:t>), lorsque l'</w:t>
      </w:r>
      <w:r w:rsidR="007468D1">
        <w:t>entité assujettie</w:t>
      </w:r>
      <w:r w:rsidR="001F17B8">
        <w:t xml:space="preserve"> concernée est un établissement de crédit ou </w:t>
      </w:r>
      <w:r w:rsidR="0001478E">
        <w:t xml:space="preserve">un établissement financier, les </w:t>
      </w:r>
      <w:r w:rsidR="001F17B8">
        <w:t xml:space="preserve">sanctions </w:t>
      </w:r>
      <w:r w:rsidR="001302D5">
        <w:t>suivantes</w:t>
      </w:r>
      <w:r w:rsidR="001F17B8">
        <w:t xml:space="preserve"> puissent également s'appliquer:</w:t>
      </w:r>
    </w:p>
    <w:p w:rsidR="001F17B8" w:rsidRPr="00F627E3" w:rsidRDefault="001F17B8" w:rsidP="00977D98">
      <w:pPr>
        <w:pStyle w:val="Point1"/>
      </w:pPr>
      <w:r>
        <w:t>a)</w:t>
      </w:r>
      <w:r w:rsidR="00977D98">
        <w:tab/>
      </w:r>
      <w:r>
        <w:t>dans le cas d'une personne morale, des sanctions administratives pécuniaires maximales d'au moins 5 000 000 EUR ou 10 % du chiffre d'affaires annuel total selon les derniers comptes disponibles approuvés par l'organe de direction; lorsque l'</w:t>
      </w:r>
      <w:r w:rsidR="007468D1">
        <w:t>entité assujettie</w:t>
      </w:r>
      <w:r>
        <w:t xml:space="preserve"> est une entreprise mère ou une filiale d'une entreprise mère qui est tenue d'établir des comptes consolidés </w:t>
      </w:r>
      <w:r w:rsidR="00F41390">
        <w:t>conformément à</w:t>
      </w:r>
      <w:r>
        <w:t xml:space="preserve"> l'article 22 de la directive 2013/34/UE, le chiffre d'affaires total à prendre en considération est le chiffre d'affaires annuel total ou le type de revenus correspondant </w:t>
      </w:r>
      <w:r w:rsidR="00F41390">
        <w:t>conformément aux</w:t>
      </w:r>
      <w:r>
        <w:t xml:space="preserve"> directives comptables pertinentes, tel qu'il ressort des derniers comptes consolidés disponibles approuvés par l'organe de direction de l'entreprise mère ultime;</w:t>
      </w:r>
    </w:p>
    <w:p w:rsidR="001F17B8" w:rsidRPr="00F627E3" w:rsidRDefault="001F17B8" w:rsidP="001302D5">
      <w:pPr>
        <w:pStyle w:val="Point1"/>
        <w:rPr>
          <w:noProof/>
        </w:rPr>
      </w:pPr>
      <w:r>
        <w:t>b)</w:t>
      </w:r>
      <w:r w:rsidR="00977D98">
        <w:tab/>
      </w:r>
      <w:r>
        <w:t xml:space="preserve">dans le cas d'une personne physique, une sanction pécuniaire administrative d'un montant maximal d'au moins 5 000 000 EUR ou, dans les États membres dont l'euro n'est pas la monnaie officielle, la valeur correspondante dans la monnaie nationale </w:t>
      </w:r>
      <w:r w:rsidR="001302D5">
        <w:t>au</w:t>
      </w:r>
      <w:r w:rsidR="0001478E">
        <w:t> </w:t>
      </w:r>
      <w:r w:rsidR="008A415D">
        <w:t>…</w:t>
      </w:r>
      <w:r w:rsidR="008A415D">
        <w:rPr>
          <w:rStyle w:val="FootnoteReference"/>
        </w:rPr>
        <w:footnoteReference w:customMarkFollows="1" w:id="43"/>
        <w:t>*</w:t>
      </w:r>
      <w:r>
        <w:t>.</w:t>
      </w:r>
    </w:p>
    <w:p w:rsidR="001F17B8" w:rsidRPr="00F627E3" w:rsidRDefault="00DC3FC0">
      <w:pPr>
        <w:pStyle w:val="ManualNumPar1"/>
      </w:pPr>
      <w:r>
        <w:t>4</w:t>
      </w:r>
      <w:r w:rsidR="001F17B8">
        <w:t>.</w:t>
      </w:r>
      <w:r w:rsidR="00977D98">
        <w:tab/>
      </w:r>
      <w:r w:rsidR="001F17B8">
        <w:t xml:space="preserve">Les États membres peuvent habiliter les autorités compétentes à imposer d'autres types de sanctions </w:t>
      </w:r>
      <w:r w:rsidR="008A415D">
        <w:t xml:space="preserve">administratives </w:t>
      </w:r>
      <w:r w:rsidR="001302D5">
        <w:t xml:space="preserve">outre </w:t>
      </w:r>
      <w:r w:rsidR="001F17B8">
        <w:t xml:space="preserve">celles </w:t>
      </w:r>
      <w:r w:rsidR="00F41390">
        <w:t xml:space="preserve">visées </w:t>
      </w:r>
      <w:r w:rsidR="001F17B8">
        <w:t xml:space="preserve">au paragraphe 2, points a) à d), ou à imposer des </w:t>
      </w:r>
      <w:r w:rsidR="008B3389">
        <w:t>sanctions</w:t>
      </w:r>
      <w:r w:rsidR="001302D5" w:rsidRPr="008B3389">
        <w:t xml:space="preserve"> </w:t>
      </w:r>
      <w:r w:rsidR="008A415D" w:rsidRPr="008B3389">
        <w:t xml:space="preserve">administratives </w:t>
      </w:r>
      <w:r w:rsidR="008B3389">
        <w:t>pécuniaires</w:t>
      </w:r>
      <w:r w:rsidR="001F17B8">
        <w:t xml:space="preserve"> dépassant les montants visés au paragraphe 2, point </w:t>
      </w:r>
      <w:r w:rsidR="00F41390">
        <w:t>e</w:t>
      </w:r>
      <w:r w:rsidR="001F17B8">
        <w:t xml:space="preserve">), </w:t>
      </w:r>
      <w:r w:rsidR="001302D5">
        <w:t xml:space="preserve">et </w:t>
      </w:r>
      <w:r w:rsidR="001F17B8">
        <w:t>au paragraphe </w:t>
      </w:r>
      <w:r w:rsidR="00FF50DF">
        <w:t>3</w:t>
      </w:r>
      <w:r w:rsidR="001F17B8">
        <w:t>.</w:t>
      </w:r>
    </w:p>
    <w:p w:rsidR="001F17B8" w:rsidRPr="00F627E3" w:rsidRDefault="00977D98" w:rsidP="00DC3FC0">
      <w:pPr>
        <w:pStyle w:val="Titrearticle"/>
        <w:rPr>
          <w:iCs/>
          <w:noProof/>
        </w:rPr>
      </w:pPr>
      <w:r>
        <w:rPr>
          <w:noProof/>
        </w:rPr>
        <w:br w:type="page"/>
      </w:r>
      <w:r w:rsidR="001F17B8">
        <w:rPr>
          <w:noProof/>
        </w:rPr>
        <w:t xml:space="preserve">Article </w:t>
      </w:r>
      <w:r w:rsidR="00DC3FC0">
        <w:rPr>
          <w:noProof/>
        </w:rPr>
        <w:t>60</w:t>
      </w:r>
    </w:p>
    <w:p w:rsidR="001F17B8" w:rsidRPr="00F627E3" w:rsidRDefault="001F17B8" w:rsidP="0001478E">
      <w:pPr>
        <w:pStyle w:val="ManualNumPar1"/>
      </w:pPr>
      <w:r>
        <w:t>1.</w:t>
      </w:r>
      <w:r w:rsidR="00977D98">
        <w:tab/>
      </w:r>
      <w:r>
        <w:t xml:space="preserve">Les États membres font en sorte qu'une décision n'ayant fait l'objet d'aucun recours et instituant une sanction ou mesure administrative en raison d'une infraction </w:t>
      </w:r>
      <w:r w:rsidR="00F41390">
        <w:t>aux dispositions nationales transposant</w:t>
      </w:r>
      <w:r>
        <w:t xml:space="preserve"> la présente directive est publiée par les autorités compétentes sur leur site </w:t>
      </w:r>
      <w:r w:rsidR="00F41390">
        <w:t xml:space="preserve">internet </w:t>
      </w:r>
      <w:r>
        <w:t xml:space="preserve">officiel </w:t>
      </w:r>
      <w:r w:rsidR="001302D5">
        <w:t>immédiatement</w:t>
      </w:r>
      <w:r w:rsidR="0001478E">
        <w:t xml:space="preserve"> après que la </w:t>
      </w:r>
      <w:r>
        <w:t xml:space="preserve">personne sanctionnée a été informée de cette décision. Sont au moins mentionnés dans cette publication le type et la nature de l'infraction commise </w:t>
      </w:r>
      <w:r w:rsidR="001302D5">
        <w:t>et</w:t>
      </w:r>
      <w:r>
        <w:t xml:space="preserve"> l'identité de</w:t>
      </w:r>
      <w:r w:rsidR="0001478E">
        <w:t xml:space="preserve"> </w:t>
      </w:r>
      <w:r>
        <w:t xml:space="preserve">la personne responsable. Les États membres ne sont pas tenus d'appliquer </w:t>
      </w:r>
      <w:r w:rsidR="004B2D53">
        <w:t>le présent alinéa</w:t>
      </w:r>
      <w:r>
        <w:t xml:space="preserve"> aux</w:t>
      </w:r>
      <w:r w:rsidR="0001478E">
        <w:t xml:space="preserve"> </w:t>
      </w:r>
      <w:r>
        <w:t>décisions imposant des mesures qui relèvent de l'instruction.</w:t>
      </w:r>
    </w:p>
    <w:p w:rsidR="00FE783A" w:rsidRDefault="004B2D53" w:rsidP="0001478E">
      <w:pPr>
        <w:pStyle w:val="Text1"/>
      </w:pPr>
      <w:r>
        <w:t>L</w:t>
      </w:r>
      <w:r w:rsidR="001F17B8">
        <w:t xml:space="preserve">orsque la publication de l'identité des personnes </w:t>
      </w:r>
      <w:r w:rsidR="00FE783A">
        <w:t>responsables visées au premier alinéa</w:t>
      </w:r>
      <w:r w:rsidR="001302D5">
        <w:t xml:space="preserve"> ou des données à caractère personnel de ces personnes</w:t>
      </w:r>
      <w:r w:rsidR="001F17B8">
        <w:t xml:space="preserve"> est jugée disproportionnée par les autorités compétentes après qu'elles ont évalué au cas par cas le caractère proportionné de cette publication, ou lorsque cette publication compromet la stabilité des marchés financiers ou une enquête en cours, les autorités compétentes:</w:t>
      </w:r>
    </w:p>
    <w:p w:rsidR="001F17B8" w:rsidRPr="00F627E3" w:rsidRDefault="001F17B8" w:rsidP="00977D98">
      <w:pPr>
        <w:pStyle w:val="Point1"/>
      </w:pPr>
      <w:r>
        <w:t>a)</w:t>
      </w:r>
      <w:r w:rsidR="00977D98">
        <w:tab/>
      </w:r>
      <w:r>
        <w:t>retardent la publication de la décision d'imposer une sanction ou une mesure</w:t>
      </w:r>
      <w:r w:rsidR="00B6580D" w:rsidRPr="00B6580D">
        <w:t xml:space="preserve"> </w:t>
      </w:r>
      <w:r w:rsidR="00B6580D">
        <w:t>administrative</w:t>
      </w:r>
      <w:r>
        <w:t xml:space="preserve"> jusqu'au moment où les raisons de ne pas la publier cessent d'exister;</w:t>
      </w:r>
    </w:p>
    <w:p w:rsidR="001F17B8" w:rsidRPr="00F627E3" w:rsidRDefault="001F17B8" w:rsidP="0001478E">
      <w:pPr>
        <w:pStyle w:val="Point1"/>
      </w:pPr>
      <w:r>
        <w:t>b)</w:t>
      </w:r>
      <w:r w:rsidR="00977D98">
        <w:tab/>
      </w:r>
      <w:r>
        <w:t>publient la décision d'imposer une sanction ou une mesure</w:t>
      </w:r>
      <w:r w:rsidR="00B6580D" w:rsidRPr="00B6580D">
        <w:t xml:space="preserve"> </w:t>
      </w:r>
      <w:r w:rsidR="00B6580D">
        <w:t>administrative</w:t>
      </w:r>
      <w:r>
        <w:t xml:space="preserve"> sur la base de</w:t>
      </w:r>
      <w:r w:rsidR="0001478E">
        <w:t xml:space="preserve"> </w:t>
      </w:r>
      <w:r>
        <w:t xml:space="preserve">l'anonymat, en conformité avec le droit national, si cette publication anonyme garantit une protection effective des données à caractère personnel concernées; s'il est décidé de publier une sanction ou mesure </w:t>
      </w:r>
      <w:r w:rsidR="00B6580D">
        <w:t xml:space="preserve">administrative </w:t>
      </w:r>
      <w:r>
        <w:t>sur la base de l'anonymat, la publication des données concernées peut être reportée pendant un délai raisonnable si l'on prévoit qu'à l'issue de ce délai, les raisons d'une</w:t>
      </w:r>
      <w:r w:rsidR="0001478E">
        <w:t xml:space="preserve"> </w:t>
      </w:r>
      <w:r>
        <w:t>publication anonyme auront cessé d'exister;</w:t>
      </w:r>
    </w:p>
    <w:p w:rsidR="001F17B8" w:rsidRPr="00F627E3" w:rsidRDefault="00977D98" w:rsidP="00977D98">
      <w:pPr>
        <w:pStyle w:val="Point1"/>
      </w:pPr>
      <w:r>
        <w:br w:type="page"/>
      </w:r>
      <w:r w:rsidR="001F17B8">
        <w:t>c)</w:t>
      </w:r>
      <w:r>
        <w:tab/>
      </w:r>
      <w:r w:rsidR="001F17B8">
        <w:t>ne publient pas la décision d'imposer une sanction ou une mesure</w:t>
      </w:r>
      <w:r w:rsidR="00B6580D" w:rsidRPr="00B6580D">
        <w:t xml:space="preserve"> </w:t>
      </w:r>
      <w:r w:rsidR="00B6580D">
        <w:t>administrative</w:t>
      </w:r>
      <w:r w:rsidR="0001478E">
        <w:t xml:space="preserve">, lorsque les </w:t>
      </w:r>
      <w:r w:rsidR="001F17B8">
        <w:t>options envisagées aux points a) et b) sont jugées insuffisantes:</w:t>
      </w:r>
    </w:p>
    <w:p w:rsidR="001F17B8" w:rsidRPr="00F627E3" w:rsidRDefault="001F17B8" w:rsidP="00977D98">
      <w:pPr>
        <w:pStyle w:val="Point2"/>
      </w:pPr>
      <w:r>
        <w:t>i)</w:t>
      </w:r>
      <w:r w:rsidR="00977D98">
        <w:tab/>
      </w:r>
      <w:r>
        <w:t>pour éviter que la stabilité des marchés financiers ne soit compromise; ou</w:t>
      </w:r>
    </w:p>
    <w:p w:rsidR="001F17B8" w:rsidRPr="00F627E3" w:rsidRDefault="001F17B8" w:rsidP="00977D98">
      <w:pPr>
        <w:pStyle w:val="Point2"/>
      </w:pPr>
      <w:r>
        <w:t>ii)</w:t>
      </w:r>
      <w:r w:rsidR="00977D98">
        <w:tab/>
      </w:r>
      <w:r>
        <w:t xml:space="preserve">pour garantir la proportionnalité de la publication de </w:t>
      </w:r>
      <w:r w:rsidR="00FE783A">
        <w:t xml:space="preserve">la </w:t>
      </w:r>
      <w:r>
        <w:t>décision, lorsque les mesures concernées sont jugées mineures.</w:t>
      </w:r>
    </w:p>
    <w:p w:rsidR="001F17B8" w:rsidRPr="00F627E3" w:rsidRDefault="00DC3FC0" w:rsidP="00DC3FC0">
      <w:pPr>
        <w:pStyle w:val="ManualNumPar1"/>
      </w:pPr>
      <w:r w:rsidRPr="00320A3E">
        <w:t>2</w:t>
      </w:r>
      <w:r w:rsidR="001F17B8" w:rsidRPr="00CB2C1D">
        <w:t>.</w:t>
      </w:r>
      <w:r w:rsidR="00977D98">
        <w:tab/>
      </w:r>
      <w:r w:rsidR="001F17B8">
        <w:t xml:space="preserve">Lorsque les États membres autorisent la publication de décisions qui font l'objet d'un recours, les autorités compétentes publient également, immédiatement, sur leur site </w:t>
      </w:r>
      <w:r w:rsidR="00FE783A">
        <w:t xml:space="preserve">internet </w:t>
      </w:r>
      <w:r w:rsidR="001F17B8">
        <w:t>officiel cette information ainsi que toute information ultérieure co</w:t>
      </w:r>
      <w:r w:rsidR="0001478E">
        <w:t xml:space="preserve">ncernant l'issue de ce recours. </w:t>
      </w:r>
      <w:r w:rsidR="001F17B8">
        <w:t xml:space="preserve">En outre, toute décision qui annule une décision précédente imposant une sanction ou une mesure </w:t>
      </w:r>
      <w:r w:rsidR="004778A3">
        <w:t xml:space="preserve">administrative </w:t>
      </w:r>
      <w:r w:rsidR="001F17B8">
        <w:t>est elle aussi publiée.</w:t>
      </w:r>
    </w:p>
    <w:p w:rsidR="001F17B8" w:rsidRPr="00F627E3" w:rsidRDefault="00DC3FC0" w:rsidP="00DC3FC0">
      <w:pPr>
        <w:pStyle w:val="ManualNumPar1"/>
      </w:pPr>
      <w:r w:rsidRPr="00320A3E">
        <w:t>3</w:t>
      </w:r>
      <w:r w:rsidR="001F17B8" w:rsidRPr="00CB2C1D">
        <w:t>.</w:t>
      </w:r>
      <w:r w:rsidR="00977D98">
        <w:tab/>
      </w:r>
      <w:r w:rsidR="001F17B8">
        <w:t xml:space="preserve">Les autorités compétentes </w:t>
      </w:r>
      <w:r w:rsidR="001302D5">
        <w:t>veillent à ce</w:t>
      </w:r>
      <w:r w:rsidR="001F17B8">
        <w:t xml:space="preserve"> que tout document publié conformément au présent article demeure sur leur site </w:t>
      </w:r>
      <w:r w:rsidR="00FE783A">
        <w:t xml:space="preserve">internet </w:t>
      </w:r>
      <w:r w:rsidR="001F17B8">
        <w:t xml:space="preserve">officiel pendant cinq ans après sa publication. Toutefois, les données à caractère personnel mentionnées dans le document publié ne sont conservées sur le site </w:t>
      </w:r>
      <w:r w:rsidR="00FE783A">
        <w:t xml:space="preserve">internet </w:t>
      </w:r>
      <w:r w:rsidR="001F17B8">
        <w:t xml:space="preserve">officiel de l'autorité compétente que pendant la durée nécessaire conformément aux </w:t>
      </w:r>
      <w:r w:rsidR="00FE783A">
        <w:t xml:space="preserve">règles </w:t>
      </w:r>
      <w:r w:rsidR="001F17B8">
        <w:t>applicables en matière de protection des données.</w:t>
      </w:r>
    </w:p>
    <w:p w:rsidR="001F17B8" w:rsidRPr="00F627E3" w:rsidRDefault="00DC3FC0" w:rsidP="00977D98">
      <w:pPr>
        <w:pStyle w:val="ManualNumPar1"/>
        <w:rPr>
          <w:noProof/>
        </w:rPr>
      </w:pPr>
      <w:r>
        <w:t>4</w:t>
      </w:r>
      <w:r w:rsidR="001F17B8">
        <w:t>.</w:t>
      </w:r>
      <w:r w:rsidR="00977D98">
        <w:tab/>
      </w:r>
      <w:r w:rsidR="001F17B8">
        <w:t>Les États membres veillent à ce que les autorités compétentes, lorsqu'elles déterminent le type de sanctions ou de mesures administratives et leur niveau, tiennent compte de toutes les circonstances pertinentes, et notamment, selon le cas:</w:t>
      </w:r>
    </w:p>
    <w:p w:rsidR="001F17B8" w:rsidRPr="00F627E3" w:rsidRDefault="001F17B8" w:rsidP="00977D98">
      <w:pPr>
        <w:pStyle w:val="Point1"/>
        <w:rPr>
          <w:noProof/>
        </w:rPr>
      </w:pPr>
      <w:r>
        <w:t>a)</w:t>
      </w:r>
      <w:r w:rsidR="00977D98">
        <w:tab/>
      </w:r>
      <w:r>
        <w:t>de la gravité et de la durée de l'infraction;</w:t>
      </w:r>
    </w:p>
    <w:p w:rsidR="001F17B8" w:rsidRPr="00F627E3" w:rsidRDefault="00977D98" w:rsidP="00977D98">
      <w:pPr>
        <w:pStyle w:val="Point1"/>
        <w:rPr>
          <w:noProof/>
        </w:rPr>
      </w:pPr>
      <w:r>
        <w:br w:type="page"/>
      </w:r>
      <w:r w:rsidR="001F17B8">
        <w:t>b)</w:t>
      </w:r>
      <w:r>
        <w:tab/>
      </w:r>
      <w:r w:rsidR="001F17B8">
        <w:t xml:space="preserve">du degré de responsabilité de la personne physique ou morale </w:t>
      </w:r>
      <w:r w:rsidR="004778A3">
        <w:t xml:space="preserve">tenue pour </w:t>
      </w:r>
      <w:r w:rsidR="001F17B8">
        <w:t>responsable;</w:t>
      </w:r>
    </w:p>
    <w:p w:rsidR="001F17B8" w:rsidRPr="00F627E3" w:rsidRDefault="001F17B8" w:rsidP="00977D98">
      <w:pPr>
        <w:pStyle w:val="Point1"/>
        <w:rPr>
          <w:noProof/>
        </w:rPr>
      </w:pPr>
      <w:r>
        <w:t>c)</w:t>
      </w:r>
      <w:r w:rsidR="00977D98">
        <w:tab/>
      </w:r>
      <w:r>
        <w:t>de la solidité financière de la personne physique ou morale tenue pour responsable, par exemple telle qu'elle ressort du chiffre d'affaires total de la personne morale tenue pour responsable, ou des revenus annuels de la personne physique tenue pour responsable;</w:t>
      </w:r>
    </w:p>
    <w:p w:rsidR="001F17B8" w:rsidRPr="00F627E3" w:rsidRDefault="001F17B8" w:rsidP="00977D98">
      <w:pPr>
        <w:pStyle w:val="Point1"/>
        <w:rPr>
          <w:noProof/>
        </w:rPr>
      </w:pPr>
      <w:r>
        <w:t>d)</w:t>
      </w:r>
      <w:r w:rsidR="00977D98">
        <w:tab/>
      </w:r>
      <w:r>
        <w:t>de l'avantage tiré de l'infraction par la personne physique ou morale tenue pour responsable, dans la mesure où il est possible de le déterminer;</w:t>
      </w:r>
    </w:p>
    <w:p w:rsidR="001F17B8" w:rsidRPr="00F627E3" w:rsidRDefault="001F17B8" w:rsidP="00977D98">
      <w:pPr>
        <w:pStyle w:val="Point1"/>
        <w:rPr>
          <w:noProof/>
        </w:rPr>
      </w:pPr>
      <w:r>
        <w:t>e)</w:t>
      </w:r>
      <w:r w:rsidR="00977D98">
        <w:tab/>
      </w:r>
      <w:r>
        <w:t>des pertes subies par des tiers du fait de l'infraction, dans la mesure où il est possible de les déterminer;</w:t>
      </w:r>
    </w:p>
    <w:p w:rsidR="001F17B8" w:rsidRPr="00F627E3" w:rsidRDefault="001F17B8" w:rsidP="00977D98">
      <w:pPr>
        <w:pStyle w:val="Point1"/>
        <w:rPr>
          <w:noProof/>
        </w:rPr>
      </w:pPr>
      <w:r>
        <w:t>f)</w:t>
      </w:r>
      <w:r w:rsidR="00977D98">
        <w:tab/>
      </w:r>
      <w:r>
        <w:t>du degré de coopération de la personne physique ou morale tenue pour responsable avec l'autorité compétente;</w:t>
      </w:r>
    </w:p>
    <w:p w:rsidR="001F17B8" w:rsidRPr="00F627E3" w:rsidRDefault="001F17B8" w:rsidP="00977D98">
      <w:pPr>
        <w:pStyle w:val="Point1"/>
      </w:pPr>
      <w:r>
        <w:t>g)</w:t>
      </w:r>
      <w:r w:rsidR="00977D98">
        <w:tab/>
      </w:r>
      <w:r>
        <w:t>des infractions antérieures commises par la personne physique ou morale tenue pour responsable.</w:t>
      </w:r>
    </w:p>
    <w:p w:rsidR="001F17B8" w:rsidRPr="00F627E3" w:rsidRDefault="00DC3FC0" w:rsidP="00DC3FC0">
      <w:pPr>
        <w:pStyle w:val="ManualNumPar1"/>
        <w:rPr>
          <w:noProof/>
        </w:rPr>
      </w:pPr>
      <w:r>
        <w:t>5</w:t>
      </w:r>
      <w:r w:rsidR="001F17B8">
        <w:t>.</w:t>
      </w:r>
      <w:r w:rsidR="00977D98">
        <w:tab/>
      </w:r>
      <w:r w:rsidR="001F17B8">
        <w:t xml:space="preserve">Les États membres veillent à ce que des personnes morales puissent être tenues pour responsables des </w:t>
      </w:r>
      <w:r w:rsidR="00B5114F">
        <w:t xml:space="preserve">infractions </w:t>
      </w:r>
      <w:r w:rsidR="001F17B8">
        <w:t>visées à l'article 5</w:t>
      </w:r>
      <w:r>
        <w:t>9</w:t>
      </w:r>
      <w:r w:rsidR="001F17B8">
        <w:t xml:space="preserve">, paragraphe 1, commises pour leur compte par toute personne, agissant individuellement ou en qualité de membre d'un organe de ladite personne morale, </w:t>
      </w:r>
      <w:r w:rsidR="00CB2C1D">
        <w:t xml:space="preserve">et </w:t>
      </w:r>
      <w:r w:rsidR="001F17B8">
        <w:t>qui occupe une position dirigeante au sein de cette personne morale, sur l'une des bases suivantes:</w:t>
      </w:r>
    </w:p>
    <w:p w:rsidR="001F17B8" w:rsidRPr="00F627E3" w:rsidRDefault="001F17B8" w:rsidP="004778A3">
      <w:pPr>
        <w:pStyle w:val="Point1"/>
      </w:pPr>
      <w:r>
        <w:t>a)</w:t>
      </w:r>
      <w:r w:rsidR="00977D98">
        <w:tab/>
      </w:r>
      <w:r w:rsidR="004778A3">
        <w:t>le</w:t>
      </w:r>
      <w:r>
        <w:t xml:space="preserve"> </w:t>
      </w:r>
      <w:r w:rsidRPr="004778A3">
        <w:t>pouvoir de représent</w:t>
      </w:r>
      <w:r w:rsidR="004778A3">
        <w:t>er</w:t>
      </w:r>
      <w:r w:rsidRPr="004778A3">
        <w:t xml:space="preserve"> la personne morale;</w:t>
      </w:r>
    </w:p>
    <w:p w:rsidR="001F17B8" w:rsidRPr="00F627E3" w:rsidRDefault="001F17B8" w:rsidP="004778A3">
      <w:pPr>
        <w:pStyle w:val="Point1"/>
      </w:pPr>
      <w:r>
        <w:t>b)</w:t>
      </w:r>
      <w:r w:rsidR="00977D98">
        <w:tab/>
      </w:r>
      <w:r w:rsidR="004778A3">
        <w:t>l'</w:t>
      </w:r>
      <w:r>
        <w:t>autorité pour prendre des décisions au nom de la personne morale; ou</w:t>
      </w:r>
    </w:p>
    <w:p w:rsidR="001F17B8" w:rsidRPr="00F627E3" w:rsidRDefault="001F17B8" w:rsidP="004778A3">
      <w:pPr>
        <w:pStyle w:val="Point1"/>
      </w:pPr>
      <w:r>
        <w:t>c)</w:t>
      </w:r>
      <w:r w:rsidR="00977D98">
        <w:tab/>
      </w:r>
      <w:r w:rsidR="004778A3">
        <w:t>l'</w:t>
      </w:r>
      <w:r>
        <w:t>autorité pour exercer un contrôle au sein de la personne morale.</w:t>
      </w:r>
    </w:p>
    <w:p w:rsidR="001F17B8" w:rsidRPr="00F627E3" w:rsidRDefault="00977D98" w:rsidP="00DC3FC0">
      <w:pPr>
        <w:pStyle w:val="ManualNumPar1"/>
        <w:rPr>
          <w:noProof/>
        </w:rPr>
      </w:pPr>
      <w:r>
        <w:br w:type="page"/>
      </w:r>
      <w:r w:rsidR="00DC3FC0">
        <w:t>6</w:t>
      </w:r>
      <w:r w:rsidR="001F17B8">
        <w:t>.</w:t>
      </w:r>
      <w:r>
        <w:tab/>
      </w:r>
      <w:r w:rsidR="001F17B8">
        <w:t xml:space="preserve">Les États membres </w:t>
      </w:r>
      <w:r w:rsidR="001302D5">
        <w:t xml:space="preserve">veillent </w:t>
      </w:r>
      <w:r w:rsidR="001F17B8">
        <w:t xml:space="preserve">également </w:t>
      </w:r>
      <w:r w:rsidR="001302D5">
        <w:t>à ce</w:t>
      </w:r>
      <w:r w:rsidR="001F17B8">
        <w:t xml:space="preserve"> qu'une personne morale puisse être tenue pour responsable lorsqu'un défaut de surveillance ou de contrôle de la part d'une personne visée au paragraphe </w:t>
      </w:r>
      <w:r w:rsidR="00DC3FC0">
        <w:t>5</w:t>
      </w:r>
      <w:r w:rsidR="001F17B8">
        <w:t xml:space="preserve"> </w:t>
      </w:r>
      <w:r w:rsidR="004778A3">
        <w:t xml:space="preserve">du présent article </w:t>
      </w:r>
      <w:r w:rsidR="001F17B8">
        <w:t>a rendu possible la réalisation d'infractions visées à l'article 5</w:t>
      </w:r>
      <w:r w:rsidR="00DC3FC0">
        <w:t>9</w:t>
      </w:r>
      <w:r w:rsidR="001F17B8">
        <w:t>, paragraphe 1, au profit de la personne morale, par une personne soumise à son autorité.</w:t>
      </w:r>
    </w:p>
    <w:p w:rsidR="001F17B8" w:rsidRPr="00977D98" w:rsidRDefault="001F17B8" w:rsidP="00DC3FC0">
      <w:pPr>
        <w:pStyle w:val="Titrearticle"/>
      </w:pPr>
      <w:r w:rsidRPr="00977D98">
        <w:t xml:space="preserve">Article </w:t>
      </w:r>
      <w:r w:rsidR="00DC3FC0">
        <w:t>61</w:t>
      </w:r>
    </w:p>
    <w:p w:rsidR="001F17B8" w:rsidRPr="00F627E3" w:rsidRDefault="001F17B8" w:rsidP="00977D98">
      <w:pPr>
        <w:pStyle w:val="ManualNumPar1"/>
        <w:rPr>
          <w:noProof/>
        </w:rPr>
      </w:pPr>
      <w:r>
        <w:t>1.</w:t>
      </w:r>
      <w:r w:rsidR="00977D98">
        <w:tab/>
      </w:r>
      <w:r>
        <w:t>Les États membres veillent à ce que les autorités compétentes mettent en place des mécanismes efficaces et fiables pour encourager le signalement à ces autorités des infractions potentielles ou avérées aux dispositions nationales transposant la présente directive.</w:t>
      </w:r>
    </w:p>
    <w:p w:rsidR="001F17B8" w:rsidRPr="00F627E3" w:rsidRDefault="001F17B8" w:rsidP="00977D98">
      <w:pPr>
        <w:pStyle w:val="ManualNumPar1"/>
        <w:rPr>
          <w:noProof/>
        </w:rPr>
      </w:pPr>
      <w:r>
        <w:t>2.</w:t>
      </w:r>
      <w:r w:rsidR="00977D98">
        <w:tab/>
      </w:r>
      <w:r>
        <w:t>Les mécanismes visés au paragraphe 1 comprennent au moins:</w:t>
      </w:r>
    </w:p>
    <w:p w:rsidR="001F17B8" w:rsidRPr="00F627E3" w:rsidRDefault="001F17B8" w:rsidP="00977D98">
      <w:pPr>
        <w:pStyle w:val="Point1"/>
      </w:pPr>
      <w:r>
        <w:t>a)</w:t>
      </w:r>
      <w:r w:rsidR="00977D98">
        <w:tab/>
      </w:r>
      <w:r>
        <w:t>des procédures spécifiques pour la réception des signalements d'infractions et leur suivi;</w:t>
      </w:r>
    </w:p>
    <w:p w:rsidR="001F17B8" w:rsidRPr="00F627E3" w:rsidRDefault="001F17B8" w:rsidP="001302D5">
      <w:pPr>
        <w:pStyle w:val="Point1"/>
      </w:pPr>
      <w:r>
        <w:t>b)</w:t>
      </w:r>
      <w:r w:rsidR="00977D98">
        <w:tab/>
      </w:r>
      <w:r>
        <w:t xml:space="preserve">une protection appropriée du personnel, ou des personnes se trouvant dans une situation comparable au sein d'une </w:t>
      </w:r>
      <w:r w:rsidR="007468D1">
        <w:t>entité assujettie</w:t>
      </w:r>
      <w:r>
        <w:t xml:space="preserve">, qui signalent des infractions commises </w:t>
      </w:r>
      <w:r w:rsidR="001302D5">
        <w:t>au sein</w:t>
      </w:r>
      <w:r>
        <w:t xml:space="preserve"> de celle-ci;</w:t>
      </w:r>
    </w:p>
    <w:p w:rsidR="001F17B8" w:rsidRPr="00F627E3" w:rsidRDefault="00DC3FC0" w:rsidP="00977D98">
      <w:pPr>
        <w:pStyle w:val="Point1"/>
      </w:pPr>
      <w:r>
        <w:t>c</w:t>
      </w:r>
      <w:r w:rsidR="001F17B8">
        <w:t>)</w:t>
      </w:r>
      <w:r w:rsidR="00977D98">
        <w:tab/>
      </w:r>
      <w:r w:rsidR="001F17B8">
        <w:t>une protection appropriée de la personne accusée;</w:t>
      </w:r>
    </w:p>
    <w:p w:rsidR="001F17B8" w:rsidRPr="00F627E3" w:rsidRDefault="00DC3FC0" w:rsidP="001302D5">
      <w:pPr>
        <w:pStyle w:val="Point1"/>
      </w:pPr>
      <w:r>
        <w:t>d</w:t>
      </w:r>
      <w:r w:rsidR="001F17B8">
        <w:t>)</w:t>
      </w:r>
      <w:r w:rsidR="00977D98">
        <w:tab/>
      </w:r>
      <w:r w:rsidR="001F17B8">
        <w:t xml:space="preserve">la protection des données à caractère personnel, tant pour la personne qui signale une infraction que pour la personne physique présumée </w:t>
      </w:r>
      <w:r w:rsidR="001302D5">
        <w:t>responsable de</w:t>
      </w:r>
      <w:r w:rsidR="001F17B8">
        <w:t xml:space="preserve"> cette infraction, conformément aux principes </w:t>
      </w:r>
      <w:r w:rsidR="001302D5">
        <w:t xml:space="preserve">prévus </w:t>
      </w:r>
      <w:r w:rsidR="001F17B8">
        <w:t>dans la directive 95/46/CE</w:t>
      </w:r>
      <w:r w:rsidR="00FE783A">
        <w:t>;</w:t>
      </w:r>
    </w:p>
    <w:p w:rsidR="001F17B8" w:rsidRPr="00F627E3" w:rsidRDefault="0001478E" w:rsidP="001302D5">
      <w:pPr>
        <w:pStyle w:val="Point1"/>
      </w:pPr>
      <w:r>
        <w:br w:type="page"/>
      </w:r>
      <w:r w:rsidR="00DC3FC0">
        <w:t>e</w:t>
      </w:r>
      <w:r w:rsidR="001F17B8">
        <w:t>)</w:t>
      </w:r>
      <w:r w:rsidR="00977D98">
        <w:tab/>
      </w:r>
      <w:r w:rsidR="001F17B8">
        <w:t>des règles claires garantissant dans tous les cas la confidentialit</w:t>
      </w:r>
      <w:r>
        <w:t xml:space="preserve">é à la personne qui signale des </w:t>
      </w:r>
      <w:r w:rsidR="001F17B8">
        <w:t xml:space="preserve">infractions commises </w:t>
      </w:r>
      <w:r w:rsidR="001302D5">
        <w:t>au sein</w:t>
      </w:r>
      <w:r w:rsidR="001F17B8">
        <w:t xml:space="preserve"> de l'</w:t>
      </w:r>
      <w:r w:rsidR="007468D1">
        <w:t>entité assujettie</w:t>
      </w:r>
      <w:r w:rsidR="001F17B8">
        <w:t>, sauf si la divulgation d'informations est exigée par le droit national dans le cadre d'u</w:t>
      </w:r>
      <w:r>
        <w:t xml:space="preserve">n complément d'enquête ou d'une </w:t>
      </w:r>
      <w:r w:rsidR="001F17B8">
        <w:t>procédure judiciaire ultérieure.</w:t>
      </w:r>
    </w:p>
    <w:p w:rsidR="001F17B8" w:rsidRPr="00F627E3" w:rsidRDefault="001F17B8" w:rsidP="00977D98">
      <w:pPr>
        <w:pStyle w:val="ManualNumPar1"/>
        <w:rPr>
          <w:noProof/>
        </w:rPr>
      </w:pPr>
      <w:r>
        <w:t>3.</w:t>
      </w:r>
      <w:r w:rsidR="00977D98">
        <w:tab/>
      </w:r>
      <w:r>
        <w:t xml:space="preserve">Les États membres exigent des </w:t>
      </w:r>
      <w:r w:rsidR="00870FFE">
        <w:t>entités assujetties</w:t>
      </w:r>
      <w:r>
        <w:t xml:space="preserve"> qu'elles disposent de procédures appropriées permettant à leur personnel ou aux personnes se trouvant dans une situation comparable de signaler en interne les infractions par une voie spécifique, indépendante et anonyme, qui soient proportionnées à la nature et à la taille de l'</w:t>
      </w:r>
      <w:r w:rsidR="007468D1">
        <w:t>entité assujettie</w:t>
      </w:r>
      <w:r>
        <w:t xml:space="preserve"> concernée.</w:t>
      </w:r>
    </w:p>
    <w:p w:rsidR="001F17B8" w:rsidRPr="00F627E3" w:rsidRDefault="001F17B8" w:rsidP="0001478E">
      <w:pPr>
        <w:pStyle w:val="Titrearticle"/>
        <w:rPr>
          <w:iCs/>
          <w:noProof/>
        </w:rPr>
      </w:pPr>
      <w:r>
        <w:rPr>
          <w:noProof/>
        </w:rPr>
        <w:t xml:space="preserve">Article </w:t>
      </w:r>
      <w:r w:rsidR="00DC3FC0">
        <w:rPr>
          <w:noProof/>
        </w:rPr>
        <w:t>62</w:t>
      </w:r>
    </w:p>
    <w:p w:rsidR="001F17B8" w:rsidRPr="00F627E3" w:rsidRDefault="001F17B8">
      <w:pPr>
        <w:pStyle w:val="ManualNumPar1"/>
      </w:pPr>
      <w:r>
        <w:t>1.</w:t>
      </w:r>
      <w:r w:rsidR="00977D98">
        <w:tab/>
      </w:r>
      <w:r>
        <w:t>Les États membres veillent à ce que le</w:t>
      </w:r>
      <w:r w:rsidR="0016350C">
        <w:t>ur</w:t>
      </w:r>
      <w:r>
        <w:t xml:space="preserve">s autorités compétentes informent </w:t>
      </w:r>
      <w:r w:rsidR="00B6580D">
        <w:t xml:space="preserve">les </w:t>
      </w:r>
      <w:r w:rsidR="00FE783A">
        <w:t>AES</w:t>
      </w:r>
      <w:r>
        <w:t xml:space="preserve"> de toutes les sanctions et mesures administratives imposées conformément aux articles 5</w:t>
      </w:r>
      <w:r w:rsidR="00FF50DF">
        <w:t>8</w:t>
      </w:r>
      <w:r>
        <w:t xml:space="preserve"> et 5</w:t>
      </w:r>
      <w:r w:rsidR="00FF50DF">
        <w:t>9</w:t>
      </w:r>
      <w:r>
        <w:t xml:space="preserve"> aux </w:t>
      </w:r>
      <w:r w:rsidR="001302D5">
        <w:t>établissements de crédit et aux établissements financiers,</w:t>
      </w:r>
      <w:r>
        <w:t xml:space="preserve"> y compris les recours éventuels formés contre elles et l'issue de ceux-ci.</w:t>
      </w:r>
    </w:p>
    <w:p w:rsidR="001F17B8" w:rsidRPr="00F627E3" w:rsidRDefault="00DC3FC0" w:rsidP="0001478E">
      <w:pPr>
        <w:pStyle w:val="ManualNumPar1"/>
        <w:rPr>
          <w:noProof/>
        </w:rPr>
      </w:pPr>
      <w:r>
        <w:t>2</w:t>
      </w:r>
      <w:r w:rsidR="001F17B8">
        <w:t>.</w:t>
      </w:r>
      <w:r w:rsidR="00977D98">
        <w:tab/>
      </w:r>
      <w:r w:rsidR="001F17B8">
        <w:t>Les États membres veillent à ce que leurs autorités compétentes vérifient, conformément à leur droit national, si une condamnation pertinente figure au casier judiciaire de la personne concernée. Tout échange d'informations à ces fins a lieu conformément à la décision 2009/316/JAI et à</w:t>
      </w:r>
      <w:r w:rsidR="0001478E">
        <w:t xml:space="preserve"> </w:t>
      </w:r>
      <w:r w:rsidR="001F17B8">
        <w:t>la</w:t>
      </w:r>
      <w:r w:rsidR="0001478E">
        <w:t xml:space="preserve"> </w:t>
      </w:r>
      <w:r w:rsidR="001F17B8">
        <w:t>décision</w:t>
      </w:r>
      <w:r w:rsidR="001F17B8">
        <w:noBreakHyphen/>
        <w:t>cadre 2009/315/JAI telles qu'elles sont mises en œuvre dans le droit national.</w:t>
      </w:r>
    </w:p>
    <w:p w:rsidR="001F17B8" w:rsidRPr="00F627E3" w:rsidRDefault="00DC3FC0">
      <w:pPr>
        <w:pStyle w:val="ManualNumPar1"/>
        <w:rPr>
          <w:noProof/>
        </w:rPr>
      </w:pPr>
      <w:r>
        <w:t>3</w:t>
      </w:r>
      <w:r w:rsidR="001F17B8">
        <w:t>.</w:t>
      </w:r>
      <w:r w:rsidR="00977D98">
        <w:tab/>
      </w:r>
      <w:r w:rsidR="00B6580D">
        <w:t xml:space="preserve">Les </w:t>
      </w:r>
      <w:r w:rsidR="00FE783A">
        <w:t xml:space="preserve">AES </w:t>
      </w:r>
      <w:r w:rsidR="001F17B8">
        <w:t xml:space="preserve">gèrent un site </w:t>
      </w:r>
      <w:r w:rsidR="00FE783A">
        <w:t xml:space="preserve">internet </w:t>
      </w:r>
      <w:r w:rsidR="001F17B8">
        <w:t xml:space="preserve">comportant des liens vers chaque </w:t>
      </w:r>
      <w:r w:rsidR="00FE783A">
        <w:t>publication</w:t>
      </w:r>
      <w:r w:rsidR="001F17B8">
        <w:t xml:space="preserve"> par les autorités compétentes des sanctions et mesures administratives </w:t>
      </w:r>
      <w:r w:rsidR="00FE783A">
        <w:t>qu'elles ont imposé</w:t>
      </w:r>
      <w:r w:rsidR="004778A3">
        <w:t>es</w:t>
      </w:r>
      <w:r w:rsidR="00FE783A">
        <w:t xml:space="preserve"> conformément à</w:t>
      </w:r>
      <w:r w:rsidR="001F17B8">
        <w:t xml:space="preserve"> l'article </w:t>
      </w:r>
      <w:r>
        <w:t>60</w:t>
      </w:r>
      <w:r w:rsidR="001F17B8">
        <w:t xml:space="preserve"> aux </w:t>
      </w:r>
      <w:r w:rsidR="001302D5">
        <w:t>établissements de crédit et aux établissements financiers</w:t>
      </w:r>
      <w:r w:rsidR="001F17B8">
        <w:t>, et elles indiquent la durée pendant laquelle les sanctions et mesures administratives sont publiées par chaque État membre.</w:t>
      </w:r>
    </w:p>
    <w:p w:rsidR="00B6580D" w:rsidRDefault="00977D98" w:rsidP="00977D98">
      <w:pPr>
        <w:pStyle w:val="ChapterTitle"/>
      </w:pPr>
      <w:r>
        <w:br w:type="page"/>
      </w:r>
      <w:r w:rsidR="00B6580D">
        <w:t>CHAPITRE VII</w:t>
      </w:r>
      <w:r w:rsidR="00B6580D">
        <w:br/>
      </w:r>
      <w:r w:rsidR="00FE783A">
        <w:t>DISPOSITIONS FINALES</w:t>
      </w:r>
    </w:p>
    <w:p w:rsidR="001F17B8" w:rsidRPr="00977D98" w:rsidRDefault="001F17B8" w:rsidP="00DC3FC0">
      <w:pPr>
        <w:pStyle w:val="Titrearticle"/>
      </w:pPr>
      <w:r>
        <w:t xml:space="preserve">Article </w:t>
      </w:r>
      <w:r w:rsidR="00DC3FC0">
        <w:t>63</w:t>
      </w:r>
    </w:p>
    <w:p w:rsidR="001F17B8" w:rsidRPr="00F627E3" w:rsidRDefault="001F17B8" w:rsidP="007E1EBF">
      <w:pPr>
        <w:rPr>
          <w:rFonts w:eastAsia="Calibri"/>
        </w:rPr>
      </w:pPr>
      <w:r>
        <w:t>À l'article 25, paragraphe 2, du règlement (UE) n° 648/2012 du Parlement européen et du Conseil</w:t>
      </w:r>
      <w:r w:rsidRPr="007E1EBF">
        <w:rPr>
          <w:rStyle w:val="FootnoteReference"/>
        </w:rPr>
        <w:footnoteReference w:id="44"/>
      </w:r>
      <w:r>
        <w:t>, le point d) est remplacé par le texte suivant:</w:t>
      </w:r>
    </w:p>
    <w:p w:rsidR="001F17B8" w:rsidRPr="00F627E3" w:rsidRDefault="00C153C8" w:rsidP="00C153C8">
      <w:pPr>
        <w:pStyle w:val="Point0"/>
        <w:rPr>
          <w:rFonts w:eastAsia="Calibri"/>
        </w:rPr>
      </w:pPr>
      <w:r>
        <w:t>"d)</w:t>
      </w:r>
      <w:r>
        <w:tab/>
      </w:r>
      <w:r w:rsidR="001F17B8">
        <w:t>la contrepartie centrale est établie ou agréée dans un pays tiers qui n'est pas considéré</w:t>
      </w:r>
      <w:r w:rsidR="00DF2FCD">
        <w:t>,</w:t>
      </w:r>
      <w:r>
        <w:t xml:space="preserve"> par la </w:t>
      </w:r>
      <w:r w:rsidR="001F17B8">
        <w:t>Commission</w:t>
      </w:r>
      <w:r w:rsidR="00DF2FCD">
        <w:t xml:space="preserve"> conformément à</w:t>
      </w:r>
      <w:r w:rsidR="001F17B8">
        <w:t xml:space="preserve"> la directive (UE) 2015/... du Parlement européen et du</w:t>
      </w:r>
      <w:r>
        <w:t xml:space="preserve"> </w:t>
      </w:r>
      <w:r w:rsidR="001F17B8">
        <w:t>Conseil</w:t>
      </w:r>
      <w:r w:rsidR="001F17B8" w:rsidRPr="00F64EAE">
        <w:rPr>
          <w:b/>
          <w:bCs/>
          <w:vertAlign w:val="superscript"/>
        </w:rPr>
        <w:t>*</w:t>
      </w:r>
      <w:r w:rsidR="001F17B8">
        <w:t xml:space="preserve">, comme présentant des points faibles stratégiques </w:t>
      </w:r>
      <w:r w:rsidR="00D46BA0">
        <w:t>au niveau</w:t>
      </w:r>
      <w:r w:rsidR="001F17B8">
        <w:t xml:space="preserve"> de son dispositif de lutte contre le blanchiment de capitaux et le financement du terrorisme qui font peser </w:t>
      </w:r>
      <w:r w:rsidR="004778A3">
        <w:t xml:space="preserve">des </w:t>
      </w:r>
      <w:r w:rsidR="001F17B8">
        <w:t>menace</w:t>
      </w:r>
      <w:r w:rsidR="004778A3">
        <w:t>s</w:t>
      </w:r>
      <w:r w:rsidR="001F17B8">
        <w:t xml:space="preserve"> considérable</w:t>
      </w:r>
      <w:r w:rsidR="004778A3">
        <w:t>s</w:t>
      </w:r>
      <w:r w:rsidR="001F17B8">
        <w:t xml:space="preserve"> sur le système financier de l'Union</w:t>
      </w:r>
      <w:r>
        <w:rPr>
          <w:rStyle w:val="FootnoteReference"/>
        </w:rPr>
        <w:footnoteReference w:customMarkFollows="1" w:id="45"/>
        <w:t>**</w:t>
      </w:r>
      <w:r w:rsidR="001F17B8">
        <w:t>.</w:t>
      </w:r>
    </w:p>
    <w:p w:rsidR="001F17B8" w:rsidRPr="00F627E3" w:rsidRDefault="001F17B8" w:rsidP="00C153C8">
      <w:pPr>
        <w:spacing w:line="240" w:lineRule="auto"/>
        <w:rPr>
          <w:rFonts w:eastAsia="Calibri"/>
        </w:rPr>
      </w:pPr>
      <w:r>
        <w:t>______________</w:t>
      </w:r>
      <w:r w:rsidR="00C153C8">
        <w:t>__</w:t>
      </w:r>
    </w:p>
    <w:p w:rsidR="001F17B8" w:rsidRPr="00F627E3" w:rsidRDefault="001F17B8" w:rsidP="00C153C8">
      <w:pPr>
        <w:pStyle w:val="Point0"/>
        <w:spacing w:before="0" w:after="0" w:line="240" w:lineRule="auto"/>
        <w:ind w:left="851" w:hanging="851"/>
        <w:rPr>
          <w:rFonts w:eastAsia="Calibri"/>
        </w:rPr>
      </w:pPr>
      <w:r w:rsidRPr="00F64EAE">
        <w:rPr>
          <w:b/>
          <w:bCs/>
          <w:vertAlign w:val="superscript"/>
        </w:rPr>
        <w:t>*</w:t>
      </w:r>
      <w:r>
        <w:tab/>
        <w:t>Directive (</w:t>
      </w:r>
      <w:r w:rsidRPr="00DC3FC0">
        <w:t>UE) 2015/... du Parlement européen et du Conseil du ... relative à la prévention de l'utilisation du système financier aux fins du blanchiment de capitaux et du financement du</w:t>
      </w:r>
      <w:r w:rsidR="00C153C8">
        <w:t xml:space="preserve"> </w:t>
      </w:r>
      <w:r w:rsidRPr="00DC3FC0">
        <w:t>terrorisme</w:t>
      </w:r>
      <w:r w:rsidR="00DC3FC0" w:rsidRPr="00DC3FC0">
        <w:t>,</w:t>
      </w:r>
      <w:r w:rsidR="00C153C8">
        <w:t xml:space="preserve"> modifiant le règlement (UE) n° </w:t>
      </w:r>
      <w:r w:rsidR="00DC3FC0" w:rsidRPr="00DC3FC0">
        <w:t xml:space="preserve">648/2012 du Parlement européen et du Conseil et abrogeant la directive 2005/60/CE du Parlement européen et du Conseil et la directive 2006/70/CE de la Commission </w:t>
      </w:r>
      <w:r w:rsidRPr="00DC3FC0">
        <w:t>(JO L</w:t>
      </w:r>
      <w:r w:rsidRPr="00DC3FC0">
        <w:rPr>
          <w:i/>
        </w:rPr>
        <w:t xml:space="preserve"> ...</w:t>
      </w:r>
      <w:r w:rsidRPr="00DC3FC0">
        <w:t>)."</w:t>
      </w:r>
      <w:r w:rsidR="00DF2FCD" w:rsidRPr="00DC3FC0">
        <w:t>.</w:t>
      </w:r>
    </w:p>
    <w:p w:rsidR="001F17B8" w:rsidRPr="00F627E3" w:rsidRDefault="00977D98" w:rsidP="00DC3FC0">
      <w:pPr>
        <w:pStyle w:val="Titrearticle"/>
        <w:rPr>
          <w:iCs/>
        </w:rPr>
      </w:pPr>
      <w:r>
        <w:br w:type="page"/>
      </w:r>
      <w:r w:rsidR="001F17B8">
        <w:t xml:space="preserve">Article </w:t>
      </w:r>
      <w:r w:rsidR="00DC3FC0">
        <w:t>64</w:t>
      </w:r>
    </w:p>
    <w:p w:rsidR="001F17B8" w:rsidRPr="00F627E3" w:rsidRDefault="001F17B8" w:rsidP="00977D98">
      <w:pPr>
        <w:pStyle w:val="ManualNumPar1"/>
      </w:pPr>
      <w:r>
        <w:t>1.</w:t>
      </w:r>
      <w:r w:rsidR="00977D98">
        <w:tab/>
      </w:r>
      <w:r>
        <w:t>Le pouvoir d'adopter des actes délégués conféré à la Commission est soumis aux conditions fixées au présent article.</w:t>
      </w:r>
    </w:p>
    <w:p w:rsidR="001F17B8" w:rsidRPr="00F627E3" w:rsidRDefault="001F17B8" w:rsidP="00DC3FC0">
      <w:pPr>
        <w:pStyle w:val="ManualNumPar1"/>
      </w:pPr>
      <w:r>
        <w:t>2.</w:t>
      </w:r>
      <w:r w:rsidR="00977D98">
        <w:tab/>
      </w:r>
      <w:r>
        <w:t>L</w:t>
      </w:r>
      <w:r w:rsidR="00DD1ACC">
        <w:t>e pouvoir d'adopter des actes délégués</w:t>
      </w:r>
      <w:r>
        <w:t xml:space="preserve"> visé à l'article </w:t>
      </w:r>
      <w:r w:rsidR="00DC3FC0" w:rsidRPr="00B772CF">
        <w:rPr>
          <w:iCs/>
        </w:rPr>
        <w:t>9</w:t>
      </w:r>
      <w:r>
        <w:t xml:space="preserve"> est </w:t>
      </w:r>
      <w:r w:rsidR="00DD1ACC">
        <w:t xml:space="preserve">conféré </w:t>
      </w:r>
      <w:r>
        <w:t>à la Commission pour une période indéterminée à compter du</w:t>
      </w:r>
      <w:r w:rsidR="00B6580D">
        <w:t xml:space="preserve"> …</w:t>
      </w:r>
      <w:r w:rsidR="00B6580D">
        <w:rPr>
          <w:rStyle w:val="FootnoteReference"/>
        </w:rPr>
        <w:footnoteReference w:customMarkFollows="1" w:id="46"/>
        <w:t>*</w:t>
      </w:r>
      <w:r>
        <w:t>.</w:t>
      </w:r>
    </w:p>
    <w:p w:rsidR="001F17B8" w:rsidRPr="00F627E3" w:rsidRDefault="001F17B8" w:rsidP="00DC3FC0">
      <w:pPr>
        <w:pStyle w:val="ManualNumPar1"/>
      </w:pPr>
      <w:r>
        <w:t>3.</w:t>
      </w:r>
      <w:r w:rsidR="00977D98">
        <w:tab/>
      </w:r>
      <w:r>
        <w:t>La délégation de pouvoirs visée à l'article </w:t>
      </w:r>
      <w:r w:rsidR="00DC3FC0">
        <w:t>9</w:t>
      </w:r>
      <w:r>
        <w:t xml:space="preserve"> peut êtr</w:t>
      </w:r>
      <w:r w:rsidR="00C153C8">
        <w:t xml:space="preserve">e révoquée à tout moment par le </w:t>
      </w:r>
      <w:r>
        <w:t xml:space="preserve">Parlement européen ou le Conseil. La décision de révocation met fin à la délégation de pouvoir qui y est précisée. La révocation prend effet le jour suivant celui de la publication de ladite décision au </w:t>
      </w:r>
      <w:r w:rsidRPr="007F21D3">
        <w:rPr>
          <w:i/>
          <w:iCs/>
        </w:rPr>
        <w:t>Journal officiel de l'Union européenne</w:t>
      </w:r>
      <w:r>
        <w:t xml:space="preserve"> ou à une date ultérieure qui est précisée dans ladite décision. Elle ne porte pas atteinte à la validité des actes délégués déjà en vigueur.</w:t>
      </w:r>
    </w:p>
    <w:p w:rsidR="001F17B8" w:rsidRPr="00F627E3" w:rsidRDefault="001F17B8" w:rsidP="00977D98">
      <w:pPr>
        <w:pStyle w:val="ManualNumPar1"/>
      </w:pPr>
      <w:r>
        <w:t>4.</w:t>
      </w:r>
      <w:r w:rsidR="00977D98">
        <w:tab/>
      </w:r>
      <w:r>
        <w:t>Aussitôt qu'elle adopte un acte délégué, la Commission le notifie au Parlement europé</w:t>
      </w:r>
      <w:r w:rsidR="00D436FE">
        <w:t xml:space="preserve">en et au </w:t>
      </w:r>
      <w:r>
        <w:t>Conseil simultanément.</w:t>
      </w:r>
    </w:p>
    <w:p w:rsidR="001F17B8" w:rsidRPr="00F627E3" w:rsidRDefault="001F17B8" w:rsidP="00DC3FC0">
      <w:pPr>
        <w:pStyle w:val="ManualNumPar1"/>
      </w:pPr>
      <w:r>
        <w:t>5.</w:t>
      </w:r>
      <w:r w:rsidR="00977D98">
        <w:tab/>
      </w:r>
      <w:r>
        <w:t>Un acte délégué adopté en vertu de l'article </w:t>
      </w:r>
      <w:r w:rsidR="00DC3FC0">
        <w:t>9</w:t>
      </w:r>
      <w:r>
        <w:t xml:space="preserve"> n'entre en vigueur que si le Parlement européen ou le Conseil n'a pas exprimé d'objections dans un délai d'un mois à compter de la notification de cet acte au Parlement européen et au Conseil ou si, avant l'expiration de ce délai, le Parlement européen et le Conseil ont tous deux informé la Commission de leur intention de ne pas exprimer d'objections. Ce délai est prolo</w:t>
      </w:r>
      <w:r w:rsidR="00D436FE">
        <w:t xml:space="preserve">ngé d'un mois à l'initiative du </w:t>
      </w:r>
      <w:r>
        <w:t>Parlement européen ou du Conseil.</w:t>
      </w:r>
    </w:p>
    <w:p w:rsidR="001F17B8" w:rsidRPr="00977D98" w:rsidRDefault="00977D98" w:rsidP="00DC3FC0">
      <w:pPr>
        <w:pStyle w:val="Titrearticle"/>
      </w:pPr>
      <w:r>
        <w:br w:type="page"/>
      </w:r>
      <w:r w:rsidR="001F17B8" w:rsidRPr="00977D98">
        <w:t xml:space="preserve">Article </w:t>
      </w:r>
      <w:r w:rsidR="00DC3FC0">
        <w:t>65</w:t>
      </w:r>
    </w:p>
    <w:p w:rsidR="001F17B8" w:rsidRPr="00F627E3" w:rsidRDefault="001F17B8" w:rsidP="00C153C8">
      <w:pPr>
        <w:rPr>
          <w:noProof/>
        </w:rPr>
      </w:pPr>
      <w:r>
        <w:t>Au plus tard le …</w:t>
      </w:r>
      <w:r w:rsidR="00C153C8">
        <w:rPr>
          <w:rStyle w:val="FootnoteReference"/>
        </w:rPr>
        <w:footnoteReference w:customMarkFollows="1" w:id="47"/>
        <w:t>*</w:t>
      </w:r>
      <w:r>
        <w:t xml:space="preserve">, la Commission établit un rapport sur </w:t>
      </w:r>
      <w:r w:rsidR="00D46BA0">
        <w:t>l</w:t>
      </w:r>
      <w:r>
        <w:t xml:space="preserve">a mise en œuvre </w:t>
      </w:r>
      <w:r w:rsidR="00D46BA0">
        <w:t xml:space="preserve">de la présente directive </w:t>
      </w:r>
      <w:r>
        <w:t>et le soumet au Parlement européen et au Conseil.</w:t>
      </w:r>
    </w:p>
    <w:p w:rsidR="001F17B8" w:rsidRPr="00F627E3" w:rsidRDefault="001F17B8" w:rsidP="00DC3FC0">
      <w:pPr>
        <w:pStyle w:val="Titrearticle"/>
        <w:rPr>
          <w:iCs/>
          <w:noProof/>
        </w:rPr>
      </w:pPr>
      <w:r>
        <w:t xml:space="preserve">Article </w:t>
      </w:r>
      <w:r w:rsidR="00DC3FC0">
        <w:t>66</w:t>
      </w:r>
    </w:p>
    <w:p w:rsidR="001F17B8" w:rsidRPr="00F627E3" w:rsidRDefault="001F17B8" w:rsidP="00C153C8">
      <w:pPr>
        <w:rPr>
          <w:noProof/>
        </w:rPr>
      </w:pPr>
      <w:r>
        <w:t>Les directives 2005/60/CE et 2006/70/CE sont abrogées avec effet au .…</w:t>
      </w:r>
      <w:r w:rsidR="00C153C8">
        <w:rPr>
          <w:rStyle w:val="FootnoteReference"/>
        </w:rPr>
        <w:footnoteReference w:customMarkFollows="1" w:id="48"/>
        <w:t>**</w:t>
      </w:r>
      <w:r>
        <w:t>.</w:t>
      </w:r>
    </w:p>
    <w:p w:rsidR="001F17B8" w:rsidRPr="00F627E3" w:rsidRDefault="001F17B8" w:rsidP="004778A3">
      <w:pPr>
        <w:rPr>
          <w:noProof/>
        </w:rPr>
      </w:pPr>
      <w:r>
        <w:t>Les références faites aux directives abrogées s'entendent comme faites à la présente directive et sont à lire selon le tableau de correspondance figurant à l'annexe IV.</w:t>
      </w:r>
    </w:p>
    <w:p w:rsidR="001F17B8" w:rsidRPr="00F627E3" w:rsidRDefault="001F17B8" w:rsidP="00DC3FC0">
      <w:pPr>
        <w:pStyle w:val="Titrearticle"/>
        <w:rPr>
          <w:iCs/>
          <w:noProof/>
        </w:rPr>
      </w:pPr>
      <w:r>
        <w:t>Article 6</w:t>
      </w:r>
      <w:r w:rsidR="00DC3FC0">
        <w:t>7</w:t>
      </w:r>
    </w:p>
    <w:p w:rsidR="001F17B8" w:rsidRPr="00F627E3" w:rsidRDefault="001F17B8" w:rsidP="00C153C8">
      <w:pPr>
        <w:pStyle w:val="ManualNumPar1"/>
        <w:rPr>
          <w:noProof/>
        </w:rPr>
      </w:pPr>
      <w:r>
        <w:t>1.</w:t>
      </w:r>
      <w:r w:rsidR="004778A3">
        <w:tab/>
      </w:r>
      <w:r>
        <w:t xml:space="preserve">Les États </w:t>
      </w:r>
      <w:r w:rsidRPr="00977D98">
        <w:t>membres</w:t>
      </w:r>
      <w:r>
        <w:t xml:space="preserve"> mettent en vigueur les dispositions législatives, réglementaires et administratives nécessaires pour se conformer à la présente directive au plus tard le …</w:t>
      </w:r>
      <w:r w:rsidR="00C153C8">
        <w:rPr>
          <w:rStyle w:val="FootnoteReference"/>
        </w:rPr>
        <w:footnoteReference w:customMarkFollows="1" w:id="49"/>
        <w:t>***</w:t>
      </w:r>
      <w:r>
        <w:t>. Ils communiquent immédiatement à la Commission le texte de ces dispositions.</w:t>
      </w:r>
    </w:p>
    <w:p w:rsidR="001F17B8" w:rsidRPr="00C153C8" w:rsidRDefault="001F17B8" w:rsidP="00C153C8">
      <w:pPr>
        <w:pStyle w:val="Text1"/>
      </w:pPr>
      <w:r w:rsidRPr="00C153C8">
        <w:t>Lorsque les États membres adoptent ces dispositions, celles-ci contiennent une référence à</w:t>
      </w:r>
      <w:r w:rsidR="00C153C8" w:rsidRPr="00C153C8">
        <w:t xml:space="preserve"> </w:t>
      </w:r>
      <w:r w:rsidRPr="00C153C8">
        <w:t>la</w:t>
      </w:r>
      <w:r w:rsidR="00C153C8" w:rsidRPr="00C153C8">
        <w:t xml:space="preserve"> </w:t>
      </w:r>
      <w:r w:rsidRPr="00C153C8">
        <w:t>présente directive ou sont accompagnées d'une telle référence lors de leur publication officielle. Les modalités de cette référence sont arrêtées par les États membres.</w:t>
      </w:r>
    </w:p>
    <w:p w:rsidR="001F17B8" w:rsidRPr="00F627E3" w:rsidRDefault="001F17B8" w:rsidP="00D46BA0">
      <w:pPr>
        <w:pStyle w:val="ManualNumPar1"/>
        <w:rPr>
          <w:noProof/>
        </w:rPr>
      </w:pPr>
      <w:r>
        <w:t>2.</w:t>
      </w:r>
      <w:r>
        <w:tab/>
        <w:t xml:space="preserve">Les États membres communiquent à la Commission le texte des dispositions essentielles de droit interne qu'ils adoptent dans le domaine </w:t>
      </w:r>
      <w:r w:rsidR="00D46BA0">
        <w:t xml:space="preserve">régi </w:t>
      </w:r>
      <w:r>
        <w:t>par la présente directive.</w:t>
      </w:r>
    </w:p>
    <w:p w:rsidR="001F17B8" w:rsidRPr="00977D98" w:rsidRDefault="00977D98" w:rsidP="00DC3FC0">
      <w:pPr>
        <w:pStyle w:val="Titrearticle"/>
      </w:pPr>
      <w:r>
        <w:br w:type="page"/>
      </w:r>
      <w:r w:rsidR="001F17B8" w:rsidRPr="00977D98">
        <w:t>Article 6</w:t>
      </w:r>
      <w:r w:rsidR="00DC3FC0">
        <w:t>8</w:t>
      </w:r>
    </w:p>
    <w:p w:rsidR="001F17B8" w:rsidRPr="00F627E3" w:rsidRDefault="001F17B8" w:rsidP="001F17B8">
      <w:pPr>
        <w:rPr>
          <w:noProof/>
        </w:rPr>
      </w:pPr>
      <w:r>
        <w:t xml:space="preserve">La présente directive entre en vigueur le vingtième jour suivant celui de sa publication au </w:t>
      </w:r>
      <w:r w:rsidRPr="007F21D3">
        <w:rPr>
          <w:i/>
          <w:iCs/>
        </w:rPr>
        <w:t>Journal officiel de l'Union européenne</w:t>
      </w:r>
      <w:r>
        <w:t>.</w:t>
      </w:r>
    </w:p>
    <w:p w:rsidR="001F17B8" w:rsidRPr="00977D98" w:rsidRDefault="001F17B8" w:rsidP="00DC3FC0">
      <w:pPr>
        <w:pStyle w:val="Titrearticle"/>
      </w:pPr>
      <w:r>
        <w:t>Article 6</w:t>
      </w:r>
      <w:r w:rsidR="00DC3FC0">
        <w:t>9</w:t>
      </w:r>
    </w:p>
    <w:p w:rsidR="001F17B8" w:rsidRPr="00C153C8" w:rsidRDefault="001F17B8" w:rsidP="00C153C8">
      <w:r w:rsidRPr="00C153C8">
        <w:t>Les États membres sont destinataires de la présente directive.</w:t>
      </w:r>
    </w:p>
    <w:p w:rsidR="00B6580D" w:rsidRPr="00C153C8" w:rsidRDefault="00B6580D" w:rsidP="00C153C8">
      <w:pPr>
        <w:pStyle w:val="Fait"/>
      </w:pPr>
      <w:r w:rsidRPr="00C153C8">
        <w:t>Fait à …</w:t>
      </w:r>
      <w:r w:rsidR="00C153C8">
        <w:t>,</w:t>
      </w:r>
    </w:p>
    <w:p w:rsidR="00B6580D" w:rsidRDefault="00B6580D" w:rsidP="007F21D3">
      <w:pPr>
        <w:pStyle w:val="Institutionquisigne"/>
      </w:pPr>
      <w:r>
        <w:t>Par le Parlement européen</w:t>
      </w:r>
      <w:r>
        <w:tab/>
        <w:t>Par le Conseil</w:t>
      </w:r>
    </w:p>
    <w:p w:rsidR="00B6580D" w:rsidRDefault="00B6580D" w:rsidP="007F21D3">
      <w:pPr>
        <w:pStyle w:val="Personnequisigne"/>
      </w:pPr>
      <w:r>
        <w:t>Le président</w:t>
      </w:r>
      <w:r>
        <w:tab/>
        <w:t>Le président</w:t>
      </w:r>
    </w:p>
    <w:p w:rsidR="00B6580D" w:rsidRPr="00CA7812" w:rsidRDefault="00B6580D" w:rsidP="007F21D3">
      <w:pPr>
        <w:pStyle w:val="Lignefinal"/>
      </w:pPr>
    </w:p>
    <w:p w:rsidR="00977D98" w:rsidRDefault="00977D98" w:rsidP="001F17B8">
      <w:pPr>
        <w:jc w:val="center"/>
        <w:sectPr w:rsidR="00977D98" w:rsidSect="007B02EC">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1F17B8" w:rsidRPr="00C153C8" w:rsidRDefault="001F17B8" w:rsidP="00C153C8">
      <w:pPr>
        <w:pStyle w:val="Annexetitreacte"/>
      </w:pPr>
      <w:r w:rsidRPr="00C153C8">
        <w:t>ANNEXE I</w:t>
      </w:r>
    </w:p>
    <w:p w:rsidR="001F17B8" w:rsidRPr="00F627E3" w:rsidRDefault="001F17B8" w:rsidP="00C153C8">
      <w:r>
        <w:t xml:space="preserve">La liste non exhaustive des variables de risque que les </w:t>
      </w:r>
      <w:r w:rsidR="00870FFE">
        <w:t>entités assujetties</w:t>
      </w:r>
      <w:r>
        <w:t xml:space="preserve"> prennent en</w:t>
      </w:r>
      <w:r w:rsidR="00C153C8">
        <w:t xml:space="preserve"> </w:t>
      </w:r>
      <w:r>
        <w:t xml:space="preserve">considération lorsqu'elles déterminent dans quelle mesure appliquer </w:t>
      </w:r>
      <w:r w:rsidR="00D46BA0">
        <w:t>d</w:t>
      </w:r>
      <w:r>
        <w:t>es mesures de vigilance à</w:t>
      </w:r>
      <w:r w:rsidR="00C153C8">
        <w:t xml:space="preserve"> </w:t>
      </w:r>
      <w:r>
        <w:t xml:space="preserve">l'égard de la clientèle conformément à l'article </w:t>
      </w:r>
      <w:r w:rsidR="00DC3FC0">
        <w:t>13</w:t>
      </w:r>
      <w:r>
        <w:t>, paragraphe 3, est la suivante:</w:t>
      </w:r>
    </w:p>
    <w:p w:rsidR="001F17B8" w:rsidRPr="00F627E3" w:rsidRDefault="001F17B8" w:rsidP="00977D98">
      <w:pPr>
        <w:pStyle w:val="Point0"/>
      </w:pPr>
      <w:r>
        <w:t>i)</w:t>
      </w:r>
      <w:r w:rsidR="00977D98">
        <w:tab/>
      </w:r>
      <w:r>
        <w:t>l'objet d'un compte ou d'une relation;</w:t>
      </w:r>
    </w:p>
    <w:p w:rsidR="001F17B8" w:rsidRPr="00F627E3" w:rsidRDefault="001F17B8" w:rsidP="00977D98">
      <w:pPr>
        <w:pStyle w:val="Point0"/>
      </w:pPr>
      <w:r>
        <w:t>ii)</w:t>
      </w:r>
      <w:r w:rsidR="00977D98">
        <w:tab/>
      </w:r>
      <w:r>
        <w:t>le niveau d'actifs déposés par un client ou le volume des transactions effectuées;</w:t>
      </w:r>
    </w:p>
    <w:p w:rsidR="001F17B8" w:rsidRDefault="001F17B8" w:rsidP="00977D98">
      <w:pPr>
        <w:pStyle w:val="Point0"/>
      </w:pPr>
      <w:r>
        <w:t>iii)</w:t>
      </w:r>
      <w:r w:rsidR="00977D98">
        <w:tab/>
      </w:r>
      <w:r>
        <w:t>la régularité ou la durée de la relation d'affaires.</w:t>
      </w:r>
    </w:p>
    <w:p w:rsidR="00977D98" w:rsidRPr="00F627E3" w:rsidRDefault="00977D98" w:rsidP="00977D98">
      <w:pPr>
        <w:pStyle w:val="Lignefinal"/>
      </w:pPr>
    </w:p>
    <w:p w:rsidR="00977D98" w:rsidRDefault="00977D98" w:rsidP="001F17B8">
      <w:pPr>
        <w:jc w:val="center"/>
        <w:sectPr w:rsidR="00977D98" w:rsidSect="007B02EC">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pPr>
    </w:p>
    <w:p w:rsidR="001F17B8" w:rsidRPr="00F627E3" w:rsidRDefault="001F17B8" w:rsidP="00977D98">
      <w:pPr>
        <w:pStyle w:val="Annexetitreacte"/>
      </w:pPr>
      <w:r w:rsidRPr="00DF2FCD">
        <w:t>ANNEXE II</w:t>
      </w:r>
    </w:p>
    <w:p w:rsidR="001F17B8" w:rsidRPr="00F627E3" w:rsidRDefault="001F17B8" w:rsidP="00DC3FC0">
      <w:r>
        <w:t>La liste ci-après est une liste non exhaustive des facteurs et types d'éléments indicatifs d'un risque potentiellement moins élevé visés à l'article 1</w:t>
      </w:r>
      <w:r w:rsidR="00DC3FC0">
        <w:t>6</w:t>
      </w:r>
      <w:r>
        <w:t>:</w:t>
      </w:r>
    </w:p>
    <w:p w:rsidR="001F17B8" w:rsidRPr="00F627E3" w:rsidRDefault="001F17B8" w:rsidP="00977D98">
      <w:pPr>
        <w:pStyle w:val="Point0"/>
      </w:pPr>
      <w:r>
        <w:t>1)</w:t>
      </w:r>
      <w:r w:rsidR="00977D98">
        <w:tab/>
      </w:r>
      <w:r>
        <w:t>facteurs de risques inhérents aux clients:</w:t>
      </w:r>
    </w:p>
    <w:p w:rsidR="001F17B8" w:rsidRPr="00F627E3" w:rsidRDefault="001F17B8" w:rsidP="00977D98">
      <w:pPr>
        <w:pStyle w:val="Point1"/>
      </w:pPr>
      <w:r>
        <w:t>a)</w:t>
      </w:r>
      <w:r w:rsidR="00977D98">
        <w:tab/>
      </w:r>
      <w:r>
        <w:t>sociétés cotées sur un marché boursier et soumises à des obligations d'information (par les règles du marché boursier, la loi ou un moyen contraignant), comportant l'obligation d'assurer une transparence suffisante des bénéficiaires effectifs;</w:t>
      </w:r>
    </w:p>
    <w:p w:rsidR="001F17B8" w:rsidRPr="00F627E3" w:rsidRDefault="001F17B8" w:rsidP="00977D98">
      <w:pPr>
        <w:pStyle w:val="Point1"/>
      </w:pPr>
      <w:r>
        <w:t>b)</w:t>
      </w:r>
      <w:r w:rsidR="00977D98">
        <w:tab/>
      </w:r>
      <w:r>
        <w:t>administrations ou entreprises publiques;</w:t>
      </w:r>
    </w:p>
    <w:p w:rsidR="001F17B8" w:rsidRPr="00F627E3" w:rsidRDefault="001F17B8" w:rsidP="00D46BA0">
      <w:pPr>
        <w:pStyle w:val="Point1"/>
      </w:pPr>
      <w:r>
        <w:t>c)</w:t>
      </w:r>
      <w:r w:rsidR="00977D98">
        <w:tab/>
      </w:r>
      <w:r>
        <w:t xml:space="preserve">clients </w:t>
      </w:r>
      <w:r w:rsidR="00D46BA0">
        <w:t xml:space="preserve">qui </w:t>
      </w:r>
      <w:r>
        <w:t>résid</w:t>
      </w:r>
      <w:r w:rsidR="00D46BA0">
        <w:t>e</w:t>
      </w:r>
      <w:r>
        <w:t>nt dans des zones géographiques à risque moins élevé telles que définies au point 3</w:t>
      </w:r>
      <w:r w:rsidR="00DF2FCD">
        <w:t>;</w:t>
      </w:r>
    </w:p>
    <w:p w:rsidR="001F17B8" w:rsidRPr="00F627E3" w:rsidRDefault="001F17B8" w:rsidP="00977D98">
      <w:pPr>
        <w:pStyle w:val="Point0"/>
      </w:pPr>
      <w:r>
        <w:t>2)</w:t>
      </w:r>
      <w:r w:rsidR="00977D98">
        <w:tab/>
      </w:r>
      <w:r>
        <w:t>facteurs de risques liés aux produits, services, transactions ou canaux de distribution:</w:t>
      </w:r>
    </w:p>
    <w:p w:rsidR="001F17B8" w:rsidRPr="00F627E3" w:rsidRDefault="001F17B8" w:rsidP="00977D98">
      <w:pPr>
        <w:pStyle w:val="Point1"/>
      </w:pPr>
      <w:r>
        <w:t>a)</w:t>
      </w:r>
      <w:r w:rsidR="00977D98">
        <w:tab/>
      </w:r>
      <w:r>
        <w:t>polices d'assurance vie dont la prime est faible;</w:t>
      </w:r>
    </w:p>
    <w:p w:rsidR="001F17B8" w:rsidRPr="00F627E3" w:rsidRDefault="001F17B8" w:rsidP="00977D98">
      <w:pPr>
        <w:pStyle w:val="Point1"/>
      </w:pPr>
      <w:r>
        <w:t>b)</w:t>
      </w:r>
      <w:r w:rsidR="00977D98">
        <w:tab/>
      </w:r>
      <w:r>
        <w:t>contrats d'assurance retraite qui ne comportent pas de clause de rachat anticipé et qui ne peuvent pas être utilisés comme garantie;</w:t>
      </w:r>
    </w:p>
    <w:p w:rsidR="001F17B8" w:rsidRPr="00F627E3" w:rsidRDefault="001F17B8" w:rsidP="00977D98">
      <w:pPr>
        <w:pStyle w:val="Point1"/>
      </w:pPr>
      <w:r>
        <w:t>c)</w:t>
      </w:r>
      <w:r w:rsidR="00977D98">
        <w:tab/>
      </w:r>
      <w:r>
        <w:t>régimes de retraite, fonds de retraite ou dispositifs similaires versant des prestations de retraite aux salariés, pour lesquels les cotisations se font par déduction du salaire et dont les règles ne permettent pas aux bénéficiaires de transférer leurs droits;</w:t>
      </w:r>
    </w:p>
    <w:p w:rsidR="001F17B8" w:rsidRPr="00F627E3" w:rsidRDefault="00C153C8" w:rsidP="00977D98">
      <w:pPr>
        <w:pStyle w:val="Point1"/>
      </w:pPr>
      <w:r>
        <w:t>d)</w:t>
      </w:r>
      <w:r w:rsidR="00977D98">
        <w:tab/>
      </w:r>
      <w:r w:rsidR="001F17B8">
        <w:t xml:space="preserve">produits ou services financiers qui fournissent des services </w:t>
      </w:r>
      <w:r w:rsidR="00DF2FCD">
        <w:t xml:space="preserve">définis </w:t>
      </w:r>
      <w:r w:rsidR="001F17B8">
        <w:t xml:space="preserve">et </w:t>
      </w:r>
      <w:r w:rsidR="00DF2FCD">
        <w:t>limités</w:t>
      </w:r>
      <w:r w:rsidR="00DF2FCD" w:rsidDel="00DF2FCD">
        <w:t xml:space="preserve"> </w:t>
      </w:r>
      <w:r>
        <w:t xml:space="preserve">de façon pertinente à </w:t>
      </w:r>
      <w:r w:rsidR="001F17B8">
        <w:t>certains types de clients, en vue d'un accès accru à des fins d'inclusion financière;</w:t>
      </w:r>
    </w:p>
    <w:p w:rsidR="001F17B8" w:rsidRPr="00F627E3" w:rsidRDefault="00977D98" w:rsidP="00D46BA0">
      <w:pPr>
        <w:pStyle w:val="Point1"/>
      </w:pPr>
      <w:r>
        <w:br w:type="page"/>
      </w:r>
      <w:r w:rsidR="001F17B8">
        <w:t>e)</w:t>
      </w:r>
      <w:r>
        <w:tab/>
      </w:r>
      <w:r w:rsidR="001F17B8">
        <w:t>produits pour lesquels les risques de blanchiment de capitaux</w:t>
      </w:r>
      <w:r w:rsidR="00DF2FCD">
        <w:t xml:space="preserve"> </w:t>
      </w:r>
      <w:r w:rsidR="0016350C">
        <w:t>et</w:t>
      </w:r>
      <w:r w:rsidR="00DF2FCD">
        <w:t xml:space="preserve"> de </w:t>
      </w:r>
      <w:r w:rsidR="001F17B8">
        <w:t>financement du terrorisme sont contrôlés par d'autres facteurs tels que l'imposition de limites de c</w:t>
      </w:r>
      <w:r w:rsidR="00C153C8">
        <w:t xml:space="preserve">hargement ou la transparence en </w:t>
      </w:r>
      <w:r w:rsidR="001F17B8">
        <w:t>matière de propriété (par exemple pour certains types de monnaie électronique)</w:t>
      </w:r>
      <w:r w:rsidR="00DF2FCD">
        <w:t>;</w:t>
      </w:r>
    </w:p>
    <w:p w:rsidR="001F17B8" w:rsidRPr="00F627E3" w:rsidRDefault="001F17B8" w:rsidP="00977D98">
      <w:pPr>
        <w:pStyle w:val="Point0"/>
      </w:pPr>
      <w:r>
        <w:t>3)</w:t>
      </w:r>
      <w:r w:rsidR="00977D98">
        <w:tab/>
      </w:r>
      <w:r>
        <w:t>facteurs de risques géographiques:</w:t>
      </w:r>
    </w:p>
    <w:p w:rsidR="001F17B8" w:rsidRPr="00F627E3" w:rsidRDefault="001F17B8" w:rsidP="00977D98">
      <w:pPr>
        <w:pStyle w:val="Point1"/>
        <w:rPr>
          <w:color w:val="000000"/>
        </w:rPr>
      </w:pPr>
      <w:r>
        <w:rPr>
          <w:color w:val="000000"/>
        </w:rPr>
        <w:t>a)</w:t>
      </w:r>
      <w:r w:rsidR="00977D98">
        <w:rPr>
          <w:color w:val="000000"/>
        </w:rPr>
        <w:tab/>
      </w:r>
      <w:r>
        <w:rPr>
          <w:color w:val="000000"/>
        </w:rPr>
        <w:t xml:space="preserve">États </w:t>
      </w:r>
      <w:r w:rsidRPr="00977D98">
        <w:t>membres</w:t>
      </w:r>
      <w:r>
        <w:rPr>
          <w:color w:val="000000"/>
        </w:rPr>
        <w:t>;</w:t>
      </w:r>
    </w:p>
    <w:p w:rsidR="001F17B8" w:rsidRPr="00F627E3" w:rsidRDefault="001F17B8" w:rsidP="00977D98">
      <w:pPr>
        <w:pStyle w:val="Point1"/>
      </w:pPr>
      <w:r>
        <w:t>b)</w:t>
      </w:r>
      <w:r w:rsidR="00977D98">
        <w:tab/>
      </w:r>
      <w:r>
        <w:t>pays tiers dotés de systèmes efficaces de lutte contre le blanchiment de capitaux</w:t>
      </w:r>
      <w:r w:rsidR="00DF2FCD">
        <w:t xml:space="preserve"> et </w:t>
      </w:r>
      <w:r>
        <w:t>le financement du terrorisme;</w:t>
      </w:r>
    </w:p>
    <w:p w:rsidR="001F17B8" w:rsidRPr="00F627E3" w:rsidRDefault="001F17B8" w:rsidP="00977D98">
      <w:pPr>
        <w:pStyle w:val="Point1"/>
      </w:pPr>
      <w:r>
        <w:t>c)</w:t>
      </w:r>
      <w:r w:rsidR="00977D98">
        <w:tab/>
      </w:r>
      <w:r>
        <w:t>pays tiers identifiés par des sources crédibles comme présentant un faible niveau de corruption ou d'autre activité criminelle;</w:t>
      </w:r>
    </w:p>
    <w:p w:rsidR="001F17B8" w:rsidRDefault="001F17B8" w:rsidP="00977D98">
      <w:pPr>
        <w:pStyle w:val="Point1"/>
      </w:pPr>
      <w:r>
        <w:t>d)</w:t>
      </w:r>
      <w:r w:rsidR="00977D98">
        <w:tab/>
      </w:r>
      <w:r>
        <w:t>pays tiers qui, d'après des sources crédibles telles que des évaluations mutuelles, des rapports d'évaluation détaillée ou des rapports de suivi publiés, ont d</w:t>
      </w:r>
      <w:r w:rsidR="00C153C8">
        <w:t xml:space="preserve">es exigences de lutte contre le </w:t>
      </w:r>
      <w:r>
        <w:t xml:space="preserve">blanchiment de capitaux et le financement du terrorisme correspondant aux recommandations </w:t>
      </w:r>
      <w:r w:rsidR="004778A3">
        <w:t xml:space="preserve">révisées </w:t>
      </w:r>
      <w:r w:rsidR="00C153C8">
        <w:t xml:space="preserve">du </w:t>
      </w:r>
      <w:r>
        <w:t>GAFI et qui assurent la mise en œuvre effective de ces exigences.</w:t>
      </w:r>
    </w:p>
    <w:p w:rsidR="00977D98" w:rsidRPr="00F627E3" w:rsidRDefault="00977D98" w:rsidP="00977D98">
      <w:pPr>
        <w:pStyle w:val="Lignefinal"/>
      </w:pPr>
    </w:p>
    <w:p w:rsidR="00977D98" w:rsidRDefault="00977D98" w:rsidP="001F17B8">
      <w:pPr>
        <w:spacing w:line="324" w:lineRule="auto"/>
        <w:jc w:val="center"/>
        <w:sectPr w:rsidR="00977D98" w:rsidSect="007B02EC">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pPr>
    </w:p>
    <w:p w:rsidR="001F17B8" w:rsidRPr="00C153C8" w:rsidRDefault="001F17B8" w:rsidP="00977D98">
      <w:pPr>
        <w:pStyle w:val="Annexetitreacte"/>
      </w:pPr>
      <w:r w:rsidRPr="00C153C8">
        <w:t>ANNEXE III</w:t>
      </w:r>
    </w:p>
    <w:p w:rsidR="001F17B8" w:rsidRPr="00F627E3" w:rsidRDefault="001F17B8" w:rsidP="00C153C8">
      <w:r>
        <w:t xml:space="preserve">La liste ci-après est une liste non exhaustive des facteurs et types d'éléments indicatifs d'un risque potentiellement plus élevé </w:t>
      </w:r>
      <w:r w:rsidR="00DF2FCD">
        <w:t xml:space="preserve">visés </w:t>
      </w:r>
      <w:r>
        <w:t xml:space="preserve">à l'article </w:t>
      </w:r>
      <w:r w:rsidR="00DC3FC0">
        <w:t>18</w:t>
      </w:r>
      <w:r>
        <w:t>, paragraphe 3:</w:t>
      </w:r>
    </w:p>
    <w:p w:rsidR="001F17B8" w:rsidRPr="00F627E3" w:rsidRDefault="001F17B8" w:rsidP="00977D98">
      <w:pPr>
        <w:pStyle w:val="Point0"/>
      </w:pPr>
      <w:r>
        <w:t>1)</w:t>
      </w:r>
      <w:r w:rsidR="00977D98">
        <w:tab/>
      </w:r>
      <w:r>
        <w:t>facteurs de risques inhérents aux clients:</w:t>
      </w:r>
    </w:p>
    <w:p w:rsidR="001F17B8" w:rsidRPr="00F627E3" w:rsidRDefault="001F17B8" w:rsidP="00977D98">
      <w:pPr>
        <w:pStyle w:val="Point1"/>
      </w:pPr>
      <w:r>
        <w:t>a)</w:t>
      </w:r>
      <w:r w:rsidR="00977D98">
        <w:tab/>
      </w:r>
      <w:r>
        <w:t>relation d'affaires se déroulant dans des circonstances inhabituelles;</w:t>
      </w:r>
    </w:p>
    <w:p w:rsidR="001F17B8" w:rsidRPr="00F627E3" w:rsidRDefault="001F17B8" w:rsidP="00D46BA0">
      <w:pPr>
        <w:pStyle w:val="Point1"/>
      </w:pPr>
      <w:r>
        <w:t>b)</w:t>
      </w:r>
      <w:r w:rsidR="00977D98">
        <w:tab/>
      </w:r>
      <w:r>
        <w:t xml:space="preserve">clients résidant dans </w:t>
      </w:r>
      <w:r w:rsidR="00D46BA0">
        <w:t xml:space="preserve">des zones géographiques à haut risque </w:t>
      </w:r>
      <w:r>
        <w:t>visé</w:t>
      </w:r>
      <w:r w:rsidR="00D46BA0">
        <w:t>e</w:t>
      </w:r>
      <w:r>
        <w:t>s au point 3;</w:t>
      </w:r>
    </w:p>
    <w:p w:rsidR="001F17B8" w:rsidRPr="00F627E3" w:rsidRDefault="001F17B8" w:rsidP="00977D98">
      <w:pPr>
        <w:pStyle w:val="Point1"/>
      </w:pPr>
      <w:r>
        <w:t>c)</w:t>
      </w:r>
      <w:r w:rsidR="00977D98">
        <w:tab/>
      </w:r>
      <w:r>
        <w:t>personnes morales ou constructions juridiques qui sont des structures de détention d'actifs personnels;</w:t>
      </w:r>
    </w:p>
    <w:p w:rsidR="001F17B8" w:rsidRPr="00F627E3" w:rsidRDefault="001F17B8" w:rsidP="00977D98">
      <w:pPr>
        <w:pStyle w:val="Point1"/>
      </w:pPr>
      <w:r>
        <w:t>d)</w:t>
      </w:r>
      <w:r w:rsidR="00977D98">
        <w:tab/>
      </w:r>
      <w:r>
        <w:t>sociétés dont le capital est détenu par des actionnaires apparents (nominee shareholders) ou représenté par des actions au porteur;</w:t>
      </w:r>
    </w:p>
    <w:p w:rsidR="001F17B8" w:rsidRPr="00F627E3" w:rsidRDefault="001F17B8" w:rsidP="00977D98">
      <w:pPr>
        <w:pStyle w:val="Point1"/>
      </w:pPr>
      <w:r>
        <w:t>e)</w:t>
      </w:r>
      <w:r w:rsidR="00977D98">
        <w:tab/>
      </w:r>
      <w:r>
        <w:t>activités nécessitant beaucoup d'espèces;</w:t>
      </w:r>
    </w:p>
    <w:p w:rsidR="001F17B8" w:rsidRPr="00F627E3" w:rsidRDefault="001F17B8" w:rsidP="00C153C8">
      <w:pPr>
        <w:pStyle w:val="Point1"/>
      </w:pPr>
      <w:r>
        <w:t>f)</w:t>
      </w:r>
      <w:r w:rsidR="00977D98">
        <w:tab/>
      </w:r>
      <w:r>
        <w:t>sociétés dont la structure de propriété paraît inhabituelle ou exagérément complexe au regard de</w:t>
      </w:r>
      <w:r w:rsidR="00C153C8">
        <w:t xml:space="preserve"> </w:t>
      </w:r>
      <w:r>
        <w:t>la nature de leurs activités</w:t>
      </w:r>
      <w:r w:rsidR="00434AFE">
        <w:t>;</w:t>
      </w:r>
    </w:p>
    <w:p w:rsidR="001F17B8" w:rsidRPr="00F627E3" w:rsidRDefault="001F17B8" w:rsidP="00977D98">
      <w:pPr>
        <w:pStyle w:val="Point0"/>
      </w:pPr>
      <w:r>
        <w:t>2)</w:t>
      </w:r>
      <w:r w:rsidR="00977D98">
        <w:tab/>
      </w:r>
      <w:r>
        <w:t>facteurs de risques liés aux produits, services, transactions ou canaux de distribution:</w:t>
      </w:r>
    </w:p>
    <w:p w:rsidR="001F17B8" w:rsidRPr="00C153C8" w:rsidRDefault="001F17B8" w:rsidP="00C153C8">
      <w:pPr>
        <w:pStyle w:val="Point1"/>
      </w:pPr>
      <w:r w:rsidRPr="00C153C8">
        <w:t>a)</w:t>
      </w:r>
      <w:r w:rsidR="00977D98" w:rsidRPr="00C153C8">
        <w:tab/>
      </w:r>
      <w:r w:rsidRPr="00C153C8">
        <w:t>banque privée;</w:t>
      </w:r>
    </w:p>
    <w:p w:rsidR="001F17B8" w:rsidRPr="00C153C8" w:rsidRDefault="001F17B8" w:rsidP="00C153C8">
      <w:pPr>
        <w:pStyle w:val="Point1"/>
      </w:pPr>
      <w:r w:rsidRPr="00C153C8">
        <w:t>b)</w:t>
      </w:r>
      <w:r w:rsidR="00977D98" w:rsidRPr="00C153C8">
        <w:tab/>
      </w:r>
      <w:r w:rsidRPr="00C153C8">
        <w:t>produits ou transactions susceptibles de favoriser l'anonymat;</w:t>
      </w:r>
    </w:p>
    <w:p w:rsidR="001F17B8" w:rsidRPr="00C153C8" w:rsidRDefault="001F17B8" w:rsidP="00C153C8">
      <w:pPr>
        <w:pStyle w:val="Point1"/>
      </w:pPr>
      <w:r w:rsidRPr="00C153C8">
        <w:t>c)</w:t>
      </w:r>
      <w:r w:rsidR="00977D98" w:rsidRPr="00C153C8">
        <w:tab/>
      </w:r>
      <w:r w:rsidRPr="00C153C8">
        <w:t>relations d'affaires ou transactions qui n'impliquent pas la présence</w:t>
      </w:r>
      <w:r w:rsidR="00C153C8">
        <w:t xml:space="preserve"> physique des parties et qui ne </w:t>
      </w:r>
      <w:r w:rsidRPr="00C153C8">
        <w:t>sont pas assorties de certaines garanties telles qu'une signature électronique;</w:t>
      </w:r>
    </w:p>
    <w:p w:rsidR="001F17B8" w:rsidRPr="00C153C8" w:rsidRDefault="001F17B8" w:rsidP="00C153C8">
      <w:pPr>
        <w:pStyle w:val="Point1"/>
      </w:pPr>
      <w:r w:rsidRPr="00C153C8">
        <w:t>d)</w:t>
      </w:r>
      <w:r w:rsidR="00977D98" w:rsidRPr="00C153C8">
        <w:tab/>
      </w:r>
      <w:r w:rsidRPr="00C153C8">
        <w:t>paiements reçus de tiers inconnus ou non associés;</w:t>
      </w:r>
    </w:p>
    <w:p w:rsidR="001F17B8" w:rsidRPr="00F627E3" w:rsidRDefault="00977D98" w:rsidP="00977D98">
      <w:pPr>
        <w:pStyle w:val="Point1"/>
      </w:pPr>
      <w:r>
        <w:br w:type="page"/>
      </w:r>
      <w:r w:rsidR="001F17B8">
        <w:t>e)</w:t>
      </w:r>
      <w:r>
        <w:tab/>
      </w:r>
      <w:r w:rsidR="001F17B8">
        <w:t>nouveaux produits et nouvelles pratiques commerciales, notamment les nouveaux mécanismes de distribution, et utilisation de technologies nouvelles ou en cours de développement pour des produits nouveaux ou préexistants.</w:t>
      </w:r>
    </w:p>
    <w:p w:rsidR="001F17B8" w:rsidRPr="00F627E3" w:rsidRDefault="001F17B8" w:rsidP="00977D98">
      <w:pPr>
        <w:pStyle w:val="Point0"/>
      </w:pPr>
      <w:r>
        <w:t>3)</w:t>
      </w:r>
      <w:r w:rsidR="00977D98">
        <w:tab/>
      </w:r>
      <w:r>
        <w:t>facteurs de risques géographiques:</w:t>
      </w:r>
    </w:p>
    <w:p w:rsidR="001F17B8" w:rsidRPr="00F627E3" w:rsidRDefault="001F17B8" w:rsidP="00C153C8">
      <w:pPr>
        <w:pStyle w:val="Point1"/>
      </w:pPr>
      <w:r>
        <w:t>a)</w:t>
      </w:r>
      <w:r w:rsidR="00977D98">
        <w:tab/>
      </w:r>
      <w:r>
        <w:t>sans préjudice de l'article </w:t>
      </w:r>
      <w:r w:rsidR="00DC3FC0">
        <w:t>9</w:t>
      </w:r>
      <w:r>
        <w:t>, pays identifiés par des sources crédibles, telles que des évaluations mutuelles, des rapports d'évaluation détaillée ou des rapports de suivi publiés, comme n'étant pas dotés de systèmes efficaces de lutte contre le blanchiment de capitaux</w:t>
      </w:r>
      <w:r w:rsidR="00434AFE">
        <w:t xml:space="preserve"> et d</w:t>
      </w:r>
      <w:r>
        <w:t>e financement du</w:t>
      </w:r>
      <w:r w:rsidR="00C153C8">
        <w:t xml:space="preserve"> </w:t>
      </w:r>
      <w:r>
        <w:t>terrorisme;</w:t>
      </w:r>
    </w:p>
    <w:p w:rsidR="001F17B8" w:rsidRPr="00F627E3" w:rsidRDefault="001F17B8" w:rsidP="00977D98">
      <w:pPr>
        <w:pStyle w:val="Point1"/>
      </w:pPr>
      <w:r>
        <w:t>b)</w:t>
      </w:r>
      <w:r w:rsidR="00977D98">
        <w:tab/>
      </w:r>
      <w:r>
        <w:t>pays identifiés par des sources crédibles comme présentant des niveaux significatifs de corruption ou d'autre activité criminelle;</w:t>
      </w:r>
    </w:p>
    <w:p w:rsidR="001F17B8" w:rsidRPr="00F627E3" w:rsidRDefault="001F17B8" w:rsidP="00977D98">
      <w:pPr>
        <w:pStyle w:val="Point1"/>
        <w:rPr>
          <w:color w:val="000000"/>
        </w:rPr>
      </w:pPr>
      <w:r>
        <w:rPr>
          <w:color w:val="000000"/>
        </w:rPr>
        <w:t>c)</w:t>
      </w:r>
      <w:r w:rsidR="00977D98">
        <w:rPr>
          <w:color w:val="000000"/>
        </w:rPr>
        <w:tab/>
      </w:r>
      <w:r>
        <w:rPr>
          <w:color w:val="000000"/>
        </w:rPr>
        <w:t xml:space="preserve">pays </w:t>
      </w:r>
      <w:r w:rsidRPr="00977D98">
        <w:t>faisant</w:t>
      </w:r>
      <w:r>
        <w:rPr>
          <w:color w:val="000000"/>
        </w:rPr>
        <w:t xml:space="preserve"> l'objet de sanctions, d'embargos ou d'autres mesures similaires imposés, par exemple, par l'Union ou par les Nations unies;</w:t>
      </w:r>
    </w:p>
    <w:p w:rsidR="001F17B8" w:rsidRDefault="001F17B8" w:rsidP="00C153C8">
      <w:pPr>
        <w:pStyle w:val="Point1"/>
      </w:pPr>
      <w:r>
        <w:t>d)</w:t>
      </w:r>
      <w:r w:rsidR="00977D98">
        <w:tab/>
      </w:r>
      <w:r>
        <w:t>pays qui financent ou soutiennent des activités terroristes ou sur le territoire desquels opèrent des</w:t>
      </w:r>
      <w:r w:rsidR="00C153C8">
        <w:t xml:space="preserve"> </w:t>
      </w:r>
      <w:r>
        <w:t>organisations terroristes désignées.</w:t>
      </w:r>
    </w:p>
    <w:p w:rsidR="00977D98" w:rsidRPr="00F627E3" w:rsidRDefault="00977D98" w:rsidP="00977D98">
      <w:pPr>
        <w:pStyle w:val="Lignefinal"/>
      </w:pPr>
    </w:p>
    <w:p w:rsidR="00977D98" w:rsidRDefault="00977D98" w:rsidP="001F17B8">
      <w:pPr>
        <w:jc w:val="center"/>
        <w:outlineLvl w:val="0"/>
        <w:sectPr w:rsidR="00977D98" w:rsidSect="007B02EC">
          <w:headerReference w:type="default" r:id="rId25"/>
          <w:footerReference w:type="default" r:id="rId26"/>
          <w:footnotePr>
            <w:numRestart w:val="eachPage"/>
          </w:footnotePr>
          <w:pgSz w:w="11907" w:h="16840" w:code="9"/>
          <w:pgMar w:top="1134" w:right="1134" w:bottom="1134" w:left="1134" w:header="567" w:footer="567" w:gutter="0"/>
          <w:pgNumType w:start="1"/>
          <w:cols w:space="708"/>
          <w:docGrid w:linePitch="360"/>
        </w:sectPr>
      </w:pPr>
    </w:p>
    <w:p w:rsidR="001F17B8" w:rsidRPr="00F627E3" w:rsidRDefault="001F17B8" w:rsidP="00977D98">
      <w:pPr>
        <w:pStyle w:val="Annexetitreacte"/>
        <w:rPr>
          <w:noProof/>
        </w:rPr>
      </w:pPr>
      <w:r>
        <w:t>ANNEXE IV</w:t>
      </w:r>
    </w:p>
    <w:p w:rsidR="001F17B8" w:rsidRPr="003B342F" w:rsidRDefault="001F17B8" w:rsidP="003B342F">
      <w:pPr>
        <w:pStyle w:val="NormalCentered"/>
      </w:pPr>
      <w:r w:rsidRPr="003B342F">
        <w:t>Tableau de correspondance</w:t>
      </w:r>
    </w:p>
    <w:tbl>
      <w:tblPr>
        <w:tblW w:w="0" w:type="auto"/>
        <w:jc w:val="center"/>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3055"/>
        <w:gridCol w:w="3287"/>
      </w:tblGrid>
      <w:tr w:rsidR="005C207B" w:rsidRPr="00052AAB" w:rsidTr="00C153C8">
        <w:trPr>
          <w:tblHeader/>
          <w:jc w:val="center"/>
        </w:trPr>
        <w:tc>
          <w:tcPr>
            <w:tcW w:w="3508" w:type="dxa"/>
            <w:tcBorders>
              <w:left w:val="nil"/>
            </w:tcBorders>
          </w:tcPr>
          <w:p w:rsidR="005C207B" w:rsidRPr="00052AAB" w:rsidRDefault="005C207B" w:rsidP="005C207B">
            <w:pPr>
              <w:spacing w:before="60" w:after="60" w:line="240" w:lineRule="auto"/>
              <w:jc w:val="center"/>
              <w:rPr>
                <w:noProof/>
              </w:rPr>
            </w:pPr>
            <w:r w:rsidRPr="00052AAB">
              <w:rPr>
                <w:noProof/>
              </w:rPr>
              <w:t>Présente directive</w:t>
            </w:r>
          </w:p>
        </w:tc>
        <w:tc>
          <w:tcPr>
            <w:tcW w:w="3055" w:type="dxa"/>
            <w:tcBorders>
              <w:left w:val="nil"/>
            </w:tcBorders>
            <w:vAlign w:val="center"/>
          </w:tcPr>
          <w:p w:rsidR="005C207B" w:rsidRPr="00052AAB" w:rsidRDefault="005C207B" w:rsidP="005C207B">
            <w:pPr>
              <w:spacing w:before="60" w:after="60" w:line="240" w:lineRule="auto"/>
              <w:jc w:val="center"/>
              <w:rPr>
                <w:noProof/>
              </w:rPr>
            </w:pPr>
            <w:r w:rsidRPr="00052AAB">
              <w:rPr>
                <w:noProof/>
              </w:rPr>
              <w:t>Directive 2005/60/CE</w:t>
            </w:r>
          </w:p>
        </w:tc>
        <w:tc>
          <w:tcPr>
            <w:tcW w:w="3287" w:type="dxa"/>
            <w:tcBorders>
              <w:right w:val="nil"/>
            </w:tcBorders>
          </w:tcPr>
          <w:p w:rsidR="005C207B" w:rsidRPr="00052AAB" w:rsidRDefault="005C207B" w:rsidP="005C207B">
            <w:pPr>
              <w:spacing w:before="60" w:after="60" w:line="240" w:lineRule="auto"/>
              <w:jc w:val="center"/>
              <w:rPr>
                <w:noProof/>
              </w:rPr>
            </w:pPr>
            <w:r w:rsidRPr="00052AAB">
              <w:rPr>
                <w:noProof/>
              </w:rPr>
              <w:t>Directive 2006/70/CE</w:t>
            </w:r>
          </w:p>
        </w:tc>
      </w:tr>
      <w:tr w:rsidR="005C207B" w:rsidRPr="00052AAB" w:rsidTr="00C153C8">
        <w:trPr>
          <w:jc w:val="center"/>
        </w:trPr>
        <w:tc>
          <w:tcPr>
            <w:tcW w:w="3508" w:type="dxa"/>
            <w:tcBorders>
              <w:left w:val="nil"/>
              <w:bottom w:val="nil"/>
            </w:tcBorders>
          </w:tcPr>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3B342F" w:rsidP="005C207B">
            <w:pPr>
              <w:spacing w:before="60" w:after="60" w:line="240" w:lineRule="auto"/>
              <w:rPr>
                <w:noProof/>
              </w:rPr>
            </w:pPr>
            <w:r>
              <w:rPr>
                <w:noProof/>
              </w:rPr>
              <w:t>–</w:t>
            </w:r>
          </w:p>
          <w:p w:rsidR="005C207B" w:rsidRPr="00052AAB" w:rsidRDefault="005C207B" w:rsidP="005C207B">
            <w:pPr>
              <w:spacing w:before="60" w:after="60" w:line="240" w:lineRule="auto"/>
              <w:rPr>
                <w:noProof/>
              </w:rPr>
            </w:pPr>
            <w:r w:rsidRPr="00052AAB">
              <w:rPr>
                <w:noProof/>
              </w:rPr>
              <w:t>Article 1</w:t>
            </w:r>
            <w:r w:rsidRPr="00746943">
              <w:rPr>
                <w:noProof/>
                <w:vertAlign w:val="superscript"/>
              </w:rPr>
              <w:t>er</w:t>
            </w:r>
          </w:p>
        </w:tc>
        <w:tc>
          <w:tcPr>
            <w:tcW w:w="3055" w:type="dxa"/>
            <w:tcBorders>
              <w:left w:val="nil"/>
              <w:bottom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1</w:t>
            </w:r>
            <w:r w:rsidRPr="00746943">
              <w:rPr>
                <w:noProof/>
                <w:vertAlign w:val="superscript"/>
              </w:rPr>
              <w:t>er</w:t>
            </w:r>
          </w:p>
        </w:tc>
        <w:tc>
          <w:tcPr>
            <w:tcW w:w="3287" w:type="dxa"/>
            <w:tcBorders>
              <w:bottom w:val="nil"/>
              <w:right w:val="nil"/>
            </w:tcBorders>
          </w:tcPr>
          <w:p w:rsidR="005C207B" w:rsidRPr="00052AAB" w:rsidRDefault="005C207B" w:rsidP="005C207B">
            <w:pPr>
              <w:spacing w:before="60" w:after="60" w:line="240" w:lineRule="auto"/>
              <w:rPr>
                <w:noProof/>
                <w:lang w:val="fr-BE"/>
              </w:rPr>
            </w:pPr>
            <w:r w:rsidRPr="00052AAB">
              <w:rPr>
                <w:noProof/>
                <w:lang w:val="fr-BE"/>
              </w:rPr>
              <w:t>Article 1</w:t>
            </w:r>
            <w:r w:rsidRPr="00746943">
              <w:rPr>
                <w:noProof/>
                <w:vertAlign w:val="superscript"/>
                <w:lang w:val="fr-BE"/>
              </w:rPr>
              <w:t>er</w:t>
            </w:r>
          </w:p>
          <w:p w:rsidR="005C207B" w:rsidRPr="00052AAB" w:rsidRDefault="005C207B" w:rsidP="005C207B">
            <w:pPr>
              <w:spacing w:before="60" w:after="60" w:line="240" w:lineRule="auto"/>
              <w:rPr>
                <w:noProof/>
                <w:lang w:val="fr-BE"/>
              </w:rPr>
            </w:pPr>
            <w:r w:rsidRPr="00052AAB">
              <w:rPr>
                <w:noProof/>
                <w:lang w:val="fr-BE"/>
              </w:rPr>
              <w:t>Article 3</w:t>
            </w:r>
          </w:p>
          <w:p w:rsidR="005C207B" w:rsidRPr="00052AAB" w:rsidRDefault="005C207B" w:rsidP="005C207B">
            <w:pPr>
              <w:spacing w:before="60" w:after="60" w:line="240" w:lineRule="auto"/>
              <w:rPr>
                <w:noProof/>
                <w:lang w:val="fr-BE"/>
              </w:rPr>
            </w:pPr>
            <w:r w:rsidRPr="00052AAB">
              <w:rPr>
                <w:noProof/>
                <w:lang w:val="fr-BE"/>
              </w:rPr>
              <w:t>Article 5</w:t>
            </w:r>
          </w:p>
          <w:p w:rsidR="005C207B" w:rsidRPr="00052AAB" w:rsidRDefault="005C207B" w:rsidP="005C207B">
            <w:pPr>
              <w:spacing w:before="60" w:after="60" w:line="240" w:lineRule="auto"/>
              <w:rPr>
                <w:noProof/>
                <w:lang w:val="fr-BE"/>
              </w:rPr>
            </w:pPr>
            <w:r w:rsidRPr="00052AAB">
              <w:rPr>
                <w:noProof/>
                <w:lang w:val="fr-BE"/>
              </w:rPr>
              <w:t>Article 6</w:t>
            </w:r>
          </w:p>
          <w:p w:rsidR="005C207B" w:rsidRPr="00052AAB" w:rsidRDefault="005C207B" w:rsidP="005C207B">
            <w:pPr>
              <w:spacing w:before="60" w:after="60" w:line="240" w:lineRule="auto"/>
              <w:rPr>
                <w:noProof/>
                <w:lang w:val="fr-BE"/>
              </w:rPr>
            </w:pPr>
            <w:r w:rsidRPr="00052AAB">
              <w:rPr>
                <w:noProof/>
                <w:lang w:val="fr-BE"/>
              </w:rPr>
              <w:t>Article 7</w:t>
            </w: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w:t>
            </w:r>
            <w:r>
              <w:rPr>
                <w:noProof/>
              </w:rPr>
              <w:t>, paragraphes 3 à 8</w:t>
            </w:r>
          </w:p>
          <w:p w:rsidR="005C207B" w:rsidRPr="00052AAB" w:rsidRDefault="005C207B" w:rsidP="005C207B">
            <w:pPr>
              <w:spacing w:before="60" w:after="60" w:line="240" w:lineRule="auto"/>
              <w:rPr>
                <w:noProof/>
              </w:rPr>
            </w:pPr>
            <w:r w:rsidRPr="00052AAB">
              <w:rPr>
                <w:noProof/>
              </w:rPr>
              <w:t>Article 3</w:t>
            </w:r>
          </w:p>
        </w:tc>
        <w:tc>
          <w:tcPr>
            <w:tcW w:w="3055" w:type="dxa"/>
            <w:tcBorders>
              <w:top w:val="nil"/>
              <w:left w:val="nil"/>
              <w:bottom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3</w:t>
            </w:r>
          </w:p>
        </w:tc>
        <w:tc>
          <w:tcPr>
            <w:tcW w:w="3287" w:type="dxa"/>
            <w:tcBorders>
              <w:top w:val="nil"/>
              <w:bottom w:val="nil"/>
              <w:right w:val="nil"/>
            </w:tcBorders>
          </w:tcPr>
          <w:p w:rsidR="005C207B" w:rsidRPr="00052AAB" w:rsidRDefault="005C207B" w:rsidP="005C207B">
            <w:pPr>
              <w:spacing w:before="60" w:after="60" w:line="240" w:lineRule="auto"/>
              <w:rPr>
                <w:noProof/>
              </w:rPr>
            </w:pPr>
            <w:r w:rsidRPr="00052AAB">
              <w:rPr>
                <w:noProof/>
              </w:rPr>
              <w:t>Article 4</w:t>
            </w: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w:t>
            </w:r>
            <w:r>
              <w:rPr>
                <w:noProof/>
              </w:rPr>
              <w:t>, paragraphes 9, 10 et 11</w:t>
            </w:r>
          </w:p>
          <w:p w:rsidR="005C207B" w:rsidRPr="00052AAB" w:rsidRDefault="005C207B" w:rsidP="005C207B">
            <w:pPr>
              <w:spacing w:before="60" w:after="60" w:line="240" w:lineRule="auto"/>
              <w:rPr>
                <w:noProof/>
              </w:rPr>
            </w:pPr>
            <w:r w:rsidRPr="00052AAB">
              <w:rPr>
                <w:noProof/>
              </w:rPr>
              <w:t>Article 4</w:t>
            </w:r>
          </w:p>
        </w:tc>
        <w:tc>
          <w:tcPr>
            <w:tcW w:w="3055" w:type="dxa"/>
            <w:tcBorders>
              <w:top w:val="nil"/>
              <w:left w:val="nil"/>
              <w:bottom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4</w:t>
            </w:r>
          </w:p>
        </w:tc>
        <w:tc>
          <w:tcPr>
            <w:tcW w:w="3287" w:type="dxa"/>
            <w:tcBorders>
              <w:top w:val="nil"/>
              <w:bottom w:val="nil"/>
              <w:right w:val="nil"/>
            </w:tcBorders>
          </w:tcPr>
          <w:p w:rsidR="005C207B" w:rsidRPr="00052AAB" w:rsidRDefault="005C207B" w:rsidP="005C207B">
            <w:pPr>
              <w:spacing w:before="60" w:after="60" w:line="240" w:lineRule="auto"/>
              <w:rPr>
                <w:noProof/>
              </w:rPr>
            </w:pPr>
            <w:r w:rsidRPr="00052AAB">
              <w:rPr>
                <w:noProof/>
              </w:rPr>
              <w:t>Article 2</w:t>
            </w:r>
            <w:r>
              <w:rPr>
                <w:noProof/>
              </w:rPr>
              <w:t>, paragraphes 1, 2 et 3</w:t>
            </w: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6 </w:t>
            </w:r>
            <w:r>
              <w:rPr>
                <w:noProof/>
              </w:rPr>
              <w:t>à</w:t>
            </w:r>
            <w:r w:rsidRPr="00052AAB">
              <w:rPr>
                <w:noProof/>
              </w:rPr>
              <w:t xml:space="preserve"> 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7</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13</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14</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9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w:t>
            </w:r>
            <w:r w:rsidRPr="00746943">
              <w:rPr>
                <w:noProof/>
              </w:rPr>
              <w:t>11, point d)</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10, paragraphe 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10</w:t>
            </w:r>
            <w:r>
              <w:rPr>
                <w:noProof/>
              </w:rPr>
              <w:t xml:space="preserve">, paragraphe </w:t>
            </w:r>
            <w:r w:rsidRPr="00052AAB">
              <w:rPr>
                <w:noProof/>
              </w:rPr>
              <w:t>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Articles 15, 16 et 17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11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12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18 </w:t>
            </w:r>
            <w:r>
              <w:rPr>
                <w:noProof/>
              </w:rPr>
              <w:t>à</w:t>
            </w:r>
            <w:r w:rsidRPr="00052AAB">
              <w:rPr>
                <w:noProof/>
              </w:rPr>
              <w:t xml:space="preserve"> 24</w:t>
            </w:r>
          </w:p>
          <w:p w:rsidR="005C207B" w:rsidRPr="00052AAB" w:rsidRDefault="005C207B" w:rsidP="005C207B">
            <w:pPr>
              <w:spacing w:before="60" w:after="60" w:line="240" w:lineRule="auto"/>
              <w:rPr>
                <w:noProof/>
              </w:rPr>
            </w:pPr>
            <w:r w:rsidRPr="00052AAB">
              <w:rPr>
                <w:noProof/>
              </w:rPr>
              <w:t>Article 22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13</w:t>
            </w:r>
          </w:p>
        </w:tc>
        <w:tc>
          <w:tcPr>
            <w:tcW w:w="3287" w:type="dxa"/>
            <w:tcBorders>
              <w:top w:val="nil"/>
              <w:bottom w:val="nil"/>
              <w:right w:val="nil"/>
            </w:tcBorders>
          </w:tcPr>
          <w:p w:rsidR="005C207B" w:rsidRPr="00052AAB" w:rsidRDefault="005C207B" w:rsidP="005C207B">
            <w:pPr>
              <w:spacing w:before="60" w:after="60" w:line="240" w:lineRule="auto"/>
              <w:rPr>
                <w:noProof/>
              </w:rPr>
            </w:pPr>
          </w:p>
          <w:p w:rsidR="005C207B" w:rsidRPr="00052AAB" w:rsidRDefault="005C207B" w:rsidP="005C207B">
            <w:pPr>
              <w:spacing w:before="60" w:after="60" w:line="240" w:lineRule="auto"/>
              <w:rPr>
                <w:noProof/>
              </w:rPr>
            </w:pPr>
            <w:r w:rsidRPr="00052AAB">
              <w:rPr>
                <w:noProof/>
              </w:rPr>
              <w:t>Article 2</w:t>
            </w:r>
            <w:r>
              <w:rPr>
                <w:noProof/>
              </w:rPr>
              <w:t xml:space="preserve">, paragraphe </w:t>
            </w:r>
            <w:r w:rsidRPr="00052AAB">
              <w:rPr>
                <w:noProof/>
              </w:rPr>
              <w:t>4</w:t>
            </w:r>
          </w:p>
        </w:tc>
      </w:tr>
      <w:tr w:rsidR="005C207B" w:rsidRPr="00052AAB" w:rsidTr="00C153C8">
        <w:trPr>
          <w:jc w:val="center"/>
        </w:trPr>
        <w:tc>
          <w:tcPr>
            <w:tcW w:w="3508"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t>Article 25</w:t>
            </w:r>
          </w:p>
        </w:tc>
        <w:tc>
          <w:tcPr>
            <w:tcW w:w="3055"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t>Article 14</w:t>
            </w:r>
          </w:p>
        </w:tc>
        <w:tc>
          <w:tcPr>
            <w:tcW w:w="3287" w:type="dxa"/>
            <w:tcBorders>
              <w:top w:val="nil"/>
              <w:bottom w:val="nil"/>
              <w:right w:val="nil"/>
            </w:tcBorders>
          </w:tcPr>
          <w:p w:rsidR="005C207B" w:rsidRPr="00052AAB" w:rsidRDefault="005C207B" w:rsidP="003B342F">
            <w:pPr>
              <w:pageBreakBefore/>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17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29</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19</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20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33</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34</w:t>
            </w:r>
          </w:p>
        </w:tc>
        <w:tc>
          <w:tcPr>
            <w:tcW w:w="3055" w:type="dxa"/>
            <w:tcBorders>
              <w:top w:val="nil"/>
              <w:left w:val="nil"/>
              <w:bottom w:val="nil"/>
            </w:tcBorders>
          </w:tcPr>
          <w:p w:rsidR="005C207B" w:rsidRPr="00052AAB" w:rsidRDefault="005C207B" w:rsidP="005C207B">
            <w:pPr>
              <w:pageBreakBefore/>
              <w:spacing w:before="60" w:after="60" w:line="240" w:lineRule="auto"/>
              <w:rPr>
                <w:noProof/>
              </w:rPr>
            </w:pPr>
            <w:r w:rsidRPr="00052AAB">
              <w:rPr>
                <w:noProof/>
              </w:rPr>
              <w:t>Article 23</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24</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27</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39</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29</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30</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42</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44</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33</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34</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36 </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37</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t>Article 49</w:t>
            </w:r>
          </w:p>
        </w:tc>
        <w:tc>
          <w:tcPr>
            <w:tcW w:w="3055" w:type="dxa"/>
            <w:tcBorders>
              <w:top w:val="nil"/>
              <w:left w:val="nil"/>
              <w:bottom w:val="nil"/>
            </w:tcBorders>
          </w:tcPr>
          <w:p w:rsidR="005C207B" w:rsidRPr="00052AAB" w:rsidRDefault="005C207B" w:rsidP="003B342F">
            <w:pPr>
              <w:pageBreakBefore/>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3B342F">
            <w:pPr>
              <w:pageBreakBefore/>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50</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w:t>
            </w:r>
            <w:r w:rsidRPr="00746943">
              <w:rPr>
                <w:noProof/>
              </w:rPr>
              <w:t xml:space="preserve">37 </w:t>
            </w:r>
            <w:r w:rsidRPr="00746943">
              <w:rPr>
                <w:i/>
                <w:iCs/>
                <w:noProof/>
              </w:rPr>
              <w:t>bis</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51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38</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52 </w:t>
            </w:r>
            <w:r>
              <w:rPr>
                <w:noProof/>
              </w:rPr>
              <w:t>à</w:t>
            </w:r>
            <w:r w:rsidRPr="00052AAB">
              <w:rPr>
                <w:noProof/>
              </w:rPr>
              <w:t xml:space="preserve"> 57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Articles 58 </w:t>
            </w:r>
            <w:r>
              <w:rPr>
                <w:noProof/>
              </w:rPr>
              <w:t>à</w:t>
            </w:r>
            <w:r w:rsidRPr="00052AAB">
              <w:rPr>
                <w:noProof/>
              </w:rPr>
              <w:t xml:space="preserve"> 61</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39</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40</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41</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 xml:space="preserve">Article </w:t>
            </w:r>
            <w:r w:rsidRPr="00F01C2A">
              <w:rPr>
                <w:noProof/>
              </w:rPr>
              <w:t xml:space="preserve">41 </w:t>
            </w:r>
            <w:r w:rsidRPr="00746943">
              <w:rPr>
                <w:i/>
                <w:iCs/>
                <w:noProof/>
              </w:rPr>
              <w:t>bis</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41</w:t>
            </w:r>
            <w:r>
              <w:rPr>
                <w:noProof/>
              </w:rPr>
              <w:t xml:space="preserve"> </w:t>
            </w:r>
            <w:r w:rsidRPr="00746943">
              <w:rPr>
                <w:i/>
                <w:iCs/>
                <w:noProof/>
              </w:rPr>
              <w:t>ter</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65</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42</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sym w:font="Symbol" w:char="F02D"/>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43</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66</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44</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67</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45</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052AAB" w:rsidTr="00C153C8">
        <w:trPr>
          <w:jc w:val="center"/>
        </w:trPr>
        <w:tc>
          <w:tcPr>
            <w:tcW w:w="3508"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68</w:t>
            </w:r>
          </w:p>
        </w:tc>
        <w:tc>
          <w:tcPr>
            <w:tcW w:w="3055" w:type="dxa"/>
            <w:tcBorders>
              <w:top w:val="nil"/>
              <w:left w:val="nil"/>
              <w:bottom w:val="nil"/>
            </w:tcBorders>
          </w:tcPr>
          <w:p w:rsidR="005C207B" w:rsidRPr="00052AAB" w:rsidRDefault="005C207B" w:rsidP="005C207B">
            <w:pPr>
              <w:spacing w:before="60" w:after="60" w:line="240" w:lineRule="auto"/>
              <w:rPr>
                <w:noProof/>
              </w:rPr>
            </w:pPr>
            <w:r w:rsidRPr="00052AAB">
              <w:rPr>
                <w:noProof/>
              </w:rPr>
              <w:t>Article 46</w:t>
            </w:r>
          </w:p>
        </w:tc>
        <w:tc>
          <w:tcPr>
            <w:tcW w:w="3287" w:type="dxa"/>
            <w:tcBorders>
              <w:top w:val="nil"/>
              <w:bottom w:val="nil"/>
              <w:right w:val="nil"/>
            </w:tcBorders>
          </w:tcPr>
          <w:p w:rsidR="005C207B" w:rsidRPr="00052AAB" w:rsidRDefault="005C207B" w:rsidP="005C207B">
            <w:pPr>
              <w:spacing w:before="60" w:after="60" w:line="240" w:lineRule="auto"/>
              <w:rPr>
                <w:noProof/>
              </w:rPr>
            </w:pPr>
          </w:p>
        </w:tc>
      </w:tr>
      <w:tr w:rsidR="005C207B" w:rsidRPr="005F7E41" w:rsidTr="00C153C8">
        <w:trPr>
          <w:jc w:val="center"/>
        </w:trPr>
        <w:tc>
          <w:tcPr>
            <w:tcW w:w="3508" w:type="dxa"/>
            <w:tcBorders>
              <w:top w:val="nil"/>
              <w:left w:val="nil"/>
              <w:bottom w:val="single" w:sz="4" w:space="0" w:color="auto"/>
              <w:right w:val="single" w:sz="4" w:space="0" w:color="auto"/>
            </w:tcBorders>
          </w:tcPr>
          <w:p w:rsidR="005C207B" w:rsidRPr="00052AAB" w:rsidRDefault="005C207B" w:rsidP="005C207B">
            <w:pPr>
              <w:spacing w:before="60" w:after="60" w:line="240" w:lineRule="auto"/>
              <w:rPr>
                <w:noProof/>
              </w:rPr>
            </w:pPr>
            <w:r w:rsidRPr="00052AAB">
              <w:rPr>
                <w:noProof/>
              </w:rPr>
              <w:t>Article 69</w:t>
            </w:r>
          </w:p>
        </w:tc>
        <w:tc>
          <w:tcPr>
            <w:tcW w:w="3055" w:type="dxa"/>
            <w:tcBorders>
              <w:top w:val="nil"/>
              <w:left w:val="nil"/>
              <w:bottom w:val="single" w:sz="4" w:space="0" w:color="auto"/>
              <w:right w:val="single" w:sz="4" w:space="0" w:color="auto"/>
            </w:tcBorders>
          </w:tcPr>
          <w:p w:rsidR="005C207B" w:rsidRPr="005F7E41" w:rsidRDefault="005C207B" w:rsidP="005C207B">
            <w:pPr>
              <w:spacing w:before="60" w:after="60" w:line="240" w:lineRule="auto"/>
              <w:rPr>
                <w:noProof/>
              </w:rPr>
            </w:pPr>
            <w:r w:rsidRPr="00052AAB">
              <w:rPr>
                <w:noProof/>
              </w:rPr>
              <w:t>Article 47</w:t>
            </w:r>
          </w:p>
        </w:tc>
        <w:tc>
          <w:tcPr>
            <w:tcW w:w="3287" w:type="dxa"/>
            <w:tcBorders>
              <w:top w:val="nil"/>
              <w:left w:val="single" w:sz="4" w:space="0" w:color="auto"/>
              <w:bottom w:val="single" w:sz="4" w:space="0" w:color="auto"/>
              <w:right w:val="nil"/>
            </w:tcBorders>
          </w:tcPr>
          <w:p w:rsidR="005C207B" w:rsidRPr="005F7E41" w:rsidRDefault="005C207B" w:rsidP="005C207B">
            <w:pPr>
              <w:spacing w:before="60" w:after="60" w:line="240" w:lineRule="auto"/>
              <w:rPr>
                <w:noProof/>
              </w:rPr>
            </w:pPr>
          </w:p>
        </w:tc>
      </w:tr>
    </w:tbl>
    <w:p w:rsidR="00D22ED8" w:rsidRPr="007B02EC" w:rsidRDefault="00D22ED8" w:rsidP="00D22ED8">
      <w:pPr>
        <w:pStyle w:val="Lignefinal"/>
      </w:pPr>
    </w:p>
    <w:sectPr w:rsidR="00D22ED8" w:rsidRPr="007B02EC" w:rsidSect="007B02EC">
      <w:headerReference w:type="default" r:id="rId27"/>
      <w:footerReference w:type="default" r:id="rId28"/>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D7" w:rsidRDefault="005C13D7" w:rsidP="00D22ED8">
      <w:pPr>
        <w:spacing w:before="0" w:after="0" w:line="240" w:lineRule="auto"/>
      </w:pPr>
      <w:r>
        <w:separator/>
      </w:r>
    </w:p>
  </w:endnote>
  <w:endnote w:type="continuationSeparator" w:id="0">
    <w:p w:rsidR="005C13D7" w:rsidRDefault="005C13D7" w:rsidP="00D22E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7B02EC" w:rsidRDefault="007B02EC" w:rsidP="007B0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7B02EC" w:rsidRPr="0035025C" w:rsidTr="007B02EC">
      <w:trPr>
        <w:jc w:val="center"/>
      </w:trPr>
      <w:tc>
        <w:tcPr>
          <w:tcW w:w="5000" w:type="pct"/>
          <w:gridSpan w:val="7"/>
          <w:shd w:val="clear" w:color="auto" w:fill="auto"/>
          <w:tcMar>
            <w:top w:w="57" w:type="dxa"/>
          </w:tcMar>
        </w:tcPr>
        <w:p w:rsidR="007B02EC" w:rsidRPr="0035025C" w:rsidRDefault="007B02EC" w:rsidP="0035025C">
          <w:pPr>
            <w:pStyle w:val="FooterText"/>
            <w:pBdr>
              <w:top w:val="single" w:sz="4" w:space="1" w:color="auto"/>
            </w:pBdr>
            <w:spacing w:before="200"/>
            <w:rPr>
              <w:sz w:val="2"/>
              <w:szCs w:val="2"/>
            </w:rPr>
          </w:pPr>
          <w:bookmarkStart w:id="1" w:name="FOOTER_LEGACTS"/>
        </w:p>
      </w:tc>
    </w:tr>
    <w:tr w:rsidR="007B02EC" w:rsidRPr="00B310DC" w:rsidTr="007B02EC">
      <w:trPr>
        <w:jc w:val="center"/>
      </w:trPr>
      <w:tc>
        <w:tcPr>
          <w:tcW w:w="2500" w:type="pct"/>
          <w:gridSpan w:val="2"/>
          <w:shd w:val="clear" w:color="auto" w:fill="auto"/>
          <w:tcMar>
            <w:top w:w="0" w:type="dxa"/>
          </w:tcMar>
        </w:tcPr>
        <w:p w:rsidR="007B02EC" w:rsidRPr="00AD7BF2" w:rsidRDefault="007B02EC" w:rsidP="0035025C">
          <w:pPr>
            <w:pStyle w:val="FooterText"/>
          </w:pPr>
          <w:r>
            <w:t xml:space="preserve">5933/3/15 REV 3 </w:t>
          </w:r>
        </w:p>
      </w:tc>
      <w:tc>
        <w:tcPr>
          <w:tcW w:w="625" w:type="pct"/>
          <w:shd w:val="clear" w:color="auto" w:fill="auto"/>
          <w:tcMar>
            <w:top w:w="0" w:type="dxa"/>
          </w:tcMar>
        </w:tcPr>
        <w:p w:rsidR="007B02EC" w:rsidRPr="00AD7BF2" w:rsidRDefault="007B02EC" w:rsidP="0035025C">
          <w:pPr>
            <w:pStyle w:val="FooterText"/>
            <w:jc w:val="center"/>
          </w:pPr>
        </w:p>
      </w:tc>
      <w:tc>
        <w:tcPr>
          <w:tcW w:w="1287" w:type="pct"/>
          <w:gridSpan w:val="3"/>
          <w:shd w:val="clear" w:color="auto" w:fill="auto"/>
          <w:tcMar>
            <w:top w:w="0" w:type="dxa"/>
          </w:tcMar>
        </w:tcPr>
        <w:p w:rsidR="007B02EC" w:rsidRPr="002511D8" w:rsidRDefault="007B02EC" w:rsidP="0035025C">
          <w:pPr>
            <w:pStyle w:val="FooterText"/>
            <w:jc w:val="center"/>
          </w:pPr>
          <w:r>
            <w:t>EB/sj</w:t>
          </w:r>
        </w:p>
      </w:tc>
      <w:tc>
        <w:tcPr>
          <w:tcW w:w="588" w:type="pct"/>
          <w:shd w:val="clear" w:color="auto" w:fill="auto"/>
          <w:tcMar>
            <w:top w:w="0" w:type="dxa"/>
          </w:tcMar>
        </w:tcPr>
        <w:p w:rsidR="007B02EC" w:rsidRPr="00B310DC" w:rsidRDefault="007B02EC"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7B02EC" w:rsidRPr="0035025C" w:rsidTr="007B02EC">
      <w:trPr>
        <w:jc w:val="center"/>
      </w:trPr>
      <w:tc>
        <w:tcPr>
          <w:tcW w:w="1774" w:type="pct"/>
          <w:shd w:val="clear" w:color="auto" w:fill="auto"/>
        </w:tcPr>
        <w:p w:rsidR="007B02EC" w:rsidRPr="00AD7BF2" w:rsidRDefault="007B02EC" w:rsidP="0035025C">
          <w:pPr>
            <w:pStyle w:val="FooterText"/>
            <w:spacing w:before="40"/>
          </w:pPr>
        </w:p>
      </w:tc>
      <w:tc>
        <w:tcPr>
          <w:tcW w:w="1494" w:type="pct"/>
          <w:gridSpan w:val="3"/>
          <w:shd w:val="clear" w:color="auto" w:fill="auto"/>
        </w:tcPr>
        <w:p w:rsidR="007B02EC" w:rsidRPr="00AD7BF2" w:rsidRDefault="007B02EC" w:rsidP="0035025C">
          <w:pPr>
            <w:pStyle w:val="FooterText"/>
            <w:spacing w:before="40"/>
            <w:jc w:val="center"/>
          </w:pPr>
          <w:r>
            <w:t>DGG 1B</w:t>
          </w:r>
        </w:p>
      </w:tc>
      <w:tc>
        <w:tcPr>
          <w:tcW w:w="1107" w:type="pct"/>
          <w:shd w:val="clear" w:color="auto" w:fill="auto"/>
        </w:tcPr>
        <w:p w:rsidR="007B02EC" w:rsidRPr="0035025C" w:rsidRDefault="007B02EC" w:rsidP="0035025C">
          <w:pPr>
            <w:pStyle w:val="FooterText"/>
            <w:jc w:val="right"/>
            <w:rPr>
              <w:b/>
              <w:position w:val="-4"/>
              <w:sz w:val="36"/>
            </w:rPr>
          </w:pPr>
        </w:p>
      </w:tc>
      <w:tc>
        <w:tcPr>
          <w:tcW w:w="625" w:type="pct"/>
          <w:gridSpan w:val="2"/>
          <w:shd w:val="clear" w:color="auto" w:fill="auto"/>
        </w:tcPr>
        <w:p w:rsidR="007B02EC" w:rsidRPr="0035025C" w:rsidRDefault="007B02EC" w:rsidP="0035025C">
          <w:pPr>
            <w:pStyle w:val="FooterText"/>
            <w:jc w:val="right"/>
            <w:rPr>
              <w:sz w:val="16"/>
            </w:rPr>
          </w:pPr>
          <w:r>
            <w:rPr>
              <w:b/>
              <w:position w:val="-4"/>
              <w:sz w:val="36"/>
            </w:rPr>
            <w:t>FR</w:t>
          </w:r>
        </w:p>
      </w:tc>
    </w:tr>
    <w:bookmarkEnd w:id="1"/>
  </w:tbl>
  <w:p w:rsidR="005C13D7" w:rsidRPr="007B02EC" w:rsidRDefault="005C13D7" w:rsidP="007B02E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7B02EC" w:rsidRPr="0035025C" w:rsidTr="007B02EC">
      <w:trPr>
        <w:jc w:val="center"/>
      </w:trPr>
      <w:tc>
        <w:tcPr>
          <w:tcW w:w="5000" w:type="pct"/>
          <w:gridSpan w:val="7"/>
          <w:shd w:val="clear" w:color="auto" w:fill="auto"/>
          <w:tcMar>
            <w:top w:w="57" w:type="dxa"/>
          </w:tcMar>
        </w:tcPr>
        <w:p w:rsidR="007B02EC" w:rsidRPr="0035025C" w:rsidRDefault="007B02EC" w:rsidP="0035025C">
          <w:pPr>
            <w:pStyle w:val="FooterText"/>
            <w:pBdr>
              <w:top w:val="single" w:sz="4" w:space="1" w:color="auto"/>
            </w:pBdr>
            <w:spacing w:before="200"/>
            <w:rPr>
              <w:sz w:val="2"/>
              <w:szCs w:val="2"/>
            </w:rPr>
          </w:pPr>
        </w:p>
      </w:tc>
    </w:tr>
    <w:tr w:rsidR="007B02EC" w:rsidRPr="00B310DC" w:rsidTr="007B02EC">
      <w:trPr>
        <w:jc w:val="center"/>
      </w:trPr>
      <w:tc>
        <w:tcPr>
          <w:tcW w:w="2500" w:type="pct"/>
          <w:gridSpan w:val="2"/>
          <w:shd w:val="clear" w:color="auto" w:fill="auto"/>
          <w:tcMar>
            <w:top w:w="0" w:type="dxa"/>
          </w:tcMar>
        </w:tcPr>
        <w:p w:rsidR="007B02EC" w:rsidRPr="00AD7BF2" w:rsidRDefault="007B02EC" w:rsidP="0035025C">
          <w:pPr>
            <w:pStyle w:val="FooterText"/>
          </w:pPr>
          <w:r>
            <w:t xml:space="preserve">5933/3/15 REV 3 </w:t>
          </w:r>
        </w:p>
      </w:tc>
      <w:tc>
        <w:tcPr>
          <w:tcW w:w="625" w:type="pct"/>
          <w:shd w:val="clear" w:color="auto" w:fill="auto"/>
          <w:tcMar>
            <w:top w:w="0" w:type="dxa"/>
          </w:tcMar>
        </w:tcPr>
        <w:p w:rsidR="007B02EC" w:rsidRPr="00AD7BF2" w:rsidRDefault="007B02EC" w:rsidP="0035025C">
          <w:pPr>
            <w:pStyle w:val="FooterText"/>
            <w:jc w:val="center"/>
          </w:pPr>
        </w:p>
      </w:tc>
      <w:tc>
        <w:tcPr>
          <w:tcW w:w="1287" w:type="pct"/>
          <w:gridSpan w:val="3"/>
          <w:shd w:val="clear" w:color="auto" w:fill="auto"/>
          <w:tcMar>
            <w:top w:w="0" w:type="dxa"/>
          </w:tcMar>
        </w:tcPr>
        <w:p w:rsidR="007B02EC" w:rsidRPr="002511D8" w:rsidRDefault="007B02EC" w:rsidP="0035025C">
          <w:pPr>
            <w:pStyle w:val="FooterText"/>
            <w:jc w:val="center"/>
          </w:pPr>
          <w:r>
            <w:t>EB/sj</w:t>
          </w:r>
        </w:p>
      </w:tc>
      <w:tc>
        <w:tcPr>
          <w:tcW w:w="588" w:type="pct"/>
          <w:shd w:val="clear" w:color="auto" w:fill="auto"/>
          <w:tcMar>
            <w:top w:w="0" w:type="dxa"/>
          </w:tcMar>
        </w:tcPr>
        <w:p w:rsidR="007B02EC" w:rsidRPr="00B310DC" w:rsidRDefault="007B02EC" w:rsidP="0035025C">
          <w:pPr>
            <w:pStyle w:val="FooterText"/>
            <w:jc w:val="right"/>
          </w:pPr>
        </w:p>
      </w:tc>
    </w:tr>
    <w:tr w:rsidR="007B02EC" w:rsidRPr="0035025C" w:rsidTr="007B02EC">
      <w:trPr>
        <w:jc w:val="center"/>
      </w:trPr>
      <w:tc>
        <w:tcPr>
          <w:tcW w:w="1774" w:type="pct"/>
          <w:shd w:val="clear" w:color="auto" w:fill="auto"/>
        </w:tcPr>
        <w:p w:rsidR="007B02EC" w:rsidRPr="00AD7BF2" w:rsidRDefault="007B02EC" w:rsidP="0035025C">
          <w:pPr>
            <w:pStyle w:val="FooterText"/>
            <w:spacing w:before="40"/>
          </w:pPr>
        </w:p>
      </w:tc>
      <w:tc>
        <w:tcPr>
          <w:tcW w:w="1494" w:type="pct"/>
          <w:gridSpan w:val="3"/>
          <w:shd w:val="clear" w:color="auto" w:fill="auto"/>
        </w:tcPr>
        <w:p w:rsidR="007B02EC" w:rsidRPr="00AD7BF2" w:rsidRDefault="007B02EC" w:rsidP="0035025C">
          <w:pPr>
            <w:pStyle w:val="FooterText"/>
            <w:spacing w:before="40"/>
            <w:jc w:val="center"/>
          </w:pPr>
          <w:r>
            <w:t>DGG 1B</w:t>
          </w:r>
        </w:p>
      </w:tc>
      <w:tc>
        <w:tcPr>
          <w:tcW w:w="1107" w:type="pct"/>
          <w:shd w:val="clear" w:color="auto" w:fill="auto"/>
        </w:tcPr>
        <w:p w:rsidR="007B02EC" w:rsidRPr="0035025C" w:rsidRDefault="007B02EC" w:rsidP="0035025C">
          <w:pPr>
            <w:pStyle w:val="FooterText"/>
            <w:jc w:val="right"/>
            <w:rPr>
              <w:b/>
              <w:position w:val="-4"/>
              <w:sz w:val="36"/>
            </w:rPr>
          </w:pPr>
        </w:p>
      </w:tc>
      <w:tc>
        <w:tcPr>
          <w:tcW w:w="625" w:type="pct"/>
          <w:gridSpan w:val="2"/>
          <w:shd w:val="clear" w:color="auto" w:fill="auto"/>
        </w:tcPr>
        <w:p w:rsidR="007B02EC" w:rsidRPr="0035025C" w:rsidRDefault="007B02EC" w:rsidP="0035025C">
          <w:pPr>
            <w:pStyle w:val="FooterText"/>
            <w:jc w:val="right"/>
            <w:rPr>
              <w:sz w:val="16"/>
            </w:rPr>
          </w:pPr>
          <w:r>
            <w:rPr>
              <w:b/>
              <w:position w:val="-4"/>
              <w:sz w:val="36"/>
            </w:rPr>
            <w:t>FR</w:t>
          </w:r>
        </w:p>
      </w:tc>
    </w:tr>
  </w:tbl>
  <w:p w:rsidR="005C13D7" w:rsidRPr="007B02EC" w:rsidRDefault="005C13D7" w:rsidP="007B02E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7B02EC" w:rsidRDefault="005C13D7" w:rsidP="007B02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7B02EC" w:rsidRDefault="005C13D7" w:rsidP="007B02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7B02EC" w:rsidRPr="0035025C" w:rsidTr="007B02EC">
      <w:trPr>
        <w:jc w:val="center"/>
      </w:trPr>
      <w:tc>
        <w:tcPr>
          <w:tcW w:w="5000" w:type="pct"/>
          <w:gridSpan w:val="7"/>
          <w:shd w:val="clear" w:color="auto" w:fill="auto"/>
          <w:tcMar>
            <w:top w:w="57" w:type="dxa"/>
          </w:tcMar>
        </w:tcPr>
        <w:p w:rsidR="007B02EC" w:rsidRPr="0035025C" w:rsidRDefault="007B02EC" w:rsidP="0035025C">
          <w:pPr>
            <w:pStyle w:val="FooterText"/>
            <w:pBdr>
              <w:top w:val="single" w:sz="4" w:space="1" w:color="auto"/>
            </w:pBdr>
            <w:spacing w:before="200"/>
            <w:rPr>
              <w:sz w:val="2"/>
              <w:szCs w:val="2"/>
            </w:rPr>
          </w:pPr>
        </w:p>
      </w:tc>
    </w:tr>
    <w:tr w:rsidR="007B02EC" w:rsidRPr="00B310DC" w:rsidTr="007B02EC">
      <w:trPr>
        <w:jc w:val="center"/>
      </w:trPr>
      <w:tc>
        <w:tcPr>
          <w:tcW w:w="2500" w:type="pct"/>
          <w:gridSpan w:val="2"/>
          <w:shd w:val="clear" w:color="auto" w:fill="auto"/>
          <w:tcMar>
            <w:top w:w="0" w:type="dxa"/>
          </w:tcMar>
        </w:tcPr>
        <w:p w:rsidR="007B02EC" w:rsidRPr="00AD7BF2" w:rsidRDefault="007B02EC" w:rsidP="0035025C">
          <w:pPr>
            <w:pStyle w:val="FooterText"/>
          </w:pPr>
          <w:r>
            <w:t xml:space="preserve">5933/3/15 REV 3 </w:t>
          </w:r>
        </w:p>
      </w:tc>
      <w:tc>
        <w:tcPr>
          <w:tcW w:w="625" w:type="pct"/>
          <w:shd w:val="clear" w:color="auto" w:fill="auto"/>
          <w:tcMar>
            <w:top w:w="0" w:type="dxa"/>
          </w:tcMar>
        </w:tcPr>
        <w:p w:rsidR="007B02EC" w:rsidRPr="00AD7BF2" w:rsidRDefault="007B02EC" w:rsidP="0035025C">
          <w:pPr>
            <w:pStyle w:val="FooterText"/>
            <w:jc w:val="center"/>
          </w:pPr>
        </w:p>
      </w:tc>
      <w:tc>
        <w:tcPr>
          <w:tcW w:w="1287" w:type="pct"/>
          <w:gridSpan w:val="3"/>
          <w:shd w:val="clear" w:color="auto" w:fill="auto"/>
          <w:tcMar>
            <w:top w:w="0" w:type="dxa"/>
          </w:tcMar>
        </w:tcPr>
        <w:p w:rsidR="007B02EC" w:rsidRPr="002511D8" w:rsidRDefault="007B02EC" w:rsidP="0035025C">
          <w:pPr>
            <w:pStyle w:val="FooterText"/>
            <w:jc w:val="center"/>
          </w:pPr>
          <w:r>
            <w:t>EB/sj</w:t>
          </w:r>
        </w:p>
      </w:tc>
      <w:tc>
        <w:tcPr>
          <w:tcW w:w="588" w:type="pct"/>
          <w:shd w:val="clear" w:color="auto" w:fill="auto"/>
          <w:tcMar>
            <w:top w:w="0" w:type="dxa"/>
          </w:tcMar>
        </w:tcPr>
        <w:p w:rsidR="007B02EC" w:rsidRPr="00B310DC" w:rsidRDefault="007B02EC"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7B02EC" w:rsidRPr="0035025C" w:rsidTr="007B02EC">
      <w:trPr>
        <w:jc w:val="center"/>
      </w:trPr>
      <w:tc>
        <w:tcPr>
          <w:tcW w:w="1774" w:type="pct"/>
          <w:shd w:val="clear" w:color="auto" w:fill="auto"/>
        </w:tcPr>
        <w:p w:rsidR="007B02EC" w:rsidRPr="00AD7BF2" w:rsidRDefault="007B02EC" w:rsidP="0035025C">
          <w:pPr>
            <w:pStyle w:val="FooterText"/>
            <w:spacing w:before="40"/>
          </w:pPr>
          <w:r>
            <w:t>ANNEXE I</w:t>
          </w:r>
        </w:p>
      </w:tc>
      <w:tc>
        <w:tcPr>
          <w:tcW w:w="1494" w:type="pct"/>
          <w:gridSpan w:val="3"/>
          <w:shd w:val="clear" w:color="auto" w:fill="auto"/>
        </w:tcPr>
        <w:p w:rsidR="007B02EC" w:rsidRPr="00AD7BF2" w:rsidRDefault="007B02EC" w:rsidP="0035025C">
          <w:pPr>
            <w:pStyle w:val="FooterText"/>
            <w:spacing w:before="40"/>
            <w:jc w:val="center"/>
          </w:pPr>
          <w:r>
            <w:t>DGG 1B</w:t>
          </w:r>
        </w:p>
      </w:tc>
      <w:tc>
        <w:tcPr>
          <w:tcW w:w="1107" w:type="pct"/>
          <w:shd w:val="clear" w:color="auto" w:fill="auto"/>
        </w:tcPr>
        <w:p w:rsidR="007B02EC" w:rsidRPr="0035025C" w:rsidRDefault="007B02EC" w:rsidP="0035025C">
          <w:pPr>
            <w:pStyle w:val="FooterText"/>
            <w:jc w:val="right"/>
            <w:rPr>
              <w:b/>
              <w:position w:val="-4"/>
              <w:sz w:val="36"/>
            </w:rPr>
          </w:pPr>
        </w:p>
      </w:tc>
      <w:tc>
        <w:tcPr>
          <w:tcW w:w="625" w:type="pct"/>
          <w:gridSpan w:val="2"/>
          <w:shd w:val="clear" w:color="auto" w:fill="auto"/>
        </w:tcPr>
        <w:p w:rsidR="007B02EC" w:rsidRPr="0035025C" w:rsidRDefault="007B02EC" w:rsidP="0035025C">
          <w:pPr>
            <w:pStyle w:val="FooterText"/>
            <w:jc w:val="right"/>
            <w:rPr>
              <w:sz w:val="16"/>
            </w:rPr>
          </w:pPr>
          <w:r>
            <w:rPr>
              <w:b/>
              <w:position w:val="-4"/>
              <w:sz w:val="36"/>
            </w:rPr>
            <w:t>FR</w:t>
          </w:r>
        </w:p>
      </w:tc>
    </w:tr>
  </w:tbl>
  <w:p w:rsidR="00E90B76" w:rsidRPr="007B02EC" w:rsidRDefault="00E90B76" w:rsidP="007B02EC">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7B02EC" w:rsidRPr="0035025C" w:rsidTr="007B02EC">
      <w:trPr>
        <w:jc w:val="center"/>
      </w:trPr>
      <w:tc>
        <w:tcPr>
          <w:tcW w:w="5000" w:type="pct"/>
          <w:gridSpan w:val="7"/>
          <w:shd w:val="clear" w:color="auto" w:fill="auto"/>
          <w:tcMar>
            <w:top w:w="57" w:type="dxa"/>
          </w:tcMar>
        </w:tcPr>
        <w:p w:rsidR="007B02EC" w:rsidRPr="0035025C" w:rsidRDefault="007B02EC" w:rsidP="0035025C">
          <w:pPr>
            <w:pStyle w:val="FooterText"/>
            <w:pBdr>
              <w:top w:val="single" w:sz="4" w:space="1" w:color="auto"/>
            </w:pBdr>
            <w:spacing w:before="200"/>
            <w:rPr>
              <w:sz w:val="2"/>
              <w:szCs w:val="2"/>
            </w:rPr>
          </w:pPr>
        </w:p>
      </w:tc>
    </w:tr>
    <w:tr w:rsidR="007B02EC" w:rsidRPr="00B310DC" w:rsidTr="007B02EC">
      <w:trPr>
        <w:jc w:val="center"/>
      </w:trPr>
      <w:tc>
        <w:tcPr>
          <w:tcW w:w="2500" w:type="pct"/>
          <w:gridSpan w:val="2"/>
          <w:shd w:val="clear" w:color="auto" w:fill="auto"/>
          <w:tcMar>
            <w:top w:w="0" w:type="dxa"/>
          </w:tcMar>
        </w:tcPr>
        <w:p w:rsidR="007B02EC" w:rsidRPr="00AD7BF2" w:rsidRDefault="007B02EC" w:rsidP="0035025C">
          <w:pPr>
            <w:pStyle w:val="FooterText"/>
          </w:pPr>
          <w:r>
            <w:t xml:space="preserve">5933/3/15 REV 3 </w:t>
          </w:r>
        </w:p>
      </w:tc>
      <w:tc>
        <w:tcPr>
          <w:tcW w:w="625" w:type="pct"/>
          <w:shd w:val="clear" w:color="auto" w:fill="auto"/>
          <w:tcMar>
            <w:top w:w="0" w:type="dxa"/>
          </w:tcMar>
        </w:tcPr>
        <w:p w:rsidR="007B02EC" w:rsidRPr="00AD7BF2" w:rsidRDefault="007B02EC" w:rsidP="0035025C">
          <w:pPr>
            <w:pStyle w:val="FooterText"/>
            <w:jc w:val="center"/>
          </w:pPr>
        </w:p>
      </w:tc>
      <w:tc>
        <w:tcPr>
          <w:tcW w:w="1287" w:type="pct"/>
          <w:gridSpan w:val="3"/>
          <w:shd w:val="clear" w:color="auto" w:fill="auto"/>
          <w:tcMar>
            <w:top w:w="0" w:type="dxa"/>
          </w:tcMar>
        </w:tcPr>
        <w:p w:rsidR="007B02EC" w:rsidRPr="002511D8" w:rsidRDefault="007B02EC" w:rsidP="0035025C">
          <w:pPr>
            <w:pStyle w:val="FooterText"/>
            <w:jc w:val="center"/>
          </w:pPr>
          <w:r>
            <w:t>EB/sj</w:t>
          </w:r>
        </w:p>
      </w:tc>
      <w:tc>
        <w:tcPr>
          <w:tcW w:w="588" w:type="pct"/>
          <w:shd w:val="clear" w:color="auto" w:fill="auto"/>
          <w:tcMar>
            <w:top w:w="0" w:type="dxa"/>
          </w:tcMar>
        </w:tcPr>
        <w:p w:rsidR="007B02EC" w:rsidRPr="00B310DC" w:rsidRDefault="007B02EC"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7B02EC" w:rsidRPr="0035025C" w:rsidTr="007B02EC">
      <w:trPr>
        <w:jc w:val="center"/>
      </w:trPr>
      <w:tc>
        <w:tcPr>
          <w:tcW w:w="1774" w:type="pct"/>
          <w:shd w:val="clear" w:color="auto" w:fill="auto"/>
        </w:tcPr>
        <w:p w:rsidR="007B02EC" w:rsidRPr="00AD7BF2" w:rsidRDefault="007B02EC" w:rsidP="0035025C">
          <w:pPr>
            <w:pStyle w:val="FooterText"/>
            <w:spacing w:before="40"/>
          </w:pPr>
          <w:r>
            <w:t>ANNEXE II</w:t>
          </w:r>
        </w:p>
      </w:tc>
      <w:tc>
        <w:tcPr>
          <w:tcW w:w="1494" w:type="pct"/>
          <w:gridSpan w:val="3"/>
          <w:shd w:val="clear" w:color="auto" w:fill="auto"/>
        </w:tcPr>
        <w:p w:rsidR="007B02EC" w:rsidRPr="00AD7BF2" w:rsidRDefault="007B02EC" w:rsidP="0035025C">
          <w:pPr>
            <w:pStyle w:val="FooterText"/>
            <w:spacing w:before="40"/>
            <w:jc w:val="center"/>
          </w:pPr>
          <w:r>
            <w:t>DGG 1B</w:t>
          </w:r>
        </w:p>
      </w:tc>
      <w:tc>
        <w:tcPr>
          <w:tcW w:w="1107" w:type="pct"/>
          <w:shd w:val="clear" w:color="auto" w:fill="auto"/>
        </w:tcPr>
        <w:p w:rsidR="007B02EC" w:rsidRPr="0035025C" w:rsidRDefault="007B02EC" w:rsidP="0035025C">
          <w:pPr>
            <w:pStyle w:val="FooterText"/>
            <w:jc w:val="right"/>
            <w:rPr>
              <w:b/>
              <w:position w:val="-4"/>
              <w:sz w:val="36"/>
            </w:rPr>
          </w:pPr>
        </w:p>
      </w:tc>
      <w:tc>
        <w:tcPr>
          <w:tcW w:w="625" w:type="pct"/>
          <w:gridSpan w:val="2"/>
          <w:shd w:val="clear" w:color="auto" w:fill="auto"/>
        </w:tcPr>
        <w:p w:rsidR="007B02EC" w:rsidRPr="0035025C" w:rsidRDefault="007B02EC" w:rsidP="0035025C">
          <w:pPr>
            <w:pStyle w:val="FooterText"/>
            <w:jc w:val="right"/>
            <w:rPr>
              <w:sz w:val="16"/>
            </w:rPr>
          </w:pPr>
          <w:r>
            <w:rPr>
              <w:b/>
              <w:position w:val="-4"/>
              <w:sz w:val="36"/>
            </w:rPr>
            <w:t>FR</w:t>
          </w:r>
        </w:p>
      </w:tc>
    </w:tr>
  </w:tbl>
  <w:p w:rsidR="00E90B76" w:rsidRPr="007B02EC" w:rsidRDefault="00E90B76" w:rsidP="007B02EC">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7B02EC" w:rsidRPr="0035025C" w:rsidTr="007B02EC">
      <w:trPr>
        <w:jc w:val="center"/>
      </w:trPr>
      <w:tc>
        <w:tcPr>
          <w:tcW w:w="5000" w:type="pct"/>
          <w:gridSpan w:val="7"/>
          <w:shd w:val="clear" w:color="auto" w:fill="auto"/>
          <w:tcMar>
            <w:top w:w="57" w:type="dxa"/>
          </w:tcMar>
        </w:tcPr>
        <w:p w:rsidR="007B02EC" w:rsidRPr="0035025C" w:rsidRDefault="007B02EC" w:rsidP="0035025C">
          <w:pPr>
            <w:pStyle w:val="FooterText"/>
            <w:pBdr>
              <w:top w:val="single" w:sz="4" w:space="1" w:color="auto"/>
            </w:pBdr>
            <w:spacing w:before="200"/>
            <w:rPr>
              <w:sz w:val="2"/>
              <w:szCs w:val="2"/>
            </w:rPr>
          </w:pPr>
        </w:p>
      </w:tc>
    </w:tr>
    <w:tr w:rsidR="007B02EC" w:rsidRPr="00B310DC" w:rsidTr="007B02EC">
      <w:trPr>
        <w:jc w:val="center"/>
      </w:trPr>
      <w:tc>
        <w:tcPr>
          <w:tcW w:w="2500" w:type="pct"/>
          <w:gridSpan w:val="2"/>
          <w:shd w:val="clear" w:color="auto" w:fill="auto"/>
          <w:tcMar>
            <w:top w:w="0" w:type="dxa"/>
          </w:tcMar>
        </w:tcPr>
        <w:p w:rsidR="007B02EC" w:rsidRPr="00AD7BF2" w:rsidRDefault="007B02EC" w:rsidP="0035025C">
          <w:pPr>
            <w:pStyle w:val="FooterText"/>
          </w:pPr>
          <w:r>
            <w:t xml:space="preserve">5933/3/15 REV 3 </w:t>
          </w:r>
        </w:p>
      </w:tc>
      <w:tc>
        <w:tcPr>
          <w:tcW w:w="625" w:type="pct"/>
          <w:shd w:val="clear" w:color="auto" w:fill="auto"/>
          <w:tcMar>
            <w:top w:w="0" w:type="dxa"/>
          </w:tcMar>
        </w:tcPr>
        <w:p w:rsidR="007B02EC" w:rsidRPr="00AD7BF2" w:rsidRDefault="007B02EC" w:rsidP="0035025C">
          <w:pPr>
            <w:pStyle w:val="FooterText"/>
            <w:jc w:val="center"/>
          </w:pPr>
        </w:p>
      </w:tc>
      <w:tc>
        <w:tcPr>
          <w:tcW w:w="1287" w:type="pct"/>
          <w:gridSpan w:val="3"/>
          <w:shd w:val="clear" w:color="auto" w:fill="auto"/>
          <w:tcMar>
            <w:top w:w="0" w:type="dxa"/>
          </w:tcMar>
        </w:tcPr>
        <w:p w:rsidR="007B02EC" w:rsidRPr="002511D8" w:rsidRDefault="007B02EC" w:rsidP="0035025C">
          <w:pPr>
            <w:pStyle w:val="FooterText"/>
            <w:jc w:val="center"/>
          </w:pPr>
          <w:r>
            <w:t>EB/sj</w:t>
          </w:r>
        </w:p>
      </w:tc>
      <w:tc>
        <w:tcPr>
          <w:tcW w:w="588" w:type="pct"/>
          <w:shd w:val="clear" w:color="auto" w:fill="auto"/>
          <w:tcMar>
            <w:top w:w="0" w:type="dxa"/>
          </w:tcMar>
        </w:tcPr>
        <w:p w:rsidR="007B02EC" w:rsidRPr="00B310DC" w:rsidRDefault="007B02EC"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7B02EC" w:rsidRPr="0035025C" w:rsidTr="007B02EC">
      <w:trPr>
        <w:jc w:val="center"/>
      </w:trPr>
      <w:tc>
        <w:tcPr>
          <w:tcW w:w="1774" w:type="pct"/>
          <w:shd w:val="clear" w:color="auto" w:fill="auto"/>
        </w:tcPr>
        <w:p w:rsidR="007B02EC" w:rsidRPr="00AD7BF2" w:rsidRDefault="007B02EC" w:rsidP="0035025C">
          <w:pPr>
            <w:pStyle w:val="FooterText"/>
            <w:spacing w:before="40"/>
          </w:pPr>
          <w:r>
            <w:t>ANNEXE III</w:t>
          </w:r>
        </w:p>
      </w:tc>
      <w:tc>
        <w:tcPr>
          <w:tcW w:w="1494" w:type="pct"/>
          <w:gridSpan w:val="3"/>
          <w:shd w:val="clear" w:color="auto" w:fill="auto"/>
        </w:tcPr>
        <w:p w:rsidR="007B02EC" w:rsidRPr="00AD7BF2" w:rsidRDefault="007B02EC" w:rsidP="0035025C">
          <w:pPr>
            <w:pStyle w:val="FooterText"/>
            <w:spacing w:before="40"/>
            <w:jc w:val="center"/>
          </w:pPr>
          <w:r>
            <w:t>DGG 1B</w:t>
          </w:r>
        </w:p>
      </w:tc>
      <w:tc>
        <w:tcPr>
          <w:tcW w:w="1107" w:type="pct"/>
          <w:shd w:val="clear" w:color="auto" w:fill="auto"/>
        </w:tcPr>
        <w:p w:rsidR="007B02EC" w:rsidRPr="0035025C" w:rsidRDefault="007B02EC" w:rsidP="0035025C">
          <w:pPr>
            <w:pStyle w:val="FooterText"/>
            <w:jc w:val="right"/>
            <w:rPr>
              <w:b/>
              <w:position w:val="-4"/>
              <w:sz w:val="36"/>
            </w:rPr>
          </w:pPr>
        </w:p>
      </w:tc>
      <w:tc>
        <w:tcPr>
          <w:tcW w:w="625" w:type="pct"/>
          <w:gridSpan w:val="2"/>
          <w:shd w:val="clear" w:color="auto" w:fill="auto"/>
        </w:tcPr>
        <w:p w:rsidR="007B02EC" w:rsidRPr="0035025C" w:rsidRDefault="007B02EC" w:rsidP="0035025C">
          <w:pPr>
            <w:pStyle w:val="FooterText"/>
            <w:jc w:val="right"/>
            <w:rPr>
              <w:sz w:val="16"/>
            </w:rPr>
          </w:pPr>
          <w:r>
            <w:rPr>
              <w:b/>
              <w:position w:val="-4"/>
              <w:sz w:val="36"/>
            </w:rPr>
            <w:t>FR</w:t>
          </w:r>
        </w:p>
      </w:tc>
    </w:tr>
  </w:tbl>
  <w:p w:rsidR="00E90B76" w:rsidRPr="007B02EC" w:rsidRDefault="00E90B76" w:rsidP="007B02EC">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7B02EC" w:rsidRPr="0035025C" w:rsidTr="007B02EC">
      <w:trPr>
        <w:jc w:val="center"/>
      </w:trPr>
      <w:tc>
        <w:tcPr>
          <w:tcW w:w="5000" w:type="pct"/>
          <w:gridSpan w:val="7"/>
          <w:shd w:val="clear" w:color="auto" w:fill="auto"/>
          <w:tcMar>
            <w:top w:w="57" w:type="dxa"/>
          </w:tcMar>
        </w:tcPr>
        <w:p w:rsidR="007B02EC" w:rsidRPr="0035025C" w:rsidRDefault="007B02EC" w:rsidP="0035025C">
          <w:pPr>
            <w:pStyle w:val="FooterText"/>
            <w:pBdr>
              <w:top w:val="single" w:sz="4" w:space="1" w:color="auto"/>
            </w:pBdr>
            <w:spacing w:before="200"/>
            <w:rPr>
              <w:sz w:val="2"/>
              <w:szCs w:val="2"/>
            </w:rPr>
          </w:pPr>
        </w:p>
      </w:tc>
    </w:tr>
    <w:tr w:rsidR="007B02EC" w:rsidRPr="00B310DC" w:rsidTr="007B02EC">
      <w:trPr>
        <w:jc w:val="center"/>
      </w:trPr>
      <w:tc>
        <w:tcPr>
          <w:tcW w:w="2500" w:type="pct"/>
          <w:gridSpan w:val="2"/>
          <w:shd w:val="clear" w:color="auto" w:fill="auto"/>
          <w:tcMar>
            <w:top w:w="0" w:type="dxa"/>
          </w:tcMar>
        </w:tcPr>
        <w:p w:rsidR="007B02EC" w:rsidRPr="00AD7BF2" w:rsidRDefault="007B02EC" w:rsidP="0035025C">
          <w:pPr>
            <w:pStyle w:val="FooterText"/>
          </w:pPr>
          <w:r>
            <w:t xml:space="preserve">5933/3/15 REV 3 </w:t>
          </w:r>
        </w:p>
      </w:tc>
      <w:tc>
        <w:tcPr>
          <w:tcW w:w="625" w:type="pct"/>
          <w:shd w:val="clear" w:color="auto" w:fill="auto"/>
          <w:tcMar>
            <w:top w:w="0" w:type="dxa"/>
          </w:tcMar>
        </w:tcPr>
        <w:p w:rsidR="007B02EC" w:rsidRPr="00AD7BF2" w:rsidRDefault="007B02EC" w:rsidP="0035025C">
          <w:pPr>
            <w:pStyle w:val="FooterText"/>
            <w:jc w:val="center"/>
          </w:pPr>
        </w:p>
      </w:tc>
      <w:tc>
        <w:tcPr>
          <w:tcW w:w="1287" w:type="pct"/>
          <w:gridSpan w:val="3"/>
          <w:shd w:val="clear" w:color="auto" w:fill="auto"/>
          <w:tcMar>
            <w:top w:w="0" w:type="dxa"/>
          </w:tcMar>
        </w:tcPr>
        <w:p w:rsidR="007B02EC" w:rsidRPr="002511D8" w:rsidRDefault="007B02EC" w:rsidP="0035025C">
          <w:pPr>
            <w:pStyle w:val="FooterText"/>
            <w:jc w:val="center"/>
          </w:pPr>
          <w:r>
            <w:t>EB/sj</w:t>
          </w:r>
        </w:p>
      </w:tc>
      <w:tc>
        <w:tcPr>
          <w:tcW w:w="588" w:type="pct"/>
          <w:shd w:val="clear" w:color="auto" w:fill="auto"/>
          <w:tcMar>
            <w:top w:w="0" w:type="dxa"/>
          </w:tcMar>
        </w:tcPr>
        <w:p w:rsidR="007B02EC" w:rsidRPr="00B310DC" w:rsidRDefault="007B02EC" w:rsidP="0035025C">
          <w:pPr>
            <w:pStyle w:val="FooterText"/>
            <w:jc w:val="right"/>
          </w:pPr>
          <w:r>
            <w:fldChar w:fldCharType="begin"/>
          </w:r>
          <w:r>
            <w:instrText xml:space="preserve"> PAGE  \* MERGEFORMAT </w:instrText>
          </w:r>
          <w:r>
            <w:fldChar w:fldCharType="separate"/>
          </w:r>
          <w:r>
            <w:rPr>
              <w:noProof/>
            </w:rPr>
            <w:t>3</w:t>
          </w:r>
          <w:r>
            <w:fldChar w:fldCharType="end"/>
          </w:r>
        </w:p>
      </w:tc>
    </w:tr>
    <w:tr w:rsidR="007B02EC" w:rsidRPr="0035025C" w:rsidTr="007B02EC">
      <w:trPr>
        <w:jc w:val="center"/>
      </w:trPr>
      <w:tc>
        <w:tcPr>
          <w:tcW w:w="1774" w:type="pct"/>
          <w:shd w:val="clear" w:color="auto" w:fill="auto"/>
        </w:tcPr>
        <w:p w:rsidR="007B02EC" w:rsidRPr="00AD7BF2" w:rsidRDefault="007B02EC" w:rsidP="0035025C">
          <w:pPr>
            <w:pStyle w:val="FooterText"/>
            <w:spacing w:before="40"/>
          </w:pPr>
          <w:r>
            <w:t>ANNEXE IV</w:t>
          </w:r>
        </w:p>
      </w:tc>
      <w:tc>
        <w:tcPr>
          <w:tcW w:w="1494" w:type="pct"/>
          <w:gridSpan w:val="3"/>
          <w:shd w:val="clear" w:color="auto" w:fill="auto"/>
        </w:tcPr>
        <w:p w:rsidR="007B02EC" w:rsidRPr="00AD7BF2" w:rsidRDefault="007B02EC" w:rsidP="0035025C">
          <w:pPr>
            <w:pStyle w:val="FooterText"/>
            <w:spacing w:before="40"/>
            <w:jc w:val="center"/>
          </w:pPr>
          <w:r>
            <w:t>DGG 1B</w:t>
          </w:r>
        </w:p>
      </w:tc>
      <w:tc>
        <w:tcPr>
          <w:tcW w:w="1107" w:type="pct"/>
          <w:shd w:val="clear" w:color="auto" w:fill="auto"/>
        </w:tcPr>
        <w:p w:rsidR="007B02EC" w:rsidRPr="0035025C" w:rsidRDefault="007B02EC" w:rsidP="0035025C">
          <w:pPr>
            <w:pStyle w:val="FooterText"/>
            <w:jc w:val="right"/>
            <w:rPr>
              <w:b/>
              <w:position w:val="-4"/>
              <w:sz w:val="36"/>
            </w:rPr>
          </w:pPr>
        </w:p>
      </w:tc>
      <w:tc>
        <w:tcPr>
          <w:tcW w:w="625" w:type="pct"/>
          <w:gridSpan w:val="2"/>
          <w:shd w:val="clear" w:color="auto" w:fill="auto"/>
        </w:tcPr>
        <w:p w:rsidR="007B02EC" w:rsidRPr="0035025C" w:rsidRDefault="007B02EC" w:rsidP="0035025C">
          <w:pPr>
            <w:pStyle w:val="FooterText"/>
            <w:jc w:val="right"/>
            <w:rPr>
              <w:sz w:val="16"/>
            </w:rPr>
          </w:pPr>
          <w:r>
            <w:rPr>
              <w:b/>
              <w:position w:val="-4"/>
              <w:sz w:val="36"/>
            </w:rPr>
            <w:t>FR</w:t>
          </w:r>
        </w:p>
      </w:tc>
    </w:tr>
  </w:tbl>
  <w:p w:rsidR="00E90B76" w:rsidRPr="007B02EC" w:rsidRDefault="00E90B76" w:rsidP="007B02E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D7" w:rsidRDefault="005C13D7" w:rsidP="00D22ED8">
      <w:pPr>
        <w:spacing w:before="0" w:after="0" w:line="240" w:lineRule="auto"/>
      </w:pPr>
      <w:r>
        <w:separator/>
      </w:r>
    </w:p>
  </w:footnote>
  <w:footnote w:type="continuationSeparator" w:id="0">
    <w:p w:rsidR="005C13D7" w:rsidRDefault="005C13D7" w:rsidP="00D22ED8">
      <w:pPr>
        <w:spacing w:before="0" w:after="0" w:line="240" w:lineRule="auto"/>
      </w:pPr>
      <w:r>
        <w:continuationSeparator/>
      </w:r>
    </w:p>
  </w:footnote>
  <w:footnote w:id="1">
    <w:p w:rsidR="005C13D7" w:rsidRPr="009670B6" w:rsidRDefault="005C13D7">
      <w:pPr>
        <w:pStyle w:val="FootnoteText"/>
        <w:rPr>
          <w:lang w:val="da-DK"/>
        </w:rPr>
      </w:pPr>
      <w:r>
        <w:rPr>
          <w:rStyle w:val="FootnoteReference"/>
        </w:rPr>
        <w:footnoteRef/>
      </w:r>
      <w:r w:rsidRPr="009670B6">
        <w:rPr>
          <w:lang w:val="da-DK"/>
        </w:rPr>
        <w:tab/>
        <w:t>JO C 166 du 12.6.2013, p. 2.</w:t>
      </w:r>
    </w:p>
  </w:footnote>
  <w:footnote w:id="2">
    <w:p w:rsidR="005C13D7" w:rsidRPr="009670B6" w:rsidRDefault="005C13D7">
      <w:pPr>
        <w:pStyle w:val="FootnoteText"/>
        <w:rPr>
          <w:lang w:val="da-DK"/>
        </w:rPr>
      </w:pPr>
      <w:r>
        <w:rPr>
          <w:rStyle w:val="FootnoteReference"/>
        </w:rPr>
        <w:footnoteRef/>
      </w:r>
      <w:r w:rsidRPr="009670B6">
        <w:rPr>
          <w:lang w:val="da-DK"/>
        </w:rPr>
        <w:tab/>
        <w:t>JO C 271 du 19.9.2013, p. 31.</w:t>
      </w:r>
    </w:p>
  </w:footnote>
  <w:footnote w:id="3">
    <w:p w:rsidR="005C13D7" w:rsidRPr="006C28EC" w:rsidRDefault="005C13D7" w:rsidP="004F21E0">
      <w:pPr>
        <w:pStyle w:val="FootnoteText"/>
      </w:pPr>
      <w:r>
        <w:rPr>
          <w:rStyle w:val="FootnoteReference"/>
        </w:rPr>
        <w:footnoteRef/>
      </w:r>
      <w:r>
        <w:tab/>
        <w:t xml:space="preserve">Position du Parlement européen du </w:t>
      </w:r>
      <w:r w:rsidR="004F21E0">
        <w:t>11 mars 2014</w:t>
      </w:r>
      <w:r>
        <w:t xml:space="preserve"> [</w:t>
      </w:r>
      <w:r w:rsidR="00746943">
        <w:t>(</w:t>
      </w:r>
      <w:r>
        <w:t xml:space="preserve">non encore parue au Journal officiel)] et position du Conseil en première lecture du </w:t>
      </w:r>
      <w:r w:rsidR="004F21E0">
        <w:t>20 avril 2015</w:t>
      </w:r>
      <w:r>
        <w:t xml:space="preserve"> [</w:t>
      </w:r>
      <w:r w:rsidR="00746943">
        <w:t>(</w:t>
      </w:r>
      <w:r>
        <w:t>non encore parue au Journal officiel)].</w:t>
      </w:r>
    </w:p>
  </w:footnote>
  <w:footnote w:id="4">
    <w:p w:rsidR="005C13D7" w:rsidRPr="00765A9A" w:rsidRDefault="005C13D7" w:rsidP="007E1EBF">
      <w:pPr>
        <w:pStyle w:val="FootnoteText"/>
        <w:rPr>
          <w:iCs/>
          <w:szCs w:val="24"/>
        </w:rPr>
      </w:pPr>
      <w:r w:rsidRPr="007E1EBF">
        <w:rPr>
          <w:rStyle w:val="FootnoteReference"/>
        </w:rPr>
        <w:footnoteRef/>
      </w:r>
      <w:r>
        <w:tab/>
        <w:t xml:space="preserve">Directive 91/308/CEE du Conseil du 10 juin 1991 relative à la prévention de l'utilisation du système financier aux fins de blanchiment de capitaux </w:t>
      </w:r>
      <w:r w:rsidRPr="007F21D3">
        <w:rPr>
          <w:iCs/>
        </w:rPr>
        <w:t>(JO L 166 du 28.6.1991, p. 77).</w:t>
      </w:r>
    </w:p>
  </w:footnote>
  <w:footnote w:id="5">
    <w:p w:rsidR="005C13D7" w:rsidRPr="007B7EE7" w:rsidRDefault="005C13D7" w:rsidP="007E1EBF">
      <w:pPr>
        <w:pStyle w:val="FootnoteText"/>
        <w:rPr>
          <w:szCs w:val="24"/>
        </w:rPr>
      </w:pPr>
      <w:r w:rsidRPr="007E1EBF">
        <w:rPr>
          <w:rStyle w:val="FootnoteReference"/>
        </w:rPr>
        <w:footnoteRef/>
      </w:r>
      <w:r>
        <w:tab/>
        <w:t xml:space="preserve">Directive 2001/97/CE du Parlement européen et du Conseil du 4 décembre 2001 modifiant la directive 91/308/CEE du Conseil relative à la prévention de l'utilisation du système financier aux fins du blanchiment de capitaux </w:t>
      </w:r>
      <w:r w:rsidRPr="007F21D3">
        <w:rPr>
          <w:iCs/>
        </w:rPr>
        <w:t>(JO L 344 du 28.12.2001, p. 76).</w:t>
      </w:r>
    </w:p>
  </w:footnote>
  <w:footnote w:id="6">
    <w:p w:rsidR="005C13D7" w:rsidRPr="00765A9A" w:rsidRDefault="005C13D7" w:rsidP="007E1EBF">
      <w:pPr>
        <w:pStyle w:val="FootnoteText"/>
        <w:rPr>
          <w:iCs/>
          <w:szCs w:val="24"/>
        </w:rPr>
      </w:pPr>
      <w:r w:rsidRPr="007E1EBF">
        <w:rPr>
          <w:rStyle w:val="FootnoteReference"/>
        </w:rPr>
        <w:footnoteRef/>
      </w:r>
      <w:r>
        <w:tab/>
        <w:t xml:space="preserve">Directive 2005/60/CE du Parlement européen et du Conseil du 26 octobre 2005 relative à la prévention de l'utilisation du système financier aux fins du blanchiment de capitaux et du financement du terrorisme </w:t>
      </w:r>
      <w:r w:rsidRPr="007F21D3">
        <w:rPr>
          <w:iCs/>
        </w:rPr>
        <w:t>(JO L 309 du 25.11.2005, p. 15).</w:t>
      </w:r>
    </w:p>
  </w:footnote>
  <w:footnote w:id="7">
    <w:p w:rsidR="00746943" w:rsidRPr="00746943" w:rsidRDefault="00746943">
      <w:pPr>
        <w:pStyle w:val="FootnoteText"/>
      </w:pPr>
      <w:r>
        <w:rPr>
          <w:rStyle w:val="FootnoteReference"/>
        </w:rPr>
        <w:footnoteRef/>
      </w:r>
      <w:r>
        <w:tab/>
        <w:t>Directive 2006/70/CE de la Commission du 1</w:t>
      </w:r>
      <w:r>
        <w:rPr>
          <w:vertAlign w:val="superscript"/>
        </w:rPr>
        <w:t>er</w:t>
      </w:r>
      <w:r>
        <w:t xml:space="preserve"> août 2006 portant mesures de mise en œuvre de la directive 2005/60/CE du Parlement européen et du Conseil pour ce qui concerne la définition des personnes politiquement exposées et les conditions techniques de l'application d'obligations simplifiées de vigilance à l'égard de la clientèle ainsi que de l'exemption au motif d'une activité financière exercée à titre occasionnel ou à une échelle très limitée </w:t>
      </w:r>
      <w:r w:rsidRPr="00746943">
        <w:t>(JO L 214 du 4.8.2006, p. 29).</w:t>
      </w:r>
    </w:p>
  </w:footnote>
  <w:footnote w:id="8">
    <w:p w:rsidR="005C13D7" w:rsidRPr="007B7EE7" w:rsidRDefault="005C13D7" w:rsidP="007E1EBF">
      <w:pPr>
        <w:pStyle w:val="FootnoteText"/>
        <w:rPr>
          <w:szCs w:val="24"/>
        </w:rPr>
      </w:pPr>
      <w:r w:rsidRPr="007E1EBF">
        <w:rPr>
          <w:rStyle w:val="FootnoteReference"/>
        </w:rPr>
        <w:footnoteRef/>
      </w:r>
      <w:r>
        <w:tab/>
        <w:t xml:space="preserve">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w:t>
      </w:r>
      <w:r w:rsidRPr="007F21D3">
        <w:rPr>
          <w:iCs/>
        </w:rPr>
        <w:t>(JO L 267 du 10.10.2009, p. 7).</w:t>
      </w:r>
    </w:p>
  </w:footnote>
  <w:footnote w:id="9">
    <w:p w:rsidR="005C13D7" w:rsidRPr="001F17B8" w:rsidRDefault="005C13D7" w:rsidP="007E1EBF">
      <w:pPr>
        <w:pStyle w:val="FootnoteText"/>
      </w:pPr>
      <w:r w:rsidRPr="007E1EBF">
        <w:rPr>
          <w:rStyle w:val="FootnoteReference"/>
        </w:rPr>
        <w:footnoteRef/>
      </w:r>
      <w:r>
        <w:tab/>
      </w:r>
      <w:r w:rsidRPr="001F17B8">
        <w:t>Règlement (UE) n° 1093/2010 du Parlement européen et du Conseil du 24 novembre 2010 instituant une Autorité européenne de surveillance (Autorité bancaire européenne), modifiant la décision n° 716/2009/CE et abrogea</w:t>
      </w:r>
      <w:r w:rsidR="00746943">
        <w:t xml:space="preserve">nt la décision 2009/78/CE de la </w:t>
      </w:r>
      <w:r w:rsidRPr="001F17B8">
        <w:t>Commission (JO L 331 du 15.12.2010, p. 12).</w:t>
      </w:r>
    </w:p>
  </w:footnote>
  <w:footnote w:id="10">
    <w:p w:rsidR="005C13D7" w:rsidRPr="00827BC6" w:rsidRDefault="005C13D7" w:rsidP="007E1EBF">
      <w:pPr>
        <w:pStyle w:val="FootnoteText"/>
      </w:pPr>
      <w:r w:rsidRPr="007E1EBF">
        <w:rPr>
          <w:rStyle w:val="FootnoteReference"/>
        </w:rPr>
        <w:footnoteRef/>
      </w:r>
      <w:r>
        <w:tab/>
      </w:r>
      <w:r w:rsidRPr="001F17B8">
        <w:t>Règlement (UE) n° 1094/2010 du Parlement européen et du Conseil du 24 novembre 2010 instituant une Autorité européenne de surveillance (Autorité euro</w:t>
      </w:r>
      <w:r w:rsidR="00746943">
        <w:t xml:space="preserve">péenne des assurances et </w:t>
      </w:r>
      <w:r w:rsidRPr="001F17B8">
        <w:t>des pensions professionnelles), modifiant la décision n° 716/2009/CE et abrogeant la</w:t>
      </w:r>
      <w:r w:rsidR="00746943">
        <w:t xml:space="preserve"> </w:t>
      </w:r>
      <w:r w:rsidRPr="001F17B8">
        <w:t>décision 2009/79/CE de la Commission</w:t>
      </w:r>
      <w:r>
        <w:t xml:space="preserve"> </w:t>
      </w:r>
      <w:r w:rsidRPr="001F17B8">
        <w:t>(</w:t>
      </w:r>
      <w:r>
        <w:t>JO L 331 du 15.12.2010, p. 48</w:t>
      </w:r>
      <w:r w:rsidRPr="001F17B8">
        <w:t>)</w:t>
      </w:r>
      <w:r>
        <w:t>.</w:t>
      </w:r>
    </w:p>
  </w:footnote>
  <w:footnote w:id="11">
    <w:p w:rsidR="005C13D7" w:rsidRPr="00827BC6" w:rsidRDefault="005C13D7" w:rsidP="007E1EBF">
      <w:pPr>
        <w:pStyle w:val="FootnoteText"/>
      </w:pPr>
      <w:r w:rsidRPr="007E1EBF">
        <w:rPr>
          <w:rStyle w:val="FootnoteReference"/>
        </w:rPr>
        <w:footnoteRef/>
      </w:r>
      <w:r>
        <w:tab/>
      </w:r>
      <w:r w:rsidRPr="001F17B8">
        <w:t>Règlement (UE) n° 1095/2010 du Parlement européen et du Conseil du 24 novembre 2010 instituant une Autorité européenne de surveillance (Autorité européenne des marchés financiers), modifiant la décision n° 716/2009/CE et abrogeant la décision 2009/77/CE de</w:t>
      </w:r>
      <w:r w:rsidR="00746943">
        <w:t xml:space="preserve"> </w:t>
      </w:r>
      <w:r w:rsidRPr="001F17B8">
        <w:t>la Commission</w:t>
      </w:r>
      <w:r>
        <w:t xml:space="preserve"> </w:t>
      </w:r>
      <w:r w:rsidRPr="001F17B8">
        <w:t>(</w:t>
      </w:r>
      <w:r>
        <w:t>JO L 331 du 15.12.2010, p. 84</w:t>
      </w:r>
      <w:r w:rsidRPr="001F17B8">
        <w:t>).</w:t>
      </w:r>
    </w:p>
  </w:footnote>
  <w:footnote w:id="12">
    <w:p w:rsidR="005C13D7" w:rsidRPr="00A06AFF" w:rsidRDefault="005C13D7" w:rsidP="007E1EBF">
      <w:pPr>
        <w:pStyle w:val="FootnoteText"/>
      </w:pPr>
      <w:r w:rsidRPr="00746943">
        <w:rPr>
          <w:rStyle w:val="FootnoteReference"/>
          <w:bCs/>
          <w:szCs w:val="24"/>
        </w:rPr>
        <w:footnoteRef/>
      </w:r>
      <w:r>
        <w:tab/>
      </w:r>
      <w:r w:rsidRPr="00A06AFF">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13">
    <w:p w:rsidR="005C13D7" w:rsidRPr="00827BC6" w:rsidRDefault="005C13D7" w:rsidP="007E1EBF">
      <w:pPr>
        <w:pStyle w:val="FootnoteText"/>
      </w:pPr>
      <w:r w:rsidRPr="00746943">
        <w:rPr>
          <w:rStyle w:val="FootnoteReference"/>
          <w:bCs/>
          <w:szCs w:val="24"/>
        </w:rPr>
        <w:footnoteRef/>
      </w:r>
      <w:r>
        <w:tab/>
      </w:r>
      <w:r w:rsidRPr="00A06AFF">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4">
    <w:p w:rsidR="005C13D7" w:rsidRPr="00270BF8" w:rsidRDefault="005C13D7" w:rsidP="003152F8">
      <w:pPr>
        <w:pStyle w:val="FootnoteText"/>
        <w:rPr>
          <w:lang w:val="fr-BE"/>
        </w:rPr>
      </w:pPr>
      <w:r>
        <w:rPr>
          <w:rStyle w:val="FootnoteReference"/>
        </w:rPr>
        <w:footnoteRef/>
      </w:r>
      <w:r>
        <w:tab/>
        <w:t>Décision-cadre 2008/977/JAI du Conseil du 27 novembre 2008 relative à la protection des données à caractère personnel traitées dans le cadre de la coopération policière et judiciaire en matière pénale (JO L 350 du 30.12.2008, p. 60).</w:t>
      </w:r>
    </w:p>
  </w:footnote>
  <w:footnote w:id="15">
    <w:p w:rsidR="005C13D7" w:rsidRPr="007F21D3" w:rsidRDefault="005C13D7" w:rsidP="007E1EBF">
      <w:pPr>
        <w:pStyle w:val="FootnoteText"/>
        <w:rPr>
          <w:bCs/>
          <w:szCs w:val="24"/>
        </w:rPr>
      </w:pPr>
      <w:r w:rsidRPr="007E1EBF">
        <w:rPr>
          <w:rStyle w:val="FootnoteReference"/>
        </w:rPr>
        <w:footnoteRef/>
      </w:r>
      <w:r>
        <w:tab/>
        <w:t xml:space="preserve">Directive 2011/16/UE du Conseil du 15 février 2011 relative à la coopération administrative dans le domaine fiscal et abrogeant la directive 77/799/CEE </w:t>
      </w:r>
      <w:r w:rsidRPr="007F21D3">
        <w:rPr>
          <w:bCs/>
        </w:rPr>
        <w:t>(JO L 64 du 11.3.2011, p. 1).</w:t>
      </w:r>
    </w:p>
  </w:footnote>
  <w:footnote w:id="16">
    <w:p w:rsidR="005C13D7" w:rsidRPr="00A06AFF" w:rsidRDefault="005C13D7" w:rsidP="007E1EBF">
      <w:pPr>
        <w:pStyle w:val="FootnoteText"/>
      </w:pPr>
      <w:r w:rsidRPr="007E1EBF">
        <w:rPr>
          <w:rStyle w:val="FootnoteReference"/>
        </w:rPr>
        <w:footnoteRef/>
      </w:r>
      <w:r>
        <w:tab/>
        <w:t>Décision-cadre 2009/315/JAI du Conseil du 26 février 2009 concernant l'organisation et le contenu des échanges d'informations extraites du casier judiciaire entre les États membres (</w:t>
      </w:r>
      <w:r w:rsidRPr="00A06AFF">
        <w:t>JO L 93 du 7.4.2009, p. 23).</w:t>
      </w:r>
    </w:p>
  </w:footnote>
  <w:footnote w:id="17">
    <w:p w:rsidR="005C13D7" w:rsidRPr="00A06AFF" w:rsidRDefault="005C13D7" w:rsidP="007E1EBF">
      <w:pPr>
        <w:pStyle w:val="FootnoteText"/>
      </w:pPr>
      <w:r w:rsidRPr="007E1EBF">
        <w:rPr>
          <w:rStyle w:val="FootnoteReference"/>
        </w:rPr>
        <w:footnoteRef/>
      </w:r>
      <w:r>
        <w:tab/>
        <w:t>Décision 2009/316/JAI du Conseil du 6 avril 2009 relative à la création du système européen d'information sur les casiers judiciaires (ECRIS), en application de l'article 11 de</w:t>
      </w:r>
      <w:r w:rsidR="00746943">
        <w:t xml:space="preserve"> </w:t>
      </w:r>
      <w:r>
        <w:t xml:space="preserve">la décision-cadre 2009/315/JAI </w:t>
      </w:r>
      <w:r w:rsidRPr="00A06AFF">
        <w:t>(JO L 93 du 7.4.2009, p. 33).</w:t>
      </w:r>
    </w:p>
  </w:footnote>
  <w:footnote w:id="18">
    <w:p w:rsidR="005C13D7" w:rsidRPr="007F21D3" w:rsidRDefault="005C13D7">
      <w:pPr>
        <w:pStyle w:val="FootnoteText"/>
        <w:rPr>
          <w:lang w:val="da-DK"/>
        </w:rPr>
      </w:pPr>
      <w:r>
        <w:rPr>
          <w:rStyle w:val="FootnoteReference"/>
        </w:rPr>
        <w:footnoteRef/>
      </w:r>
      <w:r w:rsidRPr="007F21D3">
        <w:rPr>
          <w:lang w:val="da-DK"/>
        </w:rPr>
        <w:tab/>
        <w:t>JO C 369 du 17.12.2011, p. 14.</w:t>
      </w:r>
    </w:p>
  </w:footnote>
  <w:footnote w:id="19">
    <w:p w:rsidR="005C13D7" w:rsidRPr="007F21D3" w:rsidRDefault="005C13D7" w:rsidP="007E1EBF">
      <w:pPr>
        <w:pStyle w:val="FootnoteText"/>
        <w:rPr>
          <w:lang w:val="da-DK"/>
        </w:rPr>
      </w:pPr>
      <w:r w:rsidRPr="00A06AFF">
        <w:rPr>
          <w:rStyle w:val="FootnoteReference"/>
          <w:szCs w:val="24"/>
        </w:rPr>
        <w:footnoteRef/>
      </w:r>
      <w:r w:rsidR="00746943">
        <w:rPr>
          <w:lang w:val="da-DK"/>
        </w:rPr>
        <w:tab/>
        <w:t xml:space="preserve">JO </w:t>
      </w:r>
      <w:r w:rsidRPr="007F21D3">
        <w:rPr>
          <w:lang w:val="da-DK"/>
        </w:rPr>
        <w:t>C</w:t>
      </w:r>
      <w:r w:rsidR="00746943">
        <w:rPr>
          <w:lang w:val="da-DK"/>
        </w:rPr>
        <w:t xml:space="preserve"> </w:t>
      </w:r>
      <w:r w:rsidRPr="007F21D3">
        <w:rPr>
          <w:lang w:val="da-DK"/>
        </w:rPr>
        <w:t>32 du 4.2.2014, p. 9.</w:t>
      </w:r>
    </w:p>
  </w:footnote>
  <w:footnote w:id="20">
    <w:p w:rsidR="005C13D7" w:rsidRPr="00AC6D29" w:rsidRDefault="005C13D7" w:rsidP="007E1EBF">
      <w:pPr>
        <w:pStyle w:val="FootnoteText"/>
        <w:spacing w:before="240"/>
      </w:pPr>
      <w:r w:rsidRPr="007E1EBF">
        <w:rPr>
          <w:rStyle w:val="FootnoteReference"/>
        </w:rPr>
        <w:footnoteRef/>
      </w:r>
      <w:r>
        <w:tab/>
      </w:r>
      <w:r w:rsidRPr="007F21D3">
        <w:rPr>
          <w:iCs/>
          <w:noProof/>
        </w:rPr>
        <w:t xml:space="preserve">Décision-cadre 2002/475/JAI du Conseil du 13 juin 2002 </w:t>
      </w:r>
      <w:r w:rsidR="005E336B">
        <w:rPr>
          <w:iCs/>
          <w:noProof/>
        </w:rPr>
        <w:t xml:space="preserve">relative à la lutte contre le </w:t>
      </w:r>
      <w:r w:rsidRPr="007F21D3">
        <w:rPr>
          <w:iCs/>
          <w:noProof/>
        </w:rPr>
        <w:t>terrorisme</w:t>
      </w:r>
      <w:r w:rsidRPr="00765A9A">
        <w:rPr>
          <w:iCs/>
        </w:rPr>
        <w:t xml:space="preserve"> </w:t>
      </w:r>
      <w:r>
        <w:t>(JO L 164 du 22.6.2002, p. 3).</w:t>
      </w:r>
    </w:p>
  </w:footnote>
  <w:footnote w:id="21">
    <w:p w:rsidR="005C13D7" w:rsidRPr="00626907" w:rsidRDefault="005C13D7" w:rsidP="007E1EBF">
      <w:pPr>
        <w:pStyle w:val="FootnoteText"/>
        <w:spacing w:before="240"/>
      </w:pPr>
      <w:r w:rsidRPr="007E1EBF">
        <w:rPr>
          <w:rStyle w:val="FootnoteReference"/>
        </w:rPr>
        <w:footnoteRef/>
      </w:r>
      <w:r>
        <w:tab/>
      </w:r>
      <w:r w:rsidRPr="003B2AB3">
        <w:t>Directive 2007/64/CE du Parlement européen et du Conseil du 13 novembre 2007 concernant les services de paiement dans le marché intérieur, modifiant les directives 97/7/CE, 2002/65/CE, 2005/60/CE ainsi que 2006/48/CE et abrogeant la directive 97/5/CE</w:t>
      </w:r>
      <w:r>
        <w:t xml:space="preserve"> (JO L 319 du 5.12.2007, p. 1).</w:t>
      </w:r>
    </w:p>
  </w:footnote>
  <w:footnote w:id="22">
    <w:p w:rsidR="005C13D7" w:rsidRPr="003B2AB3" w:rsidRDefault="005C13D7" w:rsidP="007E1EBF">
      <w:pPr>
        <w:pStyle w:val="FootnoteText"/>
      </w:pPr>
      <w:r w:rsidRPr="007E1EBF">
        <w:rPr>
          <w:rStyle w:val="FootnoteReference"/>
        </w:rPr>
        <w:footnoteRef/>
      </w:r>
      <w:r>
        <w:tab/>
      </w:r>
      <w:r w:rsidRPr="003B2AB3">
        <w:t>Règlement (UE) n° 575/2013 du Parlement européen et du Conseil du 26 juin 2013 concernant les exigences prudentielles applicables aux établissements de crédit et aux</w:t>
      </w:r>
      <w:r w:rsidR="007E1EBF">
        <w:t xml:space="preserve"> </w:t>
      </w:r>
      <w:r w:rsidRPr="003B2AB3">
        <w:t>entreprises d'investissement et modifiant le règlement (UE) n° 648/2012 (JO L 176 du 27.6.2013, p. 1).</w:t>
      </w:r>
    </w:p>
  </w:footnote>
  <w:footnote w:id="23">
    <w:p w:rsidR="005C13D7" w:rsidRPr="003B2AB3" w:rsidRDefault="005C13D7" w:rsidP="007E1EBF">
      <w:pPr>
        <w:pStyle w:val="FootnoteText"/>
      </w:pPr>
      <w:r w:rsidRPr="007E1EBF">
        <w:rPr>
          <w:rStyle w:val="FootnoteReference"/>
        </w:rPr>
        <w:footnoteRef/>
      </w:r>
      <w:r>
        <w:tab/>
      </w:r>
      <w:r w:rsidRPr="003B2AB3">
        <w:t>Directive 2013/36/UE du Parlement européen et du Conseil du 26 juin 2013 concernant l'accès à l'activité des établissements de crédit et la surveillance prudentielle des</w:t>
      </w:r>
      <w:r w:rsidR="007E1EBF">
        <w:t xml:space="preserve"> </w:t>
      </w:r>
      <w:r w:rsidRPr="003B2AB3">
        <w:t>établissements de crédit et des entreprises d'investissement, modifiant la directive 2002/87/CE et abrogeant les directives 2006/48/CE et 2006/49/CE (JO L 176 du 27.6.2013, p. 338).</w:t>
      </w:r>
    </w:p>
  </w:footnote>
  <w:footnote w:id="24">
    <w:p w:rsidR="005C13D7" w:rsidRPr="003B2AB3" w:rsidRDefault="005C13D7" w:rsidP="007E1EBF">
      <w:pPr>
        <w:pStyle w:val="FootnoteText"/>
      </w:pPr>
      <w:r w:rsidRPr="007E1EBF">
        <w:rPr>
          <w:rStyle w:val="FootnoteReference"/>
        </w:rPr>
        <w:footnoteRef/>
      </w:r>
      <w:r>
        <w:tab/>
      </w:r>
      <w:r w:rsidRPr="003B2AB3">
        <w:t xml:space="preserve">Directive 2009/138/CE du Parlement européen et du Conseil du 25 novembre 2009 sur l'accès aux activités de l'assurance et de la réassurance et leur exercice (solvabilité II) </w:t>
      </w:r>
      <w:r>
        <w:t>(</w:t>
      </w:r>
      <w:r w:rsidRPr="003B2AB3">
        <w:t>JO L 335 du 17.12.2009, p. 1</w:t>
      </w:r>
      <w:r w:rsidR="005E336B">
        <w:t>).</w:t>
      </w:r>
    </w:p>
  </w:footnote>
  <w:footnote w:id="25">
    <w:p w:rsidR="005C13D7" w:rsidRPr="003B2AB3" w:rsidRDefault="005C13D7" w:rsidP="007E1EBF">
      <w:pPr>
        <w:pStyle w:val="FootnoteText"/>
      </w:pPr>
      <w:r w:rsidRPr="007E1EBF">
        <w:rPr>
          <w:rStyle w:val="FootnoteReference"/>
        </w:rPr>
        <w:footnoteRef/>
      </w:r>
      <w:r>
        <w:tab/>
        <w:t xml:space="preserve">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w:t>
      </w:r>
      <w:r w:rsidRPr="003B2AB3">
        <w:t>(JO L 145 du 30.4.2004, p. 1).</w:t>
      </w:r>
    </w:p>
  </w:footnote>
  <w:footnote w:id="26">
    <w:p w:rsidR="005C13D7" w:rsidRPr="007B7EE7" w:rsidRDefault="005C13D7" w:rsidP="007E1EBF">
      <w:pPr>
        <w:pStyle w:val="FootnoteText"/>
        <w:rPr>
          <w:szCs w:val="24"/>
        </w:rPr>
      </w:pPr>
      <w:r w:rsidRPr="007E1EBF">
        <w:rPr>
          <w:rStyle w:val="FootnoteReference"/>
        </w:rPr>
        <w:footnoteRef/>
      </w:r>
      <w:r>
        <w:tab/>
        <w:t>Directive 2002/92/CE du Parlement européen et du Conseil du 9 décembre 2002 sur l'intermédiation en assurance (JO L 9 du 15.1.2003, p. 3).</w:t>
      </w:r>
    </w:p>
  </w:footnote>
  <w:footnote w:id="27">
    <w:p w:rsidR="005C13D7" w:rsidRPr="007B7EE7" w:rsidRDefault="005C13D7" w:rsidP="007E1EBF">
      <w:pPr>
        <w:pStyle w:val="FootnoteText"/>
        <w:rPr>
          <w:szCs w:val="24"/>
        </w:rPr>
      </w:pPr>
      <w:r w:rsidRPr="007E1EBF">
        <w:rPr>
          <w:rStyle w:val="FootnoteReference"/>
        </w:rPr>
        <w:footnoteRef/>
      </w:r>
      <w:r>
        <w:tab/>
        <w:t>Action commune 98/733/JAI du 21 décembre 1998 adoptée par le Conseil sur la base de</w:t>
      </w:r>
      <w:r w:rsidR="005E336B">
        <w:t xml:space="preserve"> </w:t>
      </w:r>
      <w:r>
        <w:t xml:space="preserve">l'article K.3 du traité sur l'Union européenne, relative à l'incrimination de la participation à une organisation criminelle dans les États membres de </w:t>
      </w:r>
      <w:r w:rsidR="005E336B">
        <w:t>l'Union européenne (JO L 351 du </w:t>
      </w:r>
      <w:r>
        <w:t>29.12.1998, p. 1).</w:t>
      </w:r>
    </w:p>
  </w:footnote>
  <w:footnote w:id="28">
    <w:p w:rsidR="005C13D7" w:rsidRPr="00D6434C" w:rsidRDefault="005C13D7" w:rsidP="007E1EBF">
      <w:pPr>
        <w:pStyle w:val="FootnoteText"/>
      </w:pPr>
      <w:r w:rsidRPr="007E1EBF">
        <w:rPr>
          <w:rStyle w:val="FootnoteReference"/>
        </w:rPr>
        <w:footnoteRef/>
      </w:r>
      <w:r w:rsidR="005E336B">
        <w:tab/>
        <w:t xml:space="preserve">JO C </w:t>
      </w:r>
      <w:r>
        <w:t>316 du 27.11.1995, p. 49.</w:t>
      </w:r>
    </w:p>
  </w:footnote>
  <w:footnote w:id="29">
    <w:p w:rsidR="005C13D7" w:rsidRPr="007F21D3" w:rsidRDefault="005C13D7" w:rsidP="007E1EBF">
      <w:pPr>
        <w:pStyle w:val="FootnoteText"/>
        <w:rPr>
          <w:b/>
          <w:bCs/>
        </w:rPr>
      </w:pPr>
      <w:r w:rsidRPr="007E1EBF">
        <w:rPr>
          <w:rStyle w:val="FootnoteReference"/>
        </w:rPr>
        <w:footnoteRef/>
      </w:r>
      <w:r>
        <w:tab/>
        <w:t>Directive 2013/34/CE du Parlement européen et du Conse</w:t>
      </w:r>
      <w:r w:rsidR="005E336B">
        <w:t xml:space="preserve">il du 26 juin 2013 relative aux </w:t>
      </w:r>
      <w:r>
        <w:t xml:space="preserve">états financiers annuels, aux états financiers consolidés et aux rapports y afférents de certaines formes d'entreprises, modifiant la directive 2006/43/CE du Parlement européen et du Conseil et abrogeant les directives 78/660/CEE et 83/349/CEE du </w:t>
      </w:r>
      <w:r w:rsidRPr="00554677">
        <w:t xml:space="preserve">Conseil </w:t>
      </w:r>
      <w:r w:rsidR="005E336B">
        <w:t>(JO L 182 du </w:t>
      </w:r>
      <w:r w:rsidRPr="007F21D3">
        <w:t>29.6.2013, p. 19).</w:t>
      </w:r>
    </w:p>
  </w:footnote>
  <w:footnote w:id="30">
    <w:p w:rsidR="005C13D7" w:rsidRPr="00A540D9" w:rsidRDefault="005C13D7" w:rsidP="004F21E0">
      <w:pPr>
        <w:pStyle w:val="FootnoteText"/>
        <w:rPr>
          <w:lang w:val="fr-BE"/>
        </w:rPr>
      </w:pPr>
      <w:r>
        <w:rPr>
          <w:rStyle w:val="FootnoteReference"/>
        </w:rPr>
        <w:t>*</w:t>
      </w:r>
      <w:r>
        <w:rPr>
          <w:lang w:val="fr-BE"/>
        </w:rPr>
        <w:tab/>
        <w:t xml:space="preserve">JO: veuillez insérer la date correspondant à </w:t>
      </w:r>
      <w:r w:rsidR="004F21E0">
        <w:rPr>
          <w:lang w:val="fr-BE"/>
        </w:rPr>
        <w:t>24</w:t>
      </w:r>
      <w:r>
        <w:rPr>
          <w:lang w:val="fr-BE"/>
        </w:rPr>
        <w:t xml:space="preserve"> mois à partir de l'entrée en vigueur de la présente directive.</w:t>
      </w:r>
    </w:p>
  </w:footnote>
  <w:footnote w:id="31">
    <w:p w:rsidR="005C13D7" w:rsidRPr="00224FF1" w:rsidRDefault="005C13D7" w:rsidP="009117E2">
      <w:pPr>
        <w:pStyle w:val="FootnoteText"/>
        <w:rPr>
          <w:lang w:val="fr-BE"/>
        </w:rPr>
      </w:pPr>
      <w:r>
        <w:rPr>
          <w:rStyle w:val="FootnoteReference"/>
        </w:rPr>
        <w:t>*</w:t>
      </w:r>
      <w:r>
        <w:rPr>
          <w:lang w:val="fr-BE"/>
        </w:rPr>
        <w:tab/>
        <w:t>JO: veuillez insérer la date correspondant à 18 mois après la date d'entrée en vigueur de la présente directive.</w:t>
      </w:r>
    </w:p>
  </w:footnote>
  <w:footnote w:id="32">
    <w:p w:rsidR="005C13D7" w:rsidRPr="00B06AAE" w:rsidRDefault="005C13D7" w:rsidP="007E1EBF">
      <w:pPr>
        <w:pStyle w:val="FootnoteText"/>
      </w:pPr>
      <w:r w:rsidRPr="007E1EBF">
        <w:rPr>
          <w:rStyle w:val="FootnoteReference"/>
        </w:rPr>
        <w:footnoteRef/>
      </w:r>
      <w:r>
        <w:tab/>
        <w:t xml:space="preserve">Règlement (UE) 2015/… </w:t>
      </w:r>
      <w:r w:rsidRPr="003B2AB3">
        <w:t>du Parlement européen et du Conseil du …</w:t>
      </w:r>
      <w:r>
        <w:t xml:space="preserve"> sur les informations accompagnant les transferts de fonds et</w:t>
      </w:r>
      <w:r w:rsidR="005E336B">
        <w:t xml:space="preserve"> abrogeant le règlement (CE) n° 1781/2006 (JO</w:t>
      </w:r>
      <w:r w:rsidR="005E336B">
        <w:rPr>
          <w:lang w:val="fr-BE"/>
        </w:rPr>
        <w:t> </w:t>
      </w:r>
      <w:r w:rsidR="005E336B">
        <w:t>L </w:t>
      </w:r>
      <w:r>
        <w:t>…).</w:t>
      </w:r>
    </w:p>
  </w:footnote>
  <w:footnote w:id="33">
    <w:p w:rsidR="005C13D7" w:rsidRPr="00956DA8" w:rsidRDefault="005C13D7">
      <w:pPr>
        <w:pStyle w:val="FootnoteText"/>
      </w:pPr>
      <w:r>
        <w:rPr>
          <w:rStyle w:val="FootnoteReference"/>
        </w:rPr>
        <w:t>*</w:t>
      </w:r>
      <w:r>
        <w:tab/>
        <w:t>JO: veuillez insérer le numéro du règlement adopté sur la base du dossier COD 2013/0024 et compléter la note de bas de page précédente.</w:t>
      </w:r>
    </w:p>
  </w:footnote>
  <w:footnote w:id="34">
    <w:p w:rsidR="005C13D7" w:rsidRPr="003708EF" w:rsidRDefault="005C13D7">
      <w:pPr>
        <w:pStyle w:val="FootnoteText"/>
        <w:rPr>
          <w:lang w:val="fr-BE"/>
        </w:rPr>
      </w:pPr>
      <w:r>
        <w:rPr>
          <w:rStyle w:val="FootnoteReference"/>
        </w:rPr>
        <w:t>*</w:t>
      </w:r>
      <w:r>
        <w:rPr>
          <w:lang w:val="fr-BE"/>
        </w:rPr>
        <w:tab/>
        <w:t>JO: veuillez insérer la date correspondant à 24 mois après la date d'entrée en vigueur de la présente directive.</w:t>
      </w:r>
    </w:p>
  </w:footnote>
  <w:footnote w:id="35">
    <w:p w:rsidR="005C13D7" w:rsidRPr="00790F8B" w:rsidRDefault="005C13D7" w:rsidP="003708EF">
      <w:pPr>
        <w:pStyle w:val="FootnoteText"/>
      </w:pPr>
      <w:r>
        <w:rPr>
          <w:rStyle w:val="FootnoteReference"/>
        </w:rPr>
        <w:t>*</w:t>
      </w:r>
      <w:r>
        <w:tab/>
        <w:t>JO: veuillez insérer la date correspondant à 24 mois après la date d'entrée en vigueur de la présente directive.</w:t>
      </w:r>
    </w:p>
  </w:footnote>
  <w:footnote w:id="36">
    <w:p w:rsidR="005C13D7" w:rsidRPr="00765A9A" w:rsidRDefault="005C13D7" w:rsidP="007E1EBF">
      <w:pPr>
        <w:pStyle w:val="FootnoteText"/>
        <w:rPr>
          <w:iCs/>
          <w:szCs w:val="24"/>
        </w:rPr>
      </w:pPr>
      <w:r w:rsidRPr="007E1EBF">
        <w:rPr>
          <w:rStyle w:val="FootnoteReference"/>
        </w:rPr>
        <w:footnoteRef/>
      </w:r>
      <w:r>
        <w:tab/>
        <w:t>Directive 2009/101/CE du Parlement européen et du Conseil du 16 septembre 2009 tendant à coordonner, pour les rendre équivalentes, les garanties qui sont exigées, dans les États membres, des sociétés au sens de l'article 48, deuxième aliné</w:t>
      </w:r>
      <w:r w:rsidR="005E336B">
        <w:t xml:space="preserve">a, du traité, pour protéger les </w:t>
      </w:r>
      <w:r>
        <w:t xml:space="preserve">intérêts tant des associés que des tiers </w:t>
      </w:r>
      <w:r w:rsidRPr="007F21D3">
        <w:rPr>
          <w:iCs/>
        </w:rPr>
        <w:t>(JO L 258 du 1.10.2009, p. 11).</w:t>
      </w:r>
    </w:p>
  </w:footnote>
  <w:footnote w:id="37">
    <w:p w:rsidR="005C13D7" w:rsidRPr="00661C61" w:rsidRDefault="005C13D7" w:rsidP="005D21C6">
      <w:pPr>
        <w:pStyle w:val="FootnoteText"/>
      </w:pPr>
      <w:r>
        <w:rPr>
          <w:rStyle w:val="FootnoteReference"/>
        </w:rPr>
        <w:t>*</w:t>
      </w:r>
      <w:r>
        <w:tab/>
        <w:t>JO: veuillez insérer la date: quatre ans après la date d'entrée en vigueur de la présente directive.</w:t>
      </w:r>
    </w:p>
  </w:footnote>
  <w:footnote w:id="38">
    <w:p w:rsidR="005C13D7" w:rsidRPr="00661C61" w:rsidRDefault="005C13D7" w:rsidP="005D21C6">
      <w:pPr>
        <w:pStyle w:val="FootnoteText"/>
      </w:pPr>
      <w:r>
        <w:rPr>
          <w:rStyle w:val="FootnoteReference"/>
        </w:rPr>
        <w:t>*</w:t>
      </w:r>
      <w:r>
        <w:tab/>
        <w:t xml:space="preserve">JO: veuillez insérer la date: </w:t>
      </w:r>
      <w:r w:rsidRPr="00661C61">
        <w:t xml:space="preserve">quatre ans </w:t>
      </w:r>
      <w:r>
        <w:t>après</w:t>
      </w:r>
      <w:r w:rsidRPr="00661C61">
        <w:t xml:space="preserve"> la date d'entrée en vigueur de la présente directive</w:t>
      </w:r>
    </w:p>
  </w:footnote>
  <w:footnote w:id="39">
    <w:p w:rsidR="005C13D7" w:rsidRPr="008A415D" w:rsidRDefault="005C13D7">
      <w:pPr>
        <w:pStyle w:val="FootnoteText"/>
      </w:pPr>
      <w:r>
        <w:rPr>
          <w:rStyle w:val="FootnoteReference"/>
        </w:rPr>
        <w:t>*</w:t>
      </w:r>
      <w:r>
        <w:tab/>
        <w:t>JO: prière d'insérer la date d'entrée en vigueur de la présente directive.</w:t>
      </w:r>
    </w:p>
  </w:footnote>
  <w:footnote w:id="40">
    <w:p w:rsidR="005C13D7" w:rsidRPr="008A415D" w:rsidRDefault="005C13D7">
      <w:pPr>
        <w:pStyle w:val="FootnoteText"/>
      </w:pPr>
      <w:r>
        <w:rPr>
          <w:rStyle w:val="FootnoteReference"/>
        </w:rPr>
        <w:t>*</w:t>
      </w:r>
      <w:r>
        <w:tab/>
      </w:r>
      <w:r w:rsidRPr="008A415D">
        <w:t>JO</w:t>
      </w:r>
      <w:r w:rsidR="00C81C06">
        <w:t>:</w:t>
      </w:r>
      <w:r w:rsidRPr="008A415D">
        <w:t xml:space="preserve"> prière d'insérer la date: </w:t>
      </w:r>
      <w:r>
        <w:t>18 mois</w:t>
      </w:r>
      <w:r w:rsidRPr="008A415D">
        <w:t xml:space="preserve"> après la date d'entrée en vigueur de la présente directive</w:t>
      </w:r>
      <w:r>
        <w:t>.</w:t>
      </w:r>
    </w:p>
  </w:footnote>
  <w:footnote w:id="41">
    <w:p w:rsidR="00D624B4" w:rsidRPr="00D624B4" w:rsidRDefault="00D624B4">
      <w:pPr>
        <w:pStyle w:val="FootnoteText"/>
        <w:rPr>
          <w:lang w:val="fr-BE"/>
        </w:rPr>
      </w:pPr>
      <w:r>
        <w:rPr>
          <w:rStyle w:val="FootnoteReference"/>
        </w:rPr>
        <w:t>*</w:t>
      </w:r>
      <w:r>
        <w:tab/>
        <w:t>JO: prière d'insérer la date: deux ans après la date d'entrée en vigueur de la présente directive.</w:t>
      </w:r>
    </w:p>
  </w:footnote>
  <w:footnote w:id="42">
    <w:p w:rsidR="005C13D7" w:rsidRPr="008A415D" w:rsidRDefault="005C13D7">
      <w:pPr>
        <w:pStyle w:val="FootnoteText"/>
      </w:pPr>
      <w:r>
        <w:rPr>
          <w:rStyle w:val="FootnoteReference"/>
        </w:rPr>
        <w:t>*</w:t>
      </w:r>
      <w:r>
        <w:tab/>
      </w:r>
      <w:r w:rsidRPr="008A415D">
        <w:t>JO</w:t>
      </w:r>
      <w:r>
        <w:t>:</w:t>
      </w:r>
      <w:r w:rsidRPr="008A415D">
        <w:t xml:space="preserve"> prière d'insérer la date: deux ans après la date d'entrée en vigueur de la présente directive</w:t>
      </w:r>
      <w:r>
        <w:t>.</w:t>
      </w:r>
    </w:p>
  </w:footnote>
  <w:footnote w:id="43">
    <w:p w:rsidR="005C13D7" w:rsidRPr="008A415D" w:rsidRDefault="005C13D7">
      <w:pPr>
        <w:pStyle w:val="FootnoteText"/>
      </w:pPr>
      <w:r>
        <w:rPr>
          <w:rStyle w:val="FootnoteReference"/>
        </w:rPr>
        <w:t>*</w:t>
      </w:r>
      <w:r>
        <w:tab/>
        <w:t>JO: prière d'insérer la</w:t>
      </w:r>
      <w:r w:rsidR="0001478E">
        <w:t xml:space="preserve"> date d'entrée en vigueur de la </w:t>
      </w:r>
      <w:r>
        <w:t>présente directive.</w:t>
      </w:r>
    </w:p>
  </w:footnote>
  <w:footnote w:id="44">
    <w:p w:rsidR="005C13D7" w:rsidRPr="00765A9A" w:rsidRDefault="005C13D7" w:rsidP="007E1EBF">
      <w:pPr>
        <w:pStyle w:val="FootnoteText"/>
        <w:rPr>
          <w:iCs/>
          <w:szCs w:val="24"/>
        </w:rPr>
      </w:pPr>
      <w:r w:rsidRPr="007E1EBF">
        <w:rPr>
          <w:rStyle w:val="FootnoteReference"/>
        </w:rPr>
        <w:footnoteRef/>
      </w:r>
      <w:r>
        <w:tab/>
      </w:r>
      <w:r w:rsidR="00C153C8">
        <w:t>Règlement (UE) n° </w:t>
      </w:r>
      <w:r>
        <w:t xml:space="preserve">648/2012 du Parlement européen et du Conseil du 4 juillet 2012 sur les produits dérivés de gré à gré, les contreparties centrales et les référentiels centraux </w:t>
      </w:r>
      <w:r w:rsidRPr="007F21D3">
        <w:rPr>
          <w:iCs/>
        </w:rPr>
        <w:t>(JO L 201 du 27.7.2012, p. 1).</w:t>
      </w:r>
    </w:p>
  </w:footnote>
  <w:footnote w:id="45">
    <w:p w:rsidR="00C153C8" w:rsidRPr="00C153C8" w:rsidRDefault="00C153C8">
      <w:pPr>
        <w:pStyle w:val="FootnoteText"/>
        <w:rPr>
          <w:lang w:val="fr-BE"/>
        </w:rPr>
      </w:pPr>
      <w:r>
        <w:rPr>
          <w:rStyle w:val="FootnoteReference"/>
        </w:rPr>
        <w:t>**</w:t>
      </w:r>
      <w:r>
        <w:tab/>
      </w:r>
      <w:r w:rsidRPr="00C153C8">
        <w:rPr>
          <w:bCs/>
          <w:iCs/>
        </w:rPr>
        <w:t>JO: veuillez insérer le numéro de la directive adoptée sur la base du dossier COD 2013/0025 et compléter la note de bas de page ci-dessus.</w:t>
      </w:r>
    </w:p>
  </w:footnote>
  <w:footnote w:id="46">
    <w:p w:rsidR="005C13D7" w:rsidRPr="00DC3FC0" w:rsidRDefault="005C13D7">
      <w:pPr>
        <w:pStyle w:val="FootnoteText"/>
        <w:rPr>
          <w:lang w:val="fr-BE"/>
        </w:rPr>
      </w:pPr>
      <w:r>
        <w:rPr>
          <w:rStyle w:val="FootnoteReference"/>
        </w:rPr>
        <w:t>*</w:t>
      </w:r>
      <w:r>
        <w:tab/>
        <w:t>JO: veuillez insérer la date d'entrée en vigueur de la présente directive.</w:t>
      </w:r>
    </w:p>
  </w:footnote>
  <w:footnote w:id="47">
    <w:p w:rsidR="00C153C8" w:rsidRPr="00C153C8" w:rsidRDefault="00C153C8">
      <w:pPr>
        <w:pStyle w:val="FootnoteText"/>
        <w:rPr>
          <w:lang w:val="fr-BE"/>
        </w:rPr>
      </w:pPr>
      <w:r>
        <w:rPr>
          <w:rStyle w:val="FootnoteReference"/>
        </w:rPr>
        <w:t>*</w:t>
      </w:r>
      <w:r>
        <w:tab/>
      </w:r>
      <w:r>
        <w:rPr>
          <w:lang w:val="fr-BE"/>
        </w:rPr>
        <w:t>JO: veuillez insérer la date correspondant à quatre ans après la date d'entrée en vigueur de la présente directive.</w:t>
      </w:r>
    </w:p>
  </w:footnote>
  <w:footnote w:id="48">
    <w:p w:rsidR="00C153C8" w:rsidRPr="00C153C8" w:rsidRDefault="00C153C8">
      <w:pPr>
        <w:pStyle w:val="FootnoteText"/>
        <w:rPr>
          <w:lang w:val="fr-BE"/>
        </w:rPr>
      </w:pPr>
      <w:r>
        <w:rPr>
          <w:rStyle w:val="FootnoteReference"/>
        </w:rPr>
        <w:t>**</w:t>
      </w:r>
      <w:r>
        <w:tab/>
      </w:r>
      <w:r>
        <w:rPr>
          <w:lang w:val="fr-BE"/>
        </w:rPr>
        <w:t>JO: veuillez insérer la date correspondant à deux ans après la date d'entrée en vigueur de la présente directive.</w:t>
      </w:r>
    </w:p>
  </w:footnote>
  <w:footnote w:id="49">
    <w:p w:rsidR="00C153C8" w:rsidRPr="00C153C8" w:rsidRDefault="00C153C8">
      <w:pPr>
        <w:pStyle w:val="FootnoteText"/>
        <w:rPr>
          <w:lang w:val="fr-BE"/>
        </w:rPr>
      </w:pPr>
      <w:r>
        <w:rPr>
          <w:rStyle w:val="FootnoteReference"/>
        </w:rPr>
        <w:t>***</w:t>
      </w:r>
      <w:r>
        <w:tab/>
        <w:t>JO: veuillez insérer la date: deux ans après la date d'entrée en vigueur de la présente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7B02EC" w:rsidRDefault="007B02EC" w:rsidP="007B02E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7B02EC" w:rsidRDefault="00E90B76" w:rsidP="007B0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7B02EC" w:rsidRDefault="007B02EC" w:rsidP="007B02E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EC" w:rsidRPr="007B02EC" w:rsidRDefault="007B02EC" w:rsidP="007B02E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7B02EC" w:rsidRDefault="005C13D7" w:rsidP="007B02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7B02EC" w:rsidRDefault="005C13D7" w:rsidP="007B02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D7" w:rsidRPr="007B02EC" w:rsidRDefault="005C13D7" w:rsidP="007B02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7B02EC" w:rsidRDefault="00E90B76" w:rsidP="007B02E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7B02EC" w:rsidRDefault="00E90B76" w:rsidP="007B02E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76" w:rsidRPr="007B02EC" w:rsidRDefault="00E90B76" w:rsidP="007B0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35AC941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4">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7">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9">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6">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A0F1E12"/>
    <w:multiLevelType w:val="multilevel"/>
    <w:tmpl w:val="985A39C2"/>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a)"/>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Cordia New" w:hAnsi="Cordia New" w:cs="Verdana"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5">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6">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8">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9">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6">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4">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6">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9">
    <w:nsid w:val="7E474D4E"/>
    <w:multiLevelType w:val="singleLevel"/>
    <w:tmpl w:val="1A6608A0"/>
    <w:name w:val="List Bullet 2"/>
    <w:lvl w:ilvl="0">
      <w:start w:val="1"/>
      <w:numFmt w:val="decimal"/>
      <w:lvlRestart w:val="0"/>
      <w:lvlText w:val="(%1)"/>
      <w:lvlJc w:val="left"/>
      <w:pPr>
        <w:tabs>
          <w:tab w:val="num" w:pos="709"/>
        </w:tabs>
        <w:ind w:left="709" w:hanging="709"/>
      </w:pPr>
    </w:lvl>
  </w:abstractNum>
  <w:abstractNum w:abstractNumId="5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8"/>
  </w:num>
  <w:num w:numId="2">
    <w:abstractNumId w:val="24"/>
  </w:num>
  <w:num w:numId="3">
    <w:abstractNumId w:val="28"/>
  </w:num>
  <w:num w:numId="4">
    <w:abstractNumId w:val="27"/>
  </w:num>
  <w:num w:numId="5">
    <w:abstractNumId w:val="45"/>
  </w:num>
  <w:num w:numId="6">
    <w:abstractNumId w:val="10"/>
  </w:num>
  <w:num w:numId="7">
    <w:abstractNumId w:val="1"/>
  </w:num>
  <w:num w:numId="8">
    <w:abstractNumId w:val="47"/>
  </w:num>
  <w:num w:numId="9">
    <w:abstractNumId w:val="14"/>
  </w:num>
  <w:num w:numId="10">
    <w:abstractNumId w:val="5"/>
  </w:num>
  <w:num w:numId="11">
    <w:abstractNumId w:val="4"/>
  </w:num>
  <w:num w:numId="12">
    <w:abstractNumId w:val="41"/>
  </w:num>
  <w:num w:numId="13">
    <w:abstractNumId w:val="37"/>
  </w:num>
  <w:num w:numId="14">
    <w:abstractNumId w:val="40"/>
  </w:num>
  <w:num w:numId="15">
    <w:abstractNumId w:val="33"/>
  </w:num>
  <w:num w:numId="16">
    <w:abstractNumId w:val="22"/>
  </w:num>
  <w:num w:numId="17">
    <w:abstractNumId w:val="21"/>
  </w:num>
  <w:num w:numId="18">
    <w:abstractNumId w:val="23"/>
  </w:num>
  <w:num w:numId="19">
    <w:abstractNumId w:val="16"/>
  </w:num>
  <w:num w:numId="20">
    <w:abstractNumId w:val="6"/>
  </w:num>
  <w:num w:numId="21">
    <w:abstractNumId w:val="15"/>
  </w:num>
  <w:num w:numId="22">
    <w:abstractNumId w:val="13"/>
  </w:num>
  <w:num w:numId="23">
    <w:abstractNumId w:val="11"/>
  </w:num>
  <w:num w:numId="24">
    <w:abstractNumId w:val="38"/>
  </w:num>
  <w:num w:numId="25">
    <w:abstractNumId w:val="39"/>
  </w:num>
  <w:num w:numId="26">
    <w:abstractNumId w:val="17"/>
  </w:num>
  <w:num w:numId="27">
    <w:abstractNumId w:val="31"/>
  </w:num>
  <w:num w:numId="28">
    <w:abstractNumId w:val="7"/>
  </w:num>
  <w:num w:numId="29">
    <w:abstractNumId w:val="42"/>
  </w:num>
  <w:num w:numId="30">
    <w:abstractNumId w:val="12"/>
  </w:num>
  <w:num w:numId="31">
    <w:abstractNumId w:val="36"/>
  </w:num>
  <w:num w:numId="32">
    <w:abstractNumId w:val="18"/>
  </w:num>
  <w:num w:numId="33">
    <w:abstractNumId w:val="44"/>
  </w:num>
  <w:num w:numId="34">
    <w:abstractNumId w:val="2"/>
  </w:num>
  <w:num w:numId="35">
    <w:abstractNumId w:val="0"/>
  </w:num>
  <w:num w:numId="36">
    <w:abstractNumId w:val="34"/>
  </w:num>
  <w:num w:numId="37">
    <w:abstractNumId w:val="9"/>
  </w:num>
  <w:num w:numId="38">
    <w:abstractNumId w:val="19"/>
  </w:num>
  <w:num w:numId="39">
    <w:abstractNumId w:val="50"/>
  </w:num>
  <w:num w:numId="40">
    <w:abstractNumId w:val="20"/>
  </w:num>
  <w:num w:numId="41">
    <w:abstractNumId w:val="32"/>
  </w:num>
  <w:num w:numId="42">
    <w:abstractNumId w:val="29"/>
  </w:num>
  <w:num w:numId="43">
    <w:abstractNumId w:val="43"/>
  </w:num>
  <w:num w:numId="44">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6b3075b9-4ca1-4dfa-8c92-3f47a02b191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e la DIRECTIVE DU PARLEMENT EUROPÉEN ET DU CONSEIL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 Adoptée par le Conseil le 20 avril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lang=&quot;fr-be&quot; xml:space=&quot;preserve&quot;&amp;gt;Position du Conseil en première lecture en vue de l'adoption de la &amp;lt;/Run&amp;gt;&amp;lt;Run FontFamily=&quot;Times New Roman&quot;&amp;gt;DIRECTIVE DU PARLEMENT EUROPÉEN ET DU CONSEIL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amp;lt;/Run&amp;gt;&amp;lt;LineBreak /&amp;gt;&amp;lt;Run FontFamily=&quot;Times New Roman&quot; xml:lang=&quot;fr-be&quot;&amp;gt;- Adoptée par le Conseil le 20 avril 201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EB/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D22ED8"/>
    <w:rsid w:val="00003C87"/>
    <w:rsid w:val="00004D53"/>
    <w:rsid w:val="000131C2"/>
    <w:rsid w:val="0001478E"/>
    <w:rsid w:val="00017308"/>
    <w:rsid w:val="0002205F"/>
    <w:rsid w:val="00022F74"/>
    <w:rsid w:val="00023A4D"/>
    <w:rsid w:val="00031EBF"/>
    <w:rsid w:val="00033617"/>
    <w:rsid w:val="000473B3"/>
    <w:rsid w:val="00051C99"/>
    <w:rsid w:val="00052851"/>
    <w:rsid w:val="00057BCF"/>
    <w:rsid w:val="0006277C"/>
    <w:rsid w:val="00076C18"/>
    <w:rsid w:val="000924BE"/>
    <w:rsid w:val="00094A27"/>
    <w:rsid w:val="000A66CC"/>
    <w:rsid w:val="000B14AC"/>
    <w:rsid w:val="000C2562"/>
    <w:rsid w:val="000F0454"/>
    <w:rsid w:val="000F185B"/>
    <w:rsid w:val="000F5378"/>
    <w:rsid w:val="001125B4"/>
    <w:rsid w:val="00120966"/>
    <w:rsid w:val="0012621A"/>
    <w:rsid w:val="001302D5"/>
    <w:rsid w:val="0013313F"/>
    <w:rsid w:val="0013376A"/>
    <w:rsid w:val="00135C61"/>
    <w:rsid w:val="0014698F"/>
    <w:rsid w:val="00155CD5"/>
    <w:rsid w:val="001601B2"/>
    <w:rsid w:val="0016350C"/>
    <w:rsid w:val="00164488"/>
    <w:rsid w:val="00186E95"/>
    <w:rsid w:val="00190EE6"/>
    <w:rsid w:val="00191F32"/>
    <w:rsid w:val="001A6EB7"/>
    <w:rsid w:val="001B627C"/>
    <w:rsid w:val="001C1210"/>
    <w:rsid w:val="001C72E4"/>
    <w:rsid w:val="001D3FE1"/>
    <w:rsid w:val="001E4300"/>
    <w:rsid w:val="001F17B8"/>
    <w:rsid w:val="00204AB4"/>
    <w:rsid w:val="0020665E"/>
    <w:rsid w:val="00224697"/>
    <w:rsid w:val="00224FF1"/>
    <w:rsid w:val="002259F6"/>
    <w:rsid w:val="00226100"/>
    <w:rsid w:val="0022687A"/>
    <w:rsid w:val="00227819"/>
    <w:rsid w:val="00227B32"/>
    <w:rsid w:val="00227CEF"/>
    <w:rsid w:val="00231C85"/>
    <w:rsid w:val="00234EB4"/>
    <w:rsid w:val="002466C8"/>
    <w:rsid w:val="00254A3C"/>
    <w:rsid w:val="00270BF8"/>
    <w:rsid w:val="00274539"/>
    <w:rsid w:val="00284CB7"/>
    <w:rsid w:val="00292E0F"/>
    <w:rsid w:val="00296EF9"/>
    <w:rsid w:val="002A3612"/>
    <w:rsid w:val="002B3A35"/>
    <w:rsid w:val="002C53AA"/>
    <w:rsid w:val="002D1B67"/>
    <w:rsid w:val="002F166E"/>
    <w:rsid w:val="002F471E"/>
    <w:rsid w:val="002F675B"/>
    <w:rsid w:val="00307ED1"/>
    <w:rsid w:val="00310A69"/>
    <w:rsid w:val="00311801"/>
    <w:rsid w:val="00312ACF"/>
    <w:rsid w:val="003152F8"/>
    <w:rsid w:val="00320A3E"/>
    <w:rsid w:val="00322078"/>
    <w:rsid w:val="00324616"/>
    <w:rsid w:val="0032485B"/>
    <w:rsid w:val="00324B55"/>
    <w:rsid w:val="00326C3A"/>
    <w:rsid w:val="00335F5B"/>
    <w:rsid w:val="0035564E"/>
    <w:rsid w:val="0036128D"/>
    <w:rsid w:val="00363934"/>
    <w:rsid w:val="003708EF"/>
    <w:rsid w:val="003A1B24"/>
    <w:rsid w:val="003A6F51"/>
    <w:rsid w:val="003B1EF8"/>
    <w:rsid w:val="003B2AB3"/>
    <w:rsid w:val="003B342F"/>
    <w:rsid w:val="003B5147"/>
    <w:rsid w:val="003C797F"/>
    <w:rsid w:val="003E6DFA"/>
    <w:rsid w:val="003F3F9D"/>
    <w:rsid w:val="00412834"/>
    <w:rsid w:val="004142DD"/>
    <w:rsid w:val="00414DF0"/>
    <w:rsid w:val="004154D9"/>
    <w:rsid w:val="00422A34"/>
    <w:rsid w:val="00425609"/>
    <w:rsid w:val="004325D8"/>
    <w:rsid w:val="00434AFE"/>
    <w:rsid w:val="00444921"/>
    <w:rsid w:val="004522C7"/>
    <w:rsid w:val="00466271"/>
    <w:rsid w:val="004778A3"/>
    <w:rsid w:val="004835D1"/>
    <w:rsid w:val="0049460A"/>
    <w:rsid w:val="00496F07"/>
    <w:rsid w:val="004A12A8"/>
    <w:rsid w:val="004A3518"/>
    <w:rsid w:val="004B2D53"/>
    <w:rsid w:val="004B6E92"/>
    <w:rsid w:val="004C2B55"/>
    <w:rsid w:val="004C683C"/>
    <w:rsid w:val="004D02B4"/>
    <w:rsid w:val="004D52C2"/>
    <w:rsid w:val="004E68CF"/>
    <w:rsid w:val="004F21E0"/>
    <w:rsid w:val="00500C3C"/>
    <w:rsid w:val="00520474"/>
    <w:rsid w:val="00520C25"/>
    <w:rsid w:val="0053161A"/>
    <w:rsid w:val="0055112C"/>
    <w:rsid w:val="00554677"/>
    <w:rsid w:val="00574121"/>
    <w:rsid w:val="0058498C"/>
    <w:rsid w:val="00585F01"/>
    <w:rsid w:val="00591DC3"/>
    <w:rsid w:val="0059344D"/>
    <w:rsid w:val="005946BC"/>
    <w:rsid w:val="005B5398"/>
    <w:rsid w:val="005C06A5"/>
    <w:rsid w:val="005C13D7"/>
    <w:rsid w:val="005C207B"/>
    <w:rsid w:val="005C433C"/>
    <w:rsid w:val="005D1DD2"/>
    <w:rsid w:val="005D21C6"/>
    <w:rsid w:val="005E336B"/>
    <w:rsid w:val="005E3E99"/>
    <w:rsid w:val="005F0533"/>
    <w:rsid w:val="005F59F6"/>
    <w:rsid w:val="005F6599"/>
    <w:rsid w:val="006019B7"/>
    <w:rsid w:val="0060792F"/>
    <w:rsid w:val="00613C50"/>
    <w:rsid w:val="00616910"/>
    <w:rsid w:val="006220FA"/>
    <w:rsid w:val="0062290A"/>
    <w:rsid w:val="00627F00"/>
    <w:rsid w:val="00631E3E"/>
    <w:rsid w:val="0063295C"/>
    <w:rsid w:val="006356F6"/>
    <w:rsid w:val="00644886"/>
    <w:rsid w:val="00650A73"/>
    <w:rsid w:val="00657A24"/>
    <w:rsid w:val="00661C61"/>
    <w:rsid w:val="0066337A"/>
    <w:rsid w:val="00671D32"/>
    <w:rsid w:val="006724E0"/>
    <w:rsid w:val="00684B9C"/>
    <w:rsid w:val="00686D63"/>
    <w:rsid w:val="006873AE"/>
    <w:rsid w:val="006950AA"/>
    <w:rsid w:val="00695110"/>
    <w:rsid w:val="006A00D8"/>
    <w:rsid w:val="006B0DED"/>
    <w:rsid w:val="006C28EC"/>
    <w:rsid w:val="006D2054"/>
    <w:rsid w:val="006D6A0E"/>
    <w:rsid w:val="006F6EE6"/>
    <w:rsid w:val="00704364"/>
    <w:rsid w:val="007121E3"/>
    <w:rsid w:val="0071235D"/>
    <w:rsid w:val="007149C4"/>
    <w:rsid w:val="00720DAB"/>
    <w:rsid w:val="00727BE8"/>
    <w:rsid w:val="00732117"/>
    <w:rsid w:val="00732871"/>
    <w:rsid w:val="007468C2"/>
    <w:rsid w:val="007468D1"/>
    <w:rsid w:val="00746943"/>
    <w:rsid w:val="00765A9A"/>
    <w:rsid w:val="00781F9C"/>
    <w:rsid w:val="0078692C"/>
    <w:rsid w:val="00790F8B"/>
    <w:rsid w:val="007969D9"/>
    <w:rsid w:val="007A0562"/>
    <w:rsid w:val="007A45FD"/>
    <w:rsid w:val="007B02EC"/>
    <w:rsid w:val="007B3FA8"/>
    <w:rsid w:val="007B49A4"/>
    <w:rsid w:val="007B7861"/>
    <w:rsid w:val="007C1792"/>
    <w:rsid w:val="007C2555"/>
    <w:rsid w:val="007D01E8"/>
    <w:rsid w:val="007E1EBF"/>
    <w:rsid w:val="007E794E"/>
    <w:rsid w:val="007F21D3"/>
    <w:rsid w:val="007F5B61"/>
    <w:rsid w:val="007F6869"/>
    <w:rsid w:val="00803E9C"/>
    <w:rsid w:val="00806E6E"/>
    <w:rsid w:val="00811704"/>
    <w:rsid w:val="00816B54"/>
    <w:rsid w:val="008176E6"/>
    <w:rsid w:val="00825FCE"/>
    <w:rsid w:val="008268CB"/>
    <w:rsid w:val="00827839"/>
    <w:rsid w:val="00827BCB"/>
    <w:rsid w:val="00827ED1"/>
    <w:rsid w:val="00832B02"/>
    <w:rsid w:val="00844B9D"/>
    <w:rsid w:val="00870FFE"/>
    <w:rsid w:val="00883A1B"/>
    <w:rsid w:val="008A415D"/>
    <w:rsid w:val="008B3389"/>
    <w:rsid w:val="008C3887"/>
    <w:rsid w:val="008D2FC6"/>
    <w:rsid w:val="008D7683"/>
    <w:rsid w:val="008F6877"/>
    <w:rsid w:val="0090275E"/>
    <w:rsid w:val="009037A1"/>
    <w:rsid w:val="0090512C"/>
    <w:rsid w:val="009117E2"/>
    <w:rsid w:val="00923274"/>
    <w:rsid w:val="00925F25"/>
    <w:rsid w:val="0093309C"/>
    <w:rsid w:val="00940613"/>
    <w:rsid w:val="00942E73"/>
    <w:rsid w:val="00945E02"/>
    <w:rsid w:val="00956DA8"/>
    <w:rsid w:val="009670B6"/>
    <w:rsid w:val="00977D98"/>
    <w:rsid w:val="00980269"/>
    <w:rsid w:val="00980BCF"/>
    <w:rsid w:val="009D23E0"/>
    <w:rsid w:val="009F148B"/>
    <w:rsid w:val="009F2699"/>
    <w:rsid w:val="009F293C"/>
    <w:rsid w:val="00A06AFF"/>
    <w:rsid w:val="00A306DC"/>
    <w:rsid w:val="00A35205"/>
    <w:rsid w:val="00A37F91"/>
    <w:rsid w:val="00A41661"/>
    <w:rsid w:val="00A50883"/>
    <w:rsid w:val="00A51BE1"/>
    <w:rsid w:val="00A540D9"/>
    <w:rsid w:val="00A6250B"/>
    <w:rsid w:val="00A74CFF"/>
    <w:rsid w:val="00A75F1A"/>
    <w:rsid w:val="00A91A3A"/>
    <w:rsid w:val="00A97D4D"/>
    <w:rsid w:val="00AA7F02"/>
    <w:rsid w:val="00AB0E6F"/>
    <w:rsid w:val="00AB2F6A"/>
    <w:rsid w:val="00AB3FC6"/>
    <w:rsid w:val="00AB624E"/>
    <w:rsid w:val="00AB7717"/>
    <w:rsid w:val="00AC0BE5"/>
    <w:rsid w:val="00AC50F5"/>
    <w:rsid w:val="00AD6FF1"/>
    <w:rsid w:val="00AD7BD8"/>
    <w:rsid w:val="00AF23EC"/>
    <w:rsid w:val="00B03F7F"/>
    <w:rsid w:val="00B10652"/>
    <w:rsid w:val="00B206D9"/>
    <w:rsid w:val="00B251E8"/>
    <w:rsid w:val="00B25505"/>
    <w:rsid w:val="00B40452"/>
    <w:rsid w:val="00B40D70"/>
    <w:rsid w:val="00B43B28"/>
    <w:rsid w:val="00B5114F"/>
    <w:rsid w:val="00B62BAA"/>
    <w:rsid w:val="00B6580D"/>
    <w:rsid w:val="00B7164D"/>
    <w:rsid w:val="00B7529D"/>
    <w:rsid w:val="00B772CF"/>
    <w:rsid w:val="00BA71C9"/>
    <w:rsid w:val="00BA79CB"/>
    <w:rsid w:val="00BB28E7"/>
    <w:rsid w:val="00BB3064"/>
    <w:rsid w:val="00BC1074"/>
    <w:rsid w:val="00BD30FF"/>
    <w:rsid w:val="00BD5E59"/>
    <w:rsid w:val="00BF1E34"/>
    <w:rsid w:val="00BF4B4B"/>
    <w:rsid w:val="00BF5924"/>
    <w:rsid w:val="00C153C8"/>
    <w:rsid w:val="00C20959"/>
    <w:rsid w:val="00C27018"/>
    <w:rsid w:val="00C41061"/>
    <w:rsid w:val="00C43E43"/>
    <w:rsid w:val="00C6163F"/>
    <w:rsid w:val="00C63007"/>
    <w:rsid w:val="00C6391C"/>
    <w:rsid w:val="00C67FEC"/>
    <w:rsid w:val="00C73A6E"/>
    <w:rsid w:val="00C81C06"/>
    <w:rsid w:val="00C87A20"/>
    <w:rsid w:val="00C91F3C"/>
    <w:rsid w:val="00C9294A"/>
    <w:rsid w:val="00C97A6F"/>
    <w:rsid w:val="00CA7812"/>
    <w:rsid w:val="00CB08DD"/>
    <w:rsid w:val="00CB2C1D"/>
    <w:rsid w:val="00CB373B"/>
    <w:rsid w:val="00CB5F8B"/>
    <w:rsid w:val="00CC5BCB"/>
    <w:rsid w:val="00CD46DE"/>
    <w:rsid w:val="00CD5C39"/>
    <w:rsid w:val="00CF5D96"/>
    <w:rsid w:val="00CF76D0"/>
    <w:rsid w:val="00D02A5F"/>
    <w:rsid w:val="00D21EC4"/>
    <w:rsid w:val="00D22ED8"/>
    <w:rsid w:val="00D231B1"/>
    <w:rsid w:val="00D3330A"/>
    <w:rsid w:val="00D436FE"/>
    <w:rsid w:val="00D4606A"/>
    <w:rsid w:val="00D46885"/>
    <w:rsid w:val="00D46BA0"/>
    <w:rsid w:val="00D47313"/>
    <w:rsid w:val="00D51DE1"/>
    <w:rsid w:val="00D557D5"/>
    <w:rsid w:val="00D624B4"/>
    <w:rsid w:val="00D760C6"/>
    <w:rsid w:val="00D8167F"/>
    <w:rsid w:val="00D91432"/>
    <w:rsid w:val="00D91B4E"/>
    <w:rsid w:val="00D96757"/>
    <w:rsid w:val="00D971EE"/>
    <w:rsid w:val="00DB2DA4"/>
    <w:rsid w:val="00DB4F1D"/>
    <w:rsid w:val="00DC09DC"/>
    <w:rsid w:val="00DC2C36"/>
    <w:rsid w:val="00DC3FC0"/>
    <w:rsid w:val="00DD1ACC"/>
    <w:rsid w:val="00DE3316"/>
    <w:rsid w:val="00DE72D9"/>
    <w:rsid w:val="00DF16FD"/>
    <w:rsid w:val="00DF2E63"/>
    <w:rsid w:val="00DF2FCD"/>
    <w:rsid w:val="00E00B77"/>
    <w:rsid w:val="00E359B3"/>
    <w:rsid w:val="00E4575D"/>
    <w:rsid w:val="00E53EC0"/>
    <w:rsid w:val="00E56C6F"/>
    <w:rsid w:val="00E62AEC"/>
    <w:rsid w:val="00E66A73"/>
    <w:rsid w:val="00E70769"/>
    <w:rsid w:val="00E70EB6"/>
    <w:rsid w:val="00E71AE7"/>
    <w:rsid w:val="00E71F63"/>
    <w:rsid w:val="00E735D7"/>
    <w:rsid w:val="00E74E87"/>
    <w:rsid w:val="00E85D1B"/>
    <w:rsid w:val="00E90B76"/>
    <w:rsid w:val="00E90C75"/>
    <w:rsid w:val="00EA2ACE"/>
    <w:rsid w:val="00EC2163"/>
    <w:rsid w:val="00EC4E58"/>
    <w:rsid w:val="00EC55C7"/>
    <w:rsid w:val="00ED21E8"/>
    <w:rsid w:val="00EE26A1"/>
    <w:rsid w:val="00F00614"/>
    <w:rsid w:val="00F01C2A"/>
    <w:rsid w:val="00F05C02"/>
    <w:rsid w:val="00F10486"/>
    <w:rsid w:val="00F10691"/>
    <w:rsid w:val="00F13223"/>
    <w:rsid w:val="00F41390"/>
    <w:rsid w:val="00F55620"/>
    <w:rsid w:val="00F56487"/>
    <w:rsid w:val="00F82AF5"/>
    <w:rsid w:val="00FA3F29"/>
    <w:rsid w:val="00FA3F42"/>
    <w:rsid w:val="00FA5F77"/>
    <w:rsid w:val="00FC0A38"/>
    <w:rsid w:val="00FD6AEE"/>
    <w:rsid w:val="00FE4E32"/>
    <w:rsid w:val="00FE5DFA"/>
    <w:rsid w:val="00FE783A"/>
    <w:rsid w:val="00FF0A0D"/>
    <w:rsid w:val="00FF192A"/>
    <w:rsid w:val="00FF50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7E1EBF"/>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D22ED8"/>
    <w:pPr>
      <w:spacing w:before="0" w:after="600" w:line="240" w:lineRule="auto"/>
      <w:jc w:val="center"/>
    </w:pPr>
    <w:rPr>
      <w:b/>
      <w:caps/>
      <w:lang w:eastAsia="de-DE"/>
    </w:rPr>
  </w:style>
  <w:style w:type="paragraph" w:customStyle="1" w:styleId="Rfrenceinterne">
    <w:name w:val="Référence interne"/>
    <w:basedOn w:val="Normal"/>
    <w:next w:val="Normal"/>
    <w:rsid w:val="00D22ED8"/>
    <w:pPr>
      <w:spacing w:before="0" w:after="600" w:line="240" w:lineRule="auto"/>
      <w:jc w:val="center"/>
    </w:pPr>
    <w:rPr>
      <w:b/>
      <w:lang w:eastAsia="de-DE"/>
    </w:rPr>
  </w:style>
  <w:style w:type="paragraph" w:customStyle="1" w:styleId="HeaderCouncilLarge">
    <w:name w:val="Header Council Large"/>
    <w:basedOn w:val="Normal"/>
    <w:link w:val="HeaderCouncilLargeChar"/>
    <w:rsid w:val="00D22ED8"/>
    <w:pPr>
      <w:spacing w:before="0" w:after="440"/>
    </w:pPr>
    <w:rPr>
      <w:sz w:val="2"/>
    </w:rPr>
  </w:style>
  <w:style w:type="character" w:customStyle="1" w:styleId="LignefinalChar">
    <w:name w:val="Ligne final Char"/>
    <w:basedOn w:val="DefaultParagraphFont"/>
    <w:link w:val="Lignefinal"/>
    <w:rsid w:val="00D22ED8"/>
    <w:rPr>
      <w:b/>
      <w:sz w:val="24"/>
      <w:szCs w:val="24"/>
      <w:lang w:val="fr-FR" w:eastAsia="en-US"/>
    </w:rPr>
  </w:style>
  <w:style w:type="character" w:customStyle="1" w:styleId="HeaderCouncilLargeChar">
    <w:name w:val="Header Council Large Char"/>
    <w:basedOn w:val="LignefinalChar"/>
    <w:link w:val="HeaderCouncilLarge"/>
    <w:rsid w:val="00D22ED8"/>
    <w:rPr>
      <w:b w:val="0"/>
      <w:sz w:val="2"/>
      <w:szCs w:val="24"/>
      <w:lang w:val="fr-FR" w:eastAsia="en-US"/>
    </w:rPr>
  </w:style>
  <w:style w:type="paragraph" w:customStyle="1" w:styleId="FooterText">
    <w:name w:val="Footer Text"/>
    <w:basedOn w:val="Normal"/>
    <w:rsid w:val="00D22ED8"/>
    <w:pPr>
      <w:spacing w:before="0" w:after="0" w:line="240" w:lineRule="auto"/>
    </w:pPr>
    <w:rPr>
      <w:lang w:val="en-GB"/>
    </w:rPr>
  </w:style>
  <w:style w:type="paragraph" w:customStyle="1" w:styleId="NormalJustified">
    <w:name w:val="Normal Justified"/>
    <w:basedOn w:val="Normal"/>
    <w:rsid w:val="001F17B8"/>
    <w:pPr>
      <w:spacing w:before="200"/>
      <w:jc w:val="both"/>
    </w:pPr>
    <w:rPr>
      <w:lang w:eastAsia="fr-FR" w:bidi="fr-FR"/>
    </w:rPr>
  </w:style>
  <w:style w:type="paragraph" w:customStyle="1" w:styleId="FinalLine">
    <w:name w:val="Final Line"/>
    <w:basedOn w:val="Normal"/>
    <w:next w:val="Normal"/>
    <w:rsid w:val="001F17B8"/>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1F17B8"/>
    <w:pPr>
      <w:pBdr>
        <w:bottom w:val="single" w:sz="4" w:space="0" w:color="000000"/>
      </w:pBdr>
      <w:spacing w:before="360"/>
      <w:ind w:left="5868" w:right="5868"/>
      <w:jc w:val="center"/>
    </w:pPr>
    <w:rPr>
      <w:b/>
      <w:lang w:eastAsia="fr-FR" w:bidi="fr-FR"/>
    </w:rPr>
  </w:style>
  <w:style w:type="paragraph" w:customStyle="1" w:styleId="Text5">
    <w:name w:val="Text 5"/>
    <w:basedOn w:val="Normal"/>
    <w:rsid w:val="001F17B8"/>
    <w:pPr>
      <w:ind w:left="2835"/>
      <w:outlineLvl w:val="4"/>
    </w:pPr>
    <w:rPr>
      <w:lang w:eastAsia="fr-FR" w:bidi="fr-FR"/>
    </w:rPr>
  </w:style>
  <w:style w:type="paragraph" w:customStyle="1" w:styleId="Text6">
    <w:name w:val="Text 6"/>
    <w:basedOn w:val="Normal"/>
    <w:rsid w:val="001F17B8"/>
    <w:pPr>
      <w:ind w:left="3402"/>
      <w:outlineLvl w:val="5"/>
    </w:pPr>
    <w:rPr>
      <w:lang w:eastAsia="fr-FR" w:bidi="fr-FR"/>
    </w:rPr>
  </w:style>
  <w:style w:type="paragraph" w:customStyle="1" w:styleId="PointManual">
    <w:name w:val="Point Manual"/>
    <w:basedOn w:val="Normal"/>
    <w:rsid w:val="001F17B8"/>
    <w:pPr>
      <w:ind w:left="567" w:hanging="567"/>
    </w:pPr>
    <w:rPr>
      <w:lang w:eastAsia="fr-FR" w:bidi="fr-FR"/>
    </w:rPr>
  </w:style>
  <w:style w:type="paragraph" w:customStyle="1" w:styleId="PointManual1">
    <w:name w:val="Point Manual (1)"/>
    <w:basedOn w:val="Normal"/>
    <w:rsid w:val="001F17B8"/>
    <w:pPr>
      <w:ind w:left="1134" w:hanging="567"/>
      <w:outlineLvl w:val="0"/>
    </w:pPr>
    <w:rPr>
      <w:lang w:eastAsia="fr-FR" w:bidi="fr-FR"/>
    </w:rPr>
  </w:style>
  <w:style w:type="paragraph" w:customStyle="1" w:styleId="PointManual2">
    <w:name w:val="Point Manual (2)"/>
    <w:basedOn w:val="Normal"/>
    <w:rsid w:val="001F17B8"/>
    <w:pPr>
      <w:ind w:left="1701" w:hanging="567"/>
      <w:outlineLvl w:val="1"/>
    </w:pPr>
    <w:rPr>
      <w:lang w:eastAsia="fr-FR" w:bidi="fr-FR"/>
    </w:rPr>
  </w:style>
  <w:style w:type="paragraph" w:customStyle="1" w:styleId="PointManual3">
    <w:name w:val="Point Manual (3)"/>
    <w:basedOn w:val="Normal"/>
    <w:rsid w:val="001F17B8"/>
    <w:pPr>
      <w:ind w:left="2268" w:hanging="567"/>
      <w:outlineLvl w:val="2"/>
    </w:pPr>
    <w:rPr>
      <w:lang w:eastAsia="fr-FR" w:bidi="fr-FR"/>
    </w:rPr>
  </w:style>
  <w:style w:type="paragraph" w:customStyle="1" w:styleId="PointManual4">
    <w:name w:val="Point Manual (4)"/>
    <w:basedOn w:val="Normal"/>
    <w:rsid w:val="001F17B8"/>
    <w:pPr>
      <w:ind w:left="2835" w:hanging="567"/>
      <w:outlineLvl w:val="3"/>
    </w:pPr>
    <w:rPr>
      <w:lang w:eastAsia="fr-FR" w:bidi="fr-FR"/>
    </w:rPr>
  </w:style>
  <w:style w:type="paragraph" w:customStyle="1" w:styleId="PointDoubleManual">
    <w:name w:val="Point Double Manual"/>
    <w:basedOn w:val="Normal"/>
    <w:rsid w:val="001F17B8"/>
    <w:pPr>
      <w:tabs>
        <w:tab w:val="left" w:pos="567"/>
      </w:tabs>
      <w:ind w:left="1134" w:hanging="1134"/>
    </w:pPr>
    <w:rPr>
      <w:lang w:eastAsia="fr-FR" w:bidi="fr-FR"/>
    </w:rPr>
  </w:style>
  <w:style w:type="paragraph" w:customStyle="1" w:styleId="PointDoubleManual1">
    <w:name w:val="Point Double Manual (1)"/>
    <w:basedOn w:val="Normal"/>
    <w:rsid w:val="001F17B8"/>
    <w:pPr>
      <w:tabs>
        <w:tab w:val="left" w:pos="1134"/>
      </w:tabs>
      <w:ind w:left="1701" w:hanging="1134"/>
      <w:outlineLvl w:val="0"/>
    </w:pPr>
    <w:rPr>
      <w:lang w:eastAsia="fr-FR" w:bidi="fr-FR"/>
    </w:rPr>
  </w:style>
  <w:style w:type="paragraph" w:customStyle="1" w:styleId="PointDoubleManual2">
    <w:name w:val="Point Double Manual (2)"/>
    <w:basedOn w:val="Normal"/>
    <w:rsid w:val="001F17B8"/>
    <w:pPr>
      <w:tabs>
        <w:tab w:val="left" w:pos="1701"/>
      </w:tabs>
      <w:ind w:left="2268" w:hanging="1134"/>
      <w:outlineLvl w:val="1"/>
    </w:pPr>
    <w:rPr>
      <w:lang w:eastAsia="fr-FR" w:bidi="fr-FR"/>
    </w:rPr>
  </w:style>
  <w:style w:type="paragraph" w:customStyle="1" w:styleId="PointDoubleManual3">
    <w:name w:val="Point Double Manual (3)"/>
    <w:basedOn w:val="Normal"/>
    <w:rsid w:val="001F17B8"/>
    <w:pPr>
      <w:tabs>
        <w:tab w:val="left" w:pos="2268"/>
      </w:tabs>
      <w:ind w:left="2835" w:hanging="1134"/>
      <w:outlineLvl w:val="2"/>
    </w:pPr>
    <w:rPr>
      <w:lang w:eastAsia="fr-FR" w:bidi="fr-FR"/>
    </w:rPr>
  </w:style>
  <w:style w:type="paragraph" w:customStyle="1" w:styleId="PointDoubleManual4">
    <w:name w:val="Point Double Manual (4)"/>
    <w:basedOn w:val="Normal"/>
    <w:rsid w:val="001F17B8"/>
    <w:pPr>
      <w:tabs>
        <w:tab w:val="left" w:pos="2835"/>
      </w:tabs>
      <w:ind w:left="3402" w:hanging="1134"/>
      <w:outlineLvl w:val="3"/>
    </w:pPr>
    <w:rPr>
      <w:lang w:eastAsia="fr-FR" w:bidi="fr-FR"/>
    </w:rPr>
  </w:style>
  <w:style w:type="paragraph" w:customStyle="1" w:styleId="Pointabc">
    <w:name w:val="Point abc"/>
    <w:basedOn w:val="Normal"/>
    <w:rsid w:val="001F17B8"/>
    <w:pPr>
      <w:numPr>
        <w:ilvl w:val="1"/>
        <w:numId w:val="26"/>
      </w:numPr>
    </w:pPr>
    <w:rPr>
      <w:lang w:eastAsia="fr-FR" w:bidi="fr-FR"/>
    </w:rPr>
  </w:style>
  <w:style w:type="paragraph" w:customStyle="1" w:styleId="Pointabc1">
    <w:name w:val="Point abc (1)"/>
    <w:basedOn w:val="Normal"/>
    <w:rsid w:val="001F17B8"/>
    <w:pPr>
      <w:numPr>
        <w:ilvl w:val="3"/>
        <w:numId w:val="26"/>
      </w:numPr>
      <w:outlineLvl w:val="0"/>
    </w:pPr>
    <w:rPr>
      <w:lang w:eastAsia="fr-FR" w:bidi="fr-FR"/>
    </w:rPr>
  </w:style>
  <w:style w:type="paragraph" w:customStyle="1" w:styleId="Pointabc2">
    <w:name w:val="Point abc (2)"/>
    <w:basedOn w:val="Normal"/>
    <w:rsid w:val="001F17B8"/>
    <w:pPr>
      <w:numPr>
        <w:ilvl w:val="5"/>
        <w:numId w:val="26"/>
      </w:numPr>
      <w:outlineLvl w:val="1"/>
    </w:pPr>
    <w:rPr>
      <w:lang w:eastAsia="fr-FR" w:bidi="fr-FR"/>
    </w:rPr>
  </w:style>
  <w:style w:type="paragraph" w:customStyle="1" w:styleId="Pointabc3">
    <w:name w:val="Point abc (3)"/>
    <w:basedOn w:val="Normal"/>
    <w:rsid w:val="001F17B8"/>
    <w:pPr>
      <w:numPr>
        <w:ilvl w:val="7"/>
        <w:numId w:val="26"/>
      </w:numPr>
      <w:outlineLvl w:val="2"/>
    </w:pPr>
    <w:rPr>
      <w:lang w:eastAsia="fr-FR" w:bidi="fr-FR"/>
    </w:rPr>
  </w:style>
  <w:style w:type="paragraph" w:customStyle="1" w:styleId="Pointabc4">
    <w:name w:val="Point abc (4)"/>
    <w:basedOn w:val="Normal"/>
    <w:rsid w:val="001F17B8"/>
    <w:pPr>
      <w:numPr>
        <w:ilvl w:val="8"/>
        <w:numId w:val="26"/>
      </w:numPr>
      <w:outlineLvl w:val="3"/>
    </w:pPr>
    <w:rPr>
      <w:lang w:eastAsia="fr-FR" w:bidi="fr-FR"/>
    </w:rPr>
  </w:style>
  <w:style w:type="paragraph" w:customStyle="1" w:styleId="Point123">
    <w:name w:val="Point 123"/>
    <w:basedOn w:val="Normal"/>
    <w:rsid w:val="001F17B8"/>
    <w:pPr>
      <w:numPr>
        <w:numId w:val="26"/>
      </w:numPr>
    </w:pPr>
    <w:rPr>
      <w:lang w:eastAsia="fr-FR" w:bidi="fr-FR"/>
    </w:rPr>
  </w:style>
  <w:style w:type="paragraph" w:customStyle="1" w:styleId="Point1231">
    <w:name w:val="Point 123 (1)"/>
    <w:basedOn w:val="Normal"/>
    <w:rsid w:val="001F17B8"/>
    <w:pPr>
      <w:numPr>
        <w:ilvl w:val="2"/>
        <w:numId w:val="26"/>
      </w:numPr>
      <w:outlineLvl w:val="0"/>
    </w:pPr>
    <w:rPr>
      <w:lang w:eastAsia="fr-FR" w:bidi="fr-FR"/>
    </w:rPr>
  </w:style>
  <w:style w:type="paragraph" w:customStyle="1" w:styleId="Point1232">
    <w:name w:val="Point 123 (2)"/>
    <w:basedOn w:val="Normal"/>
    <w:rsid w:val="001F17B8"/>
    <w:pPr>
      <w:numPr>
        <w:ilvl w:val="4"/>
        <w:numId w:val="26"/>
      </w:numPr>
      <w:outlineLvl w:val="1"/>
    </w:pPr>
    <w:rPr>
      <w:lang w:eastAsia="fr-FR" w:bidi="fr-FR"/>
    </w:rPr>
  </w:style>
  <w:style w:type="paragraph" w:customStyle="1" w:styleId="Point1233">
    <w:name w:val="Point 123 (3)"/>
    <w:basedOn w:val="Normal"/>
    <w:rsid w:val="001F17B8"/>
    <w:pPr>
      <w:numPr>
        <w:ilvl w:val="6"/>
        <w:numId w:val="26"/>
      </w:numPr>
      <w:outlineLvl w:val="2"/>
    </w:pPr>
    <w:rPr>
      <w:lang w:eastAsia="fr-FR" w:bidi="fr-FR"/>
    </w:rPr>
  </w:style>
  <w:style w:type="paragraph" w:customStyle="1" w:styleId="Pointivx">
    <w:name w:val="Point ivx"/>
    <w:basedOn w:val="Normal"/>
    <w:rsid w:val="001F17B8"/>
    <w:pPr>
      <w:numPr>
        <w:numId w:val="27"/>
      </w:numPr>
    </w:pPr>
    <w:rPr>
      <w:lang w:eastAsia="fr-FR" w:bidi="fr-FR"/>
    </w:rPr>
  </w:style>
  <w:style w:type="paragraph" w:customStyle="1" w:styleId="Pointivx1">
    <w:name w:val="Point ivx (1)"/>
    <w:basedOn w:val="Normal"/>
    <w:rsid w:val="001F17B8"/>
    <w:pPr>
      <w:numPr>
        <w:ilvl w:val="1"/>
        <w:numId w:val="27"/>
      </w:numPr>
      <w:outlineLvl w:val="0"/>
    </w:pPr>
    <w:rPr>
      <w:lang w:eastAsia="fr-FR" w:bidi="fr-FR"/>
    </w:rPr>
  </w:style>
  <w:style w:type="paragraph" w:customStyle="1" w:styleId="Pointivx2">
    <w:name w:val="Point ivx (2)"/>
    <w:basedOn w:val="Normal"/>
    <w:rsid w:val="001F17B8"/>
    <w:pPr>
      <w:numPr>
        <w:ilvl w:val="2"/>
        <w:numId w:val="27"/>
      </w:numPr>
      <w:outlineLvl w:val="1"/>
    </w:pPr>
    <w:rPr>
      <w:lang w:eastAsia="fr-FR" w:bidi="fr-FR"/>
    </w:rPr>
  </w:style>
  <w:style w:type="paragraph" w:customStyle="1" w:styleId="Pointivx3">
    <w:name w:val="Point ivx (3)"/>
    <w:basedOn w:val="Normal"/>
    <w:rsid w:val="001F17B8"/>
    <w:pPr>
      <w:numPr>
        <w:ilvl w:val="3"/>
        <w:numId w:val="27"/>
      </w:numPr>
      <w:outlineLvl w:val="2"/>
    </w:pPr>
    <w:rPr>
      <w:lang w:eastAsia="fr-FR" w:bidi="fr-FR"/>
    </w:rPr>
  </w:style>
  <w:style w:type="paragraph" w:customStyle="1" w:styleId="Pointivx4">
    <w:name w:val="Point ivx (4)"/>
    <w:basedOn w:val="Normal"/>
    <w:rsid w:val="001F17B8"/>
    <w:pPr>
      <w:numPr>
        <w:ilvl w:val="4"/>
        <w:numId w:val="27"/>
      </w:numPr>
      <w:outlineLvl w:val="3"/>
    </w:pPr>
    <w:rPr>
      <w:lang w:eastAsia="fr-FR" w:bidi="fr-FR"/>
    </w:rPr>
  </w:style>
  <w:style w:type="paragraph" w:customStyle="1" w:styleId="Bullet">
    <w:name w:val="Bullet"/>
    <w:basedOn w:val="Normal"/>
    <w:rsid w:val="001F17B8"/>
    <w:pPr>
      <w:numPr>
        <w:numId w:val="25"/>
      </w:numPr>
    </w:pPr>
    <w:rPr>
      <w:lang w:eastAsia="fr-FR" w:bidi="fr-FR"/>
    </w:rPr>
  </w:style>
  <w:style w:type="paragraph" w:customStyle="1" w:styleId="Dash">
    <w:name w:val="Dash"/>
    <w:basedOn w:val="Normal"/>
    <w:rsid w:val="001F17B8"/>
    <w:pPr>
      <w:numPr>
        <w:numId w:val="15"/>
      </w:numPr>
    </w:pPr>
    <w:rPr>
      <w:lang w:eastAsia="fr-FR" w:bidi="fr-FR"/>
    </w:rPr>
  </w:style>
  <w:style w:type="paragraph" w:customStyle="1" w:styleId="Dash1">
    <w:name w:val="Dash 1"/>
    <w:basedOn w:val="Normal"/>
    <w:rsid w:val="001F17B8"/>
    <w:pPr>
      <w:numPr>
        <w:numId w:val="16"/>
      </w:numPr>
      <w:outlineLvl w:val="0"/>
    </w:pPr>
    <w:rPr>
      <w:lang w:eastAsia="fr-FR" w:bidi="fr-FR"/>
    </w:rPr>
  </w:style>
  <w:style w:type="paragraph" w:customStyle="1" w:styleId="Dash2">
    <w:name w:val="Dash 2"/>
    <w:basedOn w:val="Normal"/>
    <w:rsid w:val="001F17B8"/>
    <w:pPr>
      <w:numPr>
        <w:numId w:val="17"/>
      </w:numPr>
      <w:outlineLvl w:val="1"/>
    </w:pPr>
    <w:rPr>
      <w:lang w:eastAsia="fr-FR" w:bidi="fr-FR"/>
    </w:rPr>
  </w:style>
  <w:style w:type="paragraph" w:customStyle="1" w:styleId="Dash3">
    <w:name w:val="Dash 3"/>
    <w:basedOn w:val="Normal"/>
    <w:rsid w:val="001F17B8"/>
    <w:pPr>
      <w:numPr>
        <w:numId w:val="18"/>
      </w:numPr>
      <w:outlineLvl w:val="2"/>
    </w:pPr>
    <w:rPr>
      <w:lang w:eastAsia="fr-FR" w:bidi="fr-FR"/>
    </w:rPr>
  </w:style>
  <w:style w:type="paragraph" w:customStyle="1" w:styleId="Dash4">
    <w:name w:val="Dash 4"/>
    <w:basedOn w:val="Normal"/>
    <w:rsid w:val="001F17B8"/>
    <w:pPr>
      <w:numPr>
        <w:numId w:val="19"/>
      </w:numPr>
      <w:outlineLvl w:val="3"/>
    </w:pPr>
    <w:rPr>
      <w:lang w:eastAsia="fr-FR" w:bidi="fr-FR"/>
    </w:rPr>
  </w:style>
  <w:style w:type="paragraph" w:customStyle="1" w:styleId="DashEqual">
    <w:name w:val="Dash Equal"/>
    <w:basedOn w:val="Dash"/>
    <w:rsid w:val="001F17B8"/>
    <w:pPr>
      <w:numPr>
        <w:numId w:val="20"/>
      </w:numPr>
    </w:pPr>
  </w:style>
  <w:style w:type="paragraph" w:customStyle="1" w:styleId="DashEqual1">
    <w:name w:val="Dash Equal 1"/>
    <w:basedOn w:val="Dash1"/>
    <w:rsid w:val="001F17B8"/>
    <w:pPr>
      <w:numPr>
        <w:numId w:val="21"/>
      </w:numPr>
    </w:pPr>
  </w:style>
  <w:style w:type="paragraph" w:customStyle="1" w:styleId="DashEqual2">
    <w:name w:val="Dash Equal 2"/>
    <w:basedOn w:val="Dash2"/>
    <w:rsid w:val="001F17B8"/>
    <w:pPr>
      <w:numPr>
        <w:numId w:val="22"/>
      </w:numPr>
    </w:pPr>
  </w:style>
  <w:style w:type="paragraph" w:customStyle="1" w:styleId="DashEqual3">
    <w:name w:val="Dash Equal 3"/>
    <w:basedOn w:val="Dash3"/>
    <w:rsid w:val="001F17B8"/>
    <w:pPr>
      <w:numPr>
        <w:numId w:val="23"/>
      </w:numPr>
    </w:pPr>
  </w:style>
  <w:style w:type="paragraph" w:customStyle="1" w:styleId="DashEqual4">
    <w:name w:val="Dash Equal 4"/>
    <w:basedOn w:val="Dash4"/>
    <w:rsid w:val="001F17B8"/>
    <w:pPr>
      <w:numPr>
        <w:numId w:val="24"/>
      </w:numPr>
    </w:pPr>
  </w:style>
  <w:style w:type="paragraph" w:customStyle="1" w:styleId="HeadingLeft">
    <w:name w:val="Heading Left"/>
    <w:basedOn w:val="Normal"/>
    <w:next w:val="Normal"/>
    <w:rsid w:val="001F17B8"/>
    <w:pPr>
      <w:spacing w:before="360"/>
      <w:outlineLvl w:val="0"/>
    </w:pPr>
    <w:rPr>
      <w:b/>
      <w:caps/>
      <w:u w:val="single"/>
      <w:lang w:eastAsia="fr-FR" w:bidi="fr-FR"/>
    </w:rPr>
  </w:style>
  <w:style w:type="paragraph" w:customStyle="1" w:styleId="HeadingIVX">
    <w:name w:val="Heading IVX"/>
    <w:basedOn w:val="HeadingLeft"/>
    <w:next w:val="Normal"/>
    <w:rsid w:val="001F17B8"/>
    <w:pPr>
      <w:numPr>
        <w:numId w:val="30"/>
      </w:numPr>
    </w:pPr>
  </w:style>
  <w:style w:type="paragraph" w:customStyle="1" w:styleId="Heading123">
    <w:name w:val="Heading 123"/>
    <w:basedOn w:val="HeadingLeft"/>
    <w:next w:val="Normal"/>
    <w:rsid w:val="001F17B8"/>
    <w:pPr>
      <w:numPr>
        <w:numId w:val="29"/>
      </w:numPr>
    </w:pPr>
  </w:style>
  <w:style w:type="paragraph" w:customStyle="1" w:styleId="HeadingABC">
    <w:name w:val="Heading ABC"/>
    <w:basedOn w:val="HeadingLeft"/>
    <w:next w:val="Normal"/>
    <w:rsid w:val="001F17B8"/>
    <w:pPr>
      <w:numPr>
        <w:numId w:val="28"/>
      </w:numPr>
    </w:pPr>
  </w:style>
  <w:style w:type="paragraph" w:customStyle="1" w:styleId="HeadingCentered">
    <w:name w:val="Heading Centered"/>
    <w:basedOn w:val="HeadingLeft"/>
    <w:next w:val="Normal"/>
    <w:rsid w:val="001F17B8"/>
    <w:pPr>
      <w:jc w:val="center"/>
    </w:pPr>
  </w:style>
  <w:style w:type="paragraph" w:customStyle="1" w:styleId="Amendment">
    <w:name w:val="Amendment"/>
    <w:basedOn w:val="Normal"/>
    <w:next w:val="Normal"/>
    <w:rsid w:val="001F17B8"/>
    <w:rPr>
      <w:i/>
      <w:u w:val="single"/>
      <w:lang w:eastAsia="fr-FR" w:bidi="fr-FR"/>
    </w:rPr>
  </w:style>
  <w:style w:type="paragraph" w:customStyle="1" w:styleId="AmendmentList">
    <w:name w:val="Amendment List"/>
    <w:basedOn w:val="Normal"/>
    <w:rsid w:val="001F17B8"/>
    <w:pPr>
      <w:ind w:left="2268" w:hanging="2268"/>
    </w:pPr>
    <w:rPr>
      <w:lang w:eastAsia="fr-FR" w:bidi="fr-FR"/>
    </w:rPr>
  </w:style>
  <w:style w:type="paragraph" w:customStyle="1" w:styleId="ReplyRE">
    <w:name w:val="Reply RE"/>
    <w:basedOn w:val="Normal"/>
    <w:next w:val="Normal"/>
    <w:rsid w:val="001F17B8"/>
    <w:pPr>
      <w:spacing w:after="480" w:line="240" w:lineRule="auto"/>
      <w:contextualSpacing/>
    </w:pPr>
    <w:rPr>
      <w:lang w:eastAsia="fr-FR" w:bidi="fr-FR"/>
    </w:rPr>
  </w:style>
  <w:style w:type="paragraph" w:customStyle="1" w:styleId="ReplyBold">
    <w:name w:val="Reply Bold"/>
    <w:basedOn w:val="ReplyRE"/>
    <w:next w:val="Normal"/>
    <w:rsid w:val="001F17B8"/>
    <w:rPr>
      <w:b/>
    </w:rPr>
  </w:style>
  <w:style w:type="paragraph" w:customStyle="1" w:styleId="Annex">
    <w:name w:val="Annex"/>
    <w:basedOn w:val="Normal"/>
    <w:next w:val="Normal"/>
    <w:rsid w:val="001F17B8"/>
    <w:pPr>
      <w:jc w:val="right"/>
    </w:pPr>
    <w:rPr>
      <w:b/>
      <w:u w:val="single"/>
      <w:lang w:eastAsia="fr-FR" w:bidi="fr-FR"/>
    </w:rPr>
  </w:style>
  <w:style w:type="paragraph" w:customStyle="1" w:styleId="Sign">
    <w:name w:val="Sign"/>
    <w:basedOn w:val="Normal"/>
    <w:rsid w:val="001F17B8"/>
    <w:pPr>
      <w:tabs>
        <w:tab w:val="center" w:pos="7087"/>
      </w:tabs>
    </w:pPr>
    <w:rPr>
      <w:lang w:eastAsia="fr-FR" w:bidi="fr-FR"/>
    </w:rPr>
  </w:style>
  <w:style w:type="paragraph" w:customStyle="1" w:styleId="NotDeclassified">
    <w:name w:val="Not Declassified"/>
    <w:basedOn w:val="Normal"/>
    <w:qFormat/>
    <w:rsid w:val="001F17B8"/>
    <w:rPr>
      <w:b/>
      <w:bCs/>
      <w:bdr w:val="single" w:sz="4" w:space="0" w:color="auto"/>
      <w:shd w:val="solid" w:color="CCCCCC" w:fill="CCCCCC"/>
      <w:lang w:eastAsia="fr-FR" w:bidi="fr-FR"/>
    </w:rPr>
  </w:style>
  <w:style w:type="character" w:customStyle="1" w:styleId="TechnicalBlockChar">
    <w:name w:val="Technical Block Char"/>
    <w:link w:val="TechnicalBlock"/>
    <w:rsid w:val="001F17B8"/>
    <w:rPr>
      <w:sz w:val="24"/>
      <w:szCs w:val="24"/>
      <w:lang w:val="fr-FR" w:eastAsia="en-US"/>
    </w:rPr>
  </w:style>
  <w:style w:type="character" w:customStyle="1" w:styleId="FootnoteTextChar">
    <w:name w:val="Footnote Text Char"/>
    <w:link w:val="FootnoteText"/>
    <w:rsid w:val="001F17B8"/>
    <w:rPr>
      <w:sz w:val="24"/>
      <w:lang w:val="fr-FR" w:eastAsia="en-US"/>
    </w:rPr>
  </w:style>
  <w:style w:type="paragraph" w:customStyle="1" w:styleId="Normal6">
    <w:name w:val="Normal6"/>
    <w:basedOn w:val="Normal"/>
    <w:link w:val="Normal6Char"/>
    <w:rsid w:val="001F17B8"/>
    <w:pPr>
      <w:widowControl w:val="0"/>
      <w:spacing w:before="0" w:line="240" w:lineRule="auto"/>
    </w:pPr>
    <w:rPr>
      <w:szCs w:val="20"/>
      <w:lang w:eastAsia="fr-FR" w:bidi="fr-FR"/>
    </w:rPr>
  </w:style>
  <w:style w:type="character" w:customStyle="1" w:styleId="Normal6Char">
    <w:name w:val="Normal6 Char"/>
    <w:link w:val="Normal6"/>
    <w:rsid w:val="001F17B8"/>
    <w:rPr>
      <w:sz w:val="24"/>
      <w:lang w:val="fr-FR" w:eastAsia="fr-FR" w:bidi="fr-FR"/>
    </w:rPr>
  </w:style>
  <w:style w:type="character" w:customStyle="1" w:styleId="Heading1Char">
    <w:name w:val="Heading 1 Char"/>
    <w:link w:val="Heading1"/>
    <w:rsid w:val="001F17B8"/>
    <w:rPr>
      <w:b/>
      <w:bCs/>
      <w:smallCaps/>
      <w:sz w:val="24"/>
      <w:szCs w:val="32"/>
      <w:lang w:val="fr-FR" w:eastAsia="en-US"/>
    </w:rPr>
  </w:style>
  <w:style w:type="character" w:customStyle="1" w:styleId="Heading2Char">
    <w:name w:val="Heading 2 Char"/>
    <w:link w:val="Heading2"/>
    <w:rsid w:val="001F17B8"/>
    <w:rPr>
      <w:b/>
      <w:bCs/>
      <w:iCs/>
      <w:sz w:val="24"/>
      <w:szCs w:val="28"/>
      <w:lang w:val="fr-FR" w:eastAsia="en-US"/>
    </w:rPr>
  </w:style>
  <w:style w:type="character" w:customStyle="1" w:styleId="Heading3Char">
    <w:name w:val="Heading 3 Char"/>
    <w:link w:val="Heading3"/>
    <w:rsid w:val="001F17B8"/>
    <w:rPr>
      <w:bCs/>
      <w:i/>
      <w:sz w:val="24"/>
      <w:szCs w:val="26"/>
      <w:lang w:val="fr-FR" w:eastAsia="en-US"/>
    </w:rPr>
  </w:style>
  <w:style w:type="character" w:customStyle="1" w:styleId="Heading4Char">
    <w:name w:val="Heading 4 Char"/>
    <w:link w:val="Heading4"/>
    <w:rsid w:val="001F17B8"/>
    <w:rPr>
      <w:bCs/>
      <w:sz w:val="24"/>
      <w:szCs w:val="28"/>
      <w:lang w:val="fr-FR" w:eastAsia="en-US"/>
    </w:rPr>
  </w:style>
  <w:style w:type="paragraph" w:customStyle="1" w:styleId="CM2">
    <w:name w:val="CM2"/>
    <w:basedOn w:val="Normal"/>
    <w:next w:val="Normal"/>
    <w:rsid w:val="001F17B8"/>
    <w:pPr>
      <w:widowControl w:val="0"/>
      <w:autoSpaceDE w:val="0"/>
      <w:autoSpaceDN w:val="0"/>
      <w:adjustRightInd w:val="0"/>
      <w:spacing w:before="0" w:after="0" w:line="276" w:lineRule="atLeast"/>
    </w:pPr>
    <w:rPr>
      <w:rFonts w:ascii="Arial" w:hAnsi="Arial"/>
      <w:lang w:eastAsia="fr-FR" w:bidi="fr-FR"/>
    </w:rPr>
  </w:style>
  <w:style w:type="character" w:customStyle="1" w:styleId="Added">
    <w:name w:val="Added"/>
    <w:rsid w:val="001F17B8"/>
    <w:rPr>
      <w:rFonts w:cs="Times New Roman"/>
      <w:b/>
      <w:u w:val="single"/>
      <w:shd w:val="clear" w:color="auto" w:fill="auto"/>
    </w:rPr>
  </w:style>
  <w:style w:type="character" w:styleId="CommentReference">
    <w:name w:val="annotation reference"/>
    <w:rsid w:val="001F17B8"/>
    <w:rPr>
      <w:rFonts w:cs="Times New Roman"/>
      <w:sz w:val="16"/>
      <w:szCs w:val="16"/>
      <w:shd w:val="clear" w:color="auto" w:fill="auto"/>
    </w:rPr>
  </w:style>
  <w:style w:type="character" w:styleId="Emphasis">
    <w:name w:val="Emphasis"/>
    <w:qFormat/>
    <w:rsid w:val="001F17B8"/>
    <w:rPr>
      <w:i/>
    </w:rPr>
  </w:style>
  <w:style w:type="character" w:customStyle="1" w:styleId="FooterChar">
    <w:name w:val="Footer Char"/>
    <w:link w:val="Footer"/>
    <w:uiPriority w:val="99"/>
    <w:rsid w:val="001F17B8"/>
    <w:rPr>
      <w:sz w:val="24"/>
      <w:szCs w:val="24"/>
      <w:lang w:val="fr-FR" w:eastAsia="en-US"/>
    </w:rPr>
  </w:style>
  <w:style w:type="character" w:styleId="PageNumber">
    <w:name w:val="page number"/>
    <w:rsid w:val="001F17B8"/>
  </w:style>
  <w:style w:type="character" w:customStyle="1" w:styleId="CharChar">
    <w:name w:val="Char Char"/>
    <w:semiHidden/>
    <w:locked/>
    <w:rsid w:val="001F17B8"/>
    <w:rPr>
      <w:lang w:val="fr-FR" w:eastAsia="fr-FR" w:bidi="fr-FR"/>
    </w:rPr>
  </w:style>
  <w:style w:type="character" w:customStyle="1" w:styleId="italic1">
    <w:name w:val="italic1"/>
    <w:rsid w:val="001F17B8"/>
    <w:rPr>
      <w:rFonts w:cs="Times New Roman"/>
      <w:i/>
      <w:iCs/>
    </w:rPr>
  </w:style>
  <w:style w:type="paragraph" w:styleId="ListBullet">
    <w:name w:val="List Bullet"/>
    <w:basedOn w:val="Normal"/>
    <w:rsid w:val="001F17B8"/>
    <w:pPr>
      <w:numPr>
        <w:numId w:val="31"/>
      </w:numPr>
      <w:spacing w:line="240" w:lineRule="auto"/>
      <w:jc w:val="both"/>
    </w:pPr>
    <w:rPr>
      <w:lang w:eastAsia="fr-FR" w:bidi="fr-FR"/>
    </w:rPr>
  </w:style>
  <w:style w:type="paragraph" w:styleId="ListNumber">
    <w:name w:val="List Number"/>
    <w:basedOn w:val="Normal"/>
    <w:rsid w:val="001F17B8"/>
    <w:pPr>
      <w:numPr>
        <w:numId w:val="32"/>
      </w:numPr>
      <w:spacing w:line="240" w:lineRule="auto"/>
      <w:jc w:val="both"/>
    </w:pPr>
    <w:rPr>
      <w:lang w:eastAsia="fr-FR" w:bidi="fr-FR"/>
    </w:rPr>
  </w:style>
  <w:style w:type="paragraph" w:customStyle="1" w:styleId="ListNumberLevel2">
    <w:name w:val="List Number (Level 2)"/>
    <w:basedOn w:val="Normal"/>
    <w:rsid w:val="001F17B8"/>
    <w:pPr>
      <w:numPr>
        <w:ilvl w:val="1"/>
        <w:numId w:val="32"/>
      </w:numPr>
      <w:spacing w:line="240" w:lineRule="auto"/>
      <w:jc w:val="both"/>
    </w:pPr>
    <w:rPr>
      <w:lang w:eastAsia="fr-FR" w:bidi="fr-FR"/>
    </w:rPr>
  </w:style>
  <w:style w:type="paragraph" w:customStyle="1" w:styleId="ListNumberLevel3">
    <w:name w:val="List Number (Level 3)"/>
    <w:basedOn w:val="Normal"/>
    <w:rsid w:val="001F17B8"/>
    <w:pPr>
      <w:numPr>
        <w:ilvl w:val="2"/>
        <w:numId w:val="32"/>
      </w:numPr>
      <w:spacing w:line="240" w:lineRule="auto"/>
      <w:jc w:val="both"/>
    </w:pPr>
    <w:rPr>
      <w:lang w:eastAsia="fr-FR" w:bidi="fr-FR"/>
    </w:rPr>
  </w:style>
  <w:style w:type="paragraph" w:customStyle="1" w:styleId="ListNumberLevel4">
    <w:name w:val="List Number (Level 4)"/>
    <w:basedOn w:val="Normal"/>
    <w:rsid w:val="001F17B8"/>
    <w:pPr>
      <w:numPr>
        <w:ilvl w:val="3"/>
        <w:numId w:val="32"/>
      </w:numPr>
      <w:spacing w:line="240" w:lineRule="auto"/>
      <w:jc w:val="both"/>
    </w:pPr>
    <w:rPr>
      <w:lang w:eastAsia="fr-FR" w:bidi="fr-FR"/>
    </w:rPr>
  </w:style>
  <w:style w:type="character" w:customStyle="1" w:styleId="HeaderChar">
    <w:name w:val="Header Char"/>
    <w:link w:val="Header"/>
    <w:rsid w:val="001F17B8"/>
    <w:rPr>
      <w:sz w:val="24"/>
      <w:szCs w:val="24"/>
      <w:lang w:val="fr-FR" w:eastAsia="en-US"/>
    </w:rPr>
  </w:style>
  <w:style w:type="character" w:customStyle="1" w:styleId="Marker2">
    <w:name w:val="Marker2"/>
    <w:rsid w:val="001F17B8"/>
    <w:rPr>
      <w:rFonts w:cs="Times New Roman"/>
      <w:color w:val="FF0000"/>
      <w:shd w:val="clear" w:color="auto" w:fill="auto"/>
    </w:rPr>
  </w:style>
  <w:style w:type="paragraph" w:customStyle="1" w:styleId="Annexetitreexpos">
    <w:name w:val="Annexe titre (exposé)"/>
    <w:basedOn w:val="Normal"/>
    <w:next w:val="Normal"/>
    <w:rsid w:val="001F17B8"/>
    <w:pPr>
      <w:spacing w:line="240" w:lineRule="auto"/>
      <w:jc w:val="center"/>
    </w:pPr>
    <w:rPr>
      <w:b/>
      <w:u w:val="single"/>
      <w:lang w:eastAsia="fr-FR" w:bidi="fr-FR"/>
    </w:rPr>
  </w:style>
  <w:style w:type="paragraph" w:customStyle="1" w:styleId="Annexetitrefichefinancire">
    <w:name w:val="Annexe titre (fiche financière)"/>
    <w:basedOn w:val="Normal"/>
    <w:next w:val="Normal"/>
    <w:rsid w:val="001F17B8"/>
    <w:pPr>
      <w:spacing w:line="240" w:lineRule="auto"/>
      <w:jc w:val="center"/>
    </w:pPr>
    <w:rPr>
      <w:b/>
      <w:u w:val="single"/>
      <w:lang w:eastAsia="fr-FR" w:bidi="fr-FR"/>
    </w:rPr>
  </w:style>
  <w:style w:type="paragraph" w:customStyle="1" w:styleId="Avertissementtitre">
    <w:name w:val="Avertissement titre"/>
    <w:basedOn w:val="Normal"/>
    <w:next w:val="Normal"/>
    <w:rsid w:val="001F17B8"/>
    <w:pPr>
      <w:keepNext/>
      <w:spacing w:before="480" w:line="240" w:lineRule="auto"/>
      <w:jc w:val="both"/>
    </w:pPr>
    <w:rPr>
      <w:u w:val="single"/>
      <w:lang w:eastAsia="fr-FR" w:bidi="fr-FR"/>
    </w:rPr>
  </w:style>
  <w:style w:type="paragraph" w:customStyle="1" w:styleId="Confidence">
    <w:name w:val="Confidence"/>
    <w:basedOn w:val="Normal"/>
    <w:next w:val="Normal"/>
    <w:rsid w:val="001F17B8"/>
    <w:pPr>
      <w:spacing w:before="360" w:line="240" w:lineRule="auto"/>
      <w:jc w:val="center"/>
    </w:pPr>
    <w:rPr>
      <w:lang w:eastAsia="fr-FR" w:bidi="fr-FR"/>
    </w:rPr>
  </w:style>
  <w:style w:type="paragraph" w:customStyle="1" w:styleId="Confidentialit">
    <w:name w:val="Confidentialité"/>
    <w:basedOn w:val="Normal"/>
    <w:next w:val="TypedudocumentPagedecouverture"/>
    <w:rsid w:val="001F17B8"/>
    <w:pPr>
      <w:spacing w:before="240" w:after="240" w:line="240" w:lineRule="auto"/>
      <w:ind w:left="5103"/>
      <w:jc w:val="both"/>
    </w:pPr>
    <w:rPr>
      <w:i/>
      <w:sz w:val="32"/>
      <w:lang w:eastAsia="fr-FR" w:bidi="fr-FR"/>
    </w:rPr>
  </w:style>
  <w:style w:type="paragraph" w:customStyle="1" w:styleId="TypedudocumentPagedecouverture">
    <w:name w:val="Type du document (Page de couverture)"/>
    <w:basedOn w:val="Typedudocument"/>
    <w:next w:val="TitreobjetPagedecouverture"/>
    <w:rsid w:val="001F17B8"/>
    <w:pPr>
      <w:spacing w:line="240" w:lineRule="auto"/>
    </w:pPr>
    <w:rPr>
      <w:lang w:eastAsia="fr-FR" w:bidi="fr-FR"/>
    </w:rPr>
  </w:style>
  <w:style w:type="paragraph" w:customStyle="1" w:styleId="TitreobjetPagedecouverture">
    <w:name w:val="Titre objet (Page de couverture)"/>
    <w:basedOn w:val="Titreobjet"/>
    <w:next w:val="Sous-titreobjetPagedecouverture"/>
    <w:rsid w:val="001F17B8"/>
    <w:pPr>
      <w:spacing w:line="240" w:lineRule="auto"/>
    </w:pPr>
    <w:rPr>
      <w:lang w:eastAsia="fr-FR" w:bidi="fr-FR"/>
    </w:rPr>
  </w:style>
  <w:style w:type="paragraph" w:customStyle="1" w:styleId="Sous-titreobjetPagedecouverture">
    <w:name w:val="Sous-titre objet (Page de couverture)"/>
    <w:basedOn w:val="Sous-titreobjet"/>
    <w:rsid w:val="001F17B8"/>
    <w:pPr>
      <w:spacing w:line="240" w:lineRule="auto"/>
    </w:pPr>
    <w:rPr>
      <w:lang w:eastAsia="fr-FR" w:bidi="fr-FR"/>
    </w:rPr>
  </w:style>
  <w:style w:type="paragraph" w:customStyle="1" w:styleId="Corrigendum">
    <w:name w:val="Corrigendum"/>
    <w:basedOn w:val="Normal"/>
    <w:next w:val="Normal"/>
    <w:rsid w:val="001F17B8"/>
    <w:pPr>
      <w:spacing w:before="0" w:after="240" w:line="240" w:lineRule="auto"/>
    </w:pPr>
    <w:rPr>
      <w:lang w:eastAsia="fr-FR" w:bidi="fr-FR"/>
    </w:rPr>
  </w:style>
  <w:style w:type="paragraph" w:customStyle="1" w:styleId="Emission">
    <w:name w:val="Emission"/>
    <w:basedOn w:val="Normal"/>
    <w:next w:val="Rfrenceinstitutionnelle"/>
    <w:rsid w:val="001F17B8"/>
    <w:pPr>
      <w:spacing w:before="0" w:after="0" w:line="240" w:lineRule="auto"/>
      <w:ind w:left="5103"/>
    </w:pPr>
    <w:rPr>
      <w:lang w:eastAsia="fr-FR" w:bidi="fr-FR"/>
    </w:rPr>
  </w:style>
  <w:style w:type="paragraph" w:customStyle="1" w:styleId="Rfrenceinstitutionnelle">
    <w:name w:val="Référence institutionnelle"/>
    <w:basedOn w:val="Normal"/>
    <w:next w:val="Confidentialit"/>
    <w:rsid w:val="001F17B8"/>
    <w:pPr>
      <w:spacing w:before="0" w:after="240" w:line="240" w:lineRule="auto"/>
      <w:ind w:left="5103"/>
    </w:pPr>
    <w:rPr>
      <w:lang w:eastAsia="fr-FR" w:bidi="fr-FR"/>
    </w:rPr>
  </w:style>
  <w:style w:type="paragraph" w:customStyle="1" w:styleId="Exposdesmotifstitre">
    <w:name w:val="Exposé des motifs titre"/>
    <w:basedOn w:val="Normal"/>
    <w:next w:val="Normal"/>
    <w:rsid w:val="001F17B8"/>
    <w:pPr>
      <w:spacing w:line="240" w:lineRule="auto"/>
      <w:jc w:val="center"/>
    </w:pPr>
    <w:rPr>
      <w:b/>
      <w:u w:val="single"/>
      <w:lang w:eastAsia="fr-FR" w:bidi="fr-FR"/>
    </w:rPr>
  </w:style>
  <w:style w:type="paragraph" w:customStyle="1" w:styleId="Rfrenceinterinstitutionnelle">
    <w:name w:val="Référence interinstitutionnelle"/>
    <w:basedOn w:val="Normal"/>
    <w:next w:val="Statut"/>
    <w:rsid w:val="001F17B8"/>
    <w:pPr>
      <w:spacing w:before="0" w:after="0" w:line="240" w:lineRule="auto"/>
      <w:ind w:left="5103"/>
    </w:pPr>
    <w:rPr>
      <w:lang w:eastAsia="fr-FR" w:bidi="fr-FR"/>
    </w:rPr>
  </w:style>
  <w:style w:type="paragraph" w:customStyle="1" w:styleId="Nomdelinstitution">
    <w:name w:val="Nom de l'institution"/>
    <w:basedOn w:val="Normal"/>
    <w:next w:val="Emission"/>
    <w:rsid w:val="001F17B8"/>
    <w:pPr>
      <w:spacing w:before="0" w:after="0" w:line="240" w:lineRule="auto"/>
    </w:pPr>
    <w:rPr>
      <w:rFonts w:ascii="Arial" w:hAnsi="Arial" w:cs="Arial"/>
      <w:lang w:eastAsia="fr-FR" w:bidi="fr-FR"/>
    </w:rPr>
  </w:style>
  <w:style w:type="character" w:customStyle="1" w:styleId="Deleted">
    <w:name w:val="Deleted"/>
    <w:rsid w:val="001F17B8"/>
    <w:rPr>
      <w:rFonts w:cs="Times New Roman"/>
      <w:strike/>
      <w:shd w:val="clear" w:color="auto" w:fill="auto"/>
    </w:rPr>
  </w:style>
  <w:style w:type="paragraph" w:customStyle="1" w:styleId="Address">
    <w:name w:val="Address"/>
    <w:basedOn w:val="Normal"/>
    <w:next w:val="Normal"/>
    <w:rsid w:val="001F17B8"/>
    <w:pPr>
      <w:keepLines/>
      <w:ind w:left="3402"/>
    </w:pPr>
    <w:rPr>
      <w:lang w:eastAsia="fr-FR" w:bidi="fr-FR"/>
    </w:rPr>
  </w:style>
  <w:style w:type="paragraph" w:customStyle="1" w:styleId="Objetexterne">
    <w:name w:val="Objet externe"/>
    <w:basedOn w:val="Normal"/>
    <w:next w:val="Normal"/>
    <w:rsid w:val="001F17B8"/>
    <w:pPr>
      <w:spacing w:line="240" w:lineRule="auto"/>
      <w:jc w:val="both"/>
    </w:pPr>
    <w:rPr>
      <w:i/>
      <w:caps/>
      <w:lang w:eastAsia="fr-FR" w:bidi="fr-FR"/>
    </w:rPr>
  </w:style>
  <w:style w:type="paragraph" w:customStyle="1" w:styleId="Pagedecouverture">
    <w:name w:val="Page de couverture"/>
    <w:basedOn w:val="Normal"/>
    <w:next w:val="Normal"/>
    <w:rsid w:val="001F17B8"/>
    <w:pPr>
      <w:spacing w:line="240" w:lineRule="auto"/>
      <w:jc w:val="both"/>
    </w:pPr>
    <w:rPr>
      <w:lang w:eastAsia="fr-FR" w:bidi="fr-FR"/>
    </w:rPr>
  </w:style>
  <w:style w:type="paragraph" w:customStyle="1" w:styleId="Supertitre">
    <w:name w:val="Supertitre"/>
    <w:basedOn w:val="Normal"/>
    <w:next w:val="Normal"/>
    <w:rsid w:val="001F17B8"/>
    <w:pPr>
      <w:spacing w:before="0" w:after="600" w:line="240" w:lineRule="auto"/>
      <w:jc w:val="center"/>
    </w:pPr>
    <w:rPr>
      <w:b/>
      <w:lang w:eastAsia="fr-FR" w:bidi="fr-FR"/>
    </w:rPr>
  </w:style>
  <w:style w:type="paragraph" w:customStyle="1" w:styleId="Rfrencecroise">
    <w:name w:val="Référence croisée"/>
    <w:basedOn w:val="Normal"/>
    <w:rsid w:val="001F17B8"/>
    <w:pPr>
      <w:spacing w:before="0" w:after="0" w:line="240" w:lineRule="auto"/>
      <w:jc w:val="center"/>
    </w:pPr>
    <w:rPr>
      <w:lang w:eastAsia="fr-FR" w:bidi="fr-FR"/>
    </w:rPr>
  </w:style>
  <w:style w:type="paragraph" w:customStyle="1" w:styleId="Fichefinanciretitre">
    <w:name w:val="Fiche financière titre"/>
    <w:basedOn w:val="Normal"/>
    <w:next w:val="Normal"/>
    <w:rsid w:val="001F17B8"/>
    <w:pPr>
      <w:spacing w:line="240" w:lineRule="auto"/>
      <w:jc w:val="center"/>
    </w:pPr>
    <w:rPr>
      <w:b/>
      <w:u w:val="single"/>
      <w:lang w:eastAsia="fr-FR" w:bidi="fr-FR"/>
    </w:rPr>
  </w:style>
  <w:style w:type="paragraph" w:customStyle="1" w:styleId="DatedadoptionPagedecouverture">
    <w:name w:val="Date d'adoption (Page de couverture)"/>
    <w:basedOn w:val="Datedadoption"/>
    <w:next w:val="TitreobjetPagedecouverture"/>
    <w:rsid w:val="001F17B8"/>
    <w:pPr>
      <w:spacing w:line="240" w:lineRule="auto"/>
    </w:pPr>
    <w:rPr>
      <w:lang w:eastAsia="fr-FR" w:bidi="fr-FR"/>
    </w:rPr>
  </w:style>
  <w:style w:type="paragraph" w:customStyle="1" w:styleId="RfrenceinterinstitutionnellePagedecouverture">
    <w:name w:val="Référence interinstitutionnelle (Page de couverture)"/>
    <w:basedOn w:val="Rfrenceinterinstitutionnelle"/>
    <w:next w:val="Confidentialit"/>
    <w:rsid w:val="001F17B8"/>
  </w:style>
  <w:style w:type="paragraph" w:customStyle="1" w:styleId="StatutPagedecouverture">
    <w:name w:val="Statut (Page de couverture)"/>
    <w:basedOn w:val="Statut"/>
    <w:next w:val="TypedudocumentPagedecouverture"/>
    <w:rsid w:val="001F17B8"/>
    <w:pPr>
      <w:spacing w:line="240" w:lineRule="auto"/>
    </w:pPr>
    <w:rPr>
      <w:lang w:eastAsia="fr-FR" w:bidi="fr-FR"/>
    </w:rPr>
  </w:style>
  <w:style w:type="paragraph" w:customStyle="1" w:styleId="Volume">
    <w:name w:val="Volume"/>
    <w:basedOn w:val="Normal"/>
    <w:next w:val="Confidentialit"/>
    <w:rsid w:val="001F17B8"/>
    <w:pPr>
      <w:spacing w:before="0" w:after="240" w:line="240" w:lineRule="auto"/>
      <w:ind w:left="5103"/>
    </w:pPr>
    <w:rPr>
      <w:lang w:eastAsia="fr-FR" w:bidi="fr-FR"/>
    </w:rPr>
  </w:style>
  <w:style w:type="paragraph" w:customStyle="1" w:styleId="Accompagnant">
    <w:name w:val="Accompagnant"/>
    <w:basedOn w:val="Normal"/>
    <w:next w:val="Typeacteprincipal"/>
    <w:rsid w:val="001F17B8"/>
    <w:pPr>
      <w:spacing w:before="0" w:after="240" w:line="240" w:lineRule="auto"/>
      <w:jc w:val="center"/>
    </w:pPr>
    <w:rPr>
      <w:b/>
      <w:i/>
      <w:lang w:eastAsia="fr-FR" w:bidi="fr-FR"/>
    </w:rPr>
  </w:style>
  <w:style w:type="paragraph" w:customStyle="1" w:styleId="Typeacteprincipal">
    <w:name w:val="Type acte principal"/>
    <w:basedOn w:val="Normal"/>
    <w:next w:val="Objetacteprincipal"/>
    <w:rsid w:val="001F17B8"/>
    <w:pPr>
      <w:spacing w:before="0" w:after="240" w:line="240" w:lineRule="auto"/>
      <w:jc w:val="center"/>
    </w:pPr>
    <w:rPr>
      <w:b/>
      <w:lang w:eastAsia="fr-FR" w:bidi="fr-FR"/>
    </w:rPr>
  </w:style>
  <w:style w:type="paragraph" w:customStyle="1" w:styleId="Objetacteprincipal">
    <w:name w:val="Objet acte principal"/>
    <w:basedOn w:val="Normal"/>
    <w:next w:val="Titrearticle"/>
    <w:rsid w:val="001F17B8"/>
    <w:pPr>
      <w:spacing w:before="0" w:after="360" w:line="240" w:lineRule="auto"/>
      <w:jc w:val="center"/>
    </w:pPr>
    <w:rPr>
      <w:b/>
      <w:lang w:eastAsia="fr-FR" w:bidi="fr-FR"/>
    </w:rPr>
  </w:style>
  <w:style w:type="paragraph" w:customStyle="1" w:styleId="IntrtEEEPagedecouverture">
    <w:name w:val="Intérêt EEE (Page de couverture)"/>
    <w:basedOn w:val="IntrtEEE"/>
    <w:next w:val="Rfrencecroise"/>
    <w:rsid w:val="001F17B8"/>
    <w:pPr>
      <w:spacing w:line="240" w:lineRule="auto"/>
    </w:pPr>
    <w:rPr>
      <w:lang w:eastAsia="fr-FR" w:bidi="fr-FR"/>
    </w:rPr>
  </w:style>
  <w:style w:type="paragraph" w:customStyle="1" w:styleId="AccompagnantPagedecouverture">
    <w:name w:val="Accompagnant (Page de couverture)"/>
    <w:basedOn w:val="Accompagnant"/>
    <w:next w:val="TypeacteprincipalPagedecouverture"/>
    <w:rsid w:val="001F17B8"/>
  </w:style>
  <w:style w:type="paragraph" w:customStyle="1" w:styleId="TypeacteprincipalPagedecouverture">
    <w:name w:val="Type acte principal (Page de couverture)"/>
    <w:basedOn w:val="Typeacteprincipal"/>
    <w:next w:val="ObjetacteprincipalPagedecouverture"/>
    <w:rsid w:val="001F17B8"/>
  </w:style>
  <w:style w:type="paragraph" w:customStyle="1" w:styleId="ObjetacteprincipalPagedecouverture">
    <w:name w:val="Objet acte principal (Page de couverture)"/>
    <w:basedOn w:val="Objetacteprincipal"/>
    <w:next w:val="Rfrencecroise"/>
    <w:rsid w:val="001F17B8"/>
  </w:style>
  <w:style w:type="paragraph" w:customStyle="1" w:styleId="LanguesfaisantfoiPagedecouverture">
    <w:name w:val="Langues faisant foi (Page de couverture)"/>
    <w:basedOn w:val="Normal"/>
    <w:next w:val="Normal"/>
    <w:rsid w:val="001F17B8"/>
    <w:pPr>
      <w:spacing w:before="360" w:after="0" w:line="240" w:lineRule="auto"/>
      <w:jc w:val="center"/>
    </w:pPr>
    <w:rPr>
      <w:lang w:eastAsia="fr-FR" w:bidi="fr-FR"/>
    </w:rPr>
  </w:style>
  <w:style w:type="paragraph" w:styleId="ListBullet2">
    <w:name w:val="List Bullet 2"/>
    <w:basedOn w:val="Normal"/>
    <w:rsid w:val="001F17B8"/>
    <w:pPr>
      <w:numPr>
        <w:numId w:val="37"/>
      </w:numPr>
      <w:spacing w:line="240" w:lineRule="auto"/>
      <w:jc w:val="both"/>
    </w:pPr>
    <w:rPr>
      <w:lang w:eastAsia="fr-FR" w:bidi="fr-FR"/>
    </w:rPr>
  </w:style>
  <w:style w:type="paragraph" w:styleId="ListBullet3">
    <w:name w:val="List Bullet 3"/>
    <w:basedOn w:val="Normal"/>
    <w:rsid w:val="001F17B8"/>
    <w:pPr>
      <w:numPr>
        <w:numId w:val="38"/>
      </w:numPr>
      <w:spacing w:line="240" w:lineRule="auto"/>
      <w:jc w:val="both"/>
    </w:pPr>
    <w:rPr>
      <w:lang w:eastAsia="fr-FR" w:bidi="fr-FR"/>
    </w:rPr>
  </w:style>
  <w:style w:type="paragraph" w:styleId="ListBullet4">
    <w:name w:val="List Bullet 4"/>
    <w:basedOn w:val="Normal"/>
    <w:rsid w:val="001F17B8"/>
    <w:pPr>
      <w:numPr>
        <w:numId w:val="39"/>
      </w:numPr>
      <w:spacing w:line="240" w:lineRule="auto"/>
      <w:jc w:val="both"/>
    </w:pPr>
    <w:rPr>
      <w:lang w:eastAsia="fr-FR" w:bidi="fr-FR"/>
    </w:rPr>
  </w:style>
  <w:style w:type="paragraph" w:styleId="ListNumber2">
    <w:name w:val="List Number 2"/>
    <w:basedOn w:val="Normal"/>
    <w:rsid w:val="001F17B8"/>
    <w:pPr>
      <w:tabs>
        <w:tab w:val="num" w:pos="1560"/>
      </w:tabs>
      <w:spacing w:line="240" w:lineRule="auto"/>
      <w:ind w:left="1560" w:hanging="709"/>
      <w:jc w:val="both"/>
    </w:pPr>
    <w:rPr>
      <w:lang w:eastAsia="fr-FR" w:bidi="fr-FR"/>
    </w:rPr>
  </w:style>
  <w:style w:type="paragraph" w:styleId="ListNumber3">
    <w:name w:val="List Number 3"/>
    <w:basedOn w:val="Normal"/>
    <w:rsid w:val="001F17B8"/>
    <w:pPr>
      <w:numPr>
        <w:numId w:val="34"/>
      </w:numPr>
      <w:spacing w:line="240" w:lineRule="auto"/>
      <w:jc w:val="both"/>
    </w:pPr>
    <w:rPr>
      <w:lang w:eastAsia="fr-FR" w:bidi="fr-FR"/>
    </w:rPr>
  </w:style>
  <w:style w:type="paragraph" w:styleId="ListNumber4">
    <w:name w:val="List Number 4"/>
    <w:basedOn w:val="Normal"/>
    <w:rsid w:val="001F17B8"/>
    <w:pPr>
      <w:numPr>
        <w:numId w:val="35"/>
      </w:numPr>
      <w:spacing w:line="240" w:lineRule="auto"/>
      <w:jc w:val="both"/>
    </w:pPr>
    <w:rPr>
      <w:lang w:eastAsia="fr-FR" w:bidi="fr-FR"/>
    </w:rPr>
  </w:style>
  <w:style w:type="paragraph" w:customStyle="1" w:styleId="ListBullet1">
    <w:name w:val="List Bullet 1"/>
    <w:basedOn w:val="Normal"/>
    <w:rsid w:val="001F17B8"/>
    <w:pPr>
      <w:numPr>
        <w:numId w:val="36"/>
      </w:numPr>
      <w:spacing w:line="240" w:lineRule="auto"/>
      <w:jc w:val="both"/>
    </w:pPr>
    <w:rPr>
      <w:lang w:eastAsia="fr-FR" w:bidi="fr-FR"/>
    </w:rPr>
  </w:style>
  <w:style w:type="paragraph" w:customStyle="1" w:styleId="ListDash">
    <w:name w:val="List Dash"/>
    <w:basedOn w:val="Normal"/>
    <w:rsid w:val="001F17B8"/>
    <w:pPr>
      <w:numPr>
        <w:numId w:val="40"/>
      </w:numPr>
      <w:spacing w:line="240" w:lineRule="auto"/>
      <w:jc w:val="both"/>
    </w:pPr>
    <w:rPr>
      <w:lang w:eastAsia="fr-FR" w:bidi="fr-FR"/>
    </w:rPr>
  </w:style>
  <w:style w:type="paragraph" w:customStyle="1" w:styleId="ListDash1">
    <w:name w:val="List Dash 1"/>
    <w:basedOn w:val="Normal"/>
    <w:rsid w:val="001F17B8"/>
    <w:pPr>
      <w:numPr>
        <w:numId w:val="41"/>
      </w:numPr>
      <w:spacing w:line="240" w:lineRule="auto"/>
      <w:jc w:val="both"/>
    </w:pPr>
    <w:rPr>
      <w:lang w:eastAsia="fr-FR" w:bidi="fr-FR"/>
    </w:rPr>
  </w:style>
  <w:style w:type="paragraph" w:customStyle="1" w:styleId="ListDash2">
    <w:name w:val="List Dash 2"/>
    <w:basedOn w:val="Normal"/>
    <w:rsid w:val="001F17B8"/>
    <w:pPr>
      <w:numPr>
        <w:numId w:val="42"/>
      </w:numPr>
      <w:spacing w:line="240" w:lineRule="auto"/>
      <w:jc w:val="both"/>
    </w:pPr>
    <w:rPr>
      <w:lang w:eastAsia="fr-FR" w:bidi="fr-FR"/>
    </w:rPr>
  </w:style>
  <w:style w:type="paragraph" w:customStyle="1" w:styleId="ListDash3">
    <w:name w:val="List Dash 3"/>
    <w:basedOn w:val="Normal"/>
    <w:rsid w:val="001F17B8"/>
    <w:pPr>
      <w:numPr>
        <w:numId w:val="43"/>
      </w:numPr>
      <w:spacing w:line="240" w:lineRule="auto"/>
      <w:jc w:val="both"/>
    </w:pPr>
    <w:rPr>
      <w:lang w:eastAsia="fr-FR" w:bidi="fr-FR"/>
    </w:rPr>
  </w:style>
  <w:style w:type="paragraph" w:customStyle="1" w:styleId="ListDash4">
    <w:name w:val="List Dash 4"/>
    <w:basedOn w:val="Normal"/>
    <w:rsid w:val="001F17B8"/>
    <w:pPr>
      <w:numPr>
        <w:numId w:val="44"/>
      </w:numPr>
      <w:spacing w:line="240" w:lineRule="auto"/>
      <w:jc w:val="both"/>
    </w:pPr>
    <w:rPr>
      <w:lang w:eastAsia="fr-FR" w:bidi="fr-FR"/>
    </w:rPr>
  </w:style>
  <w:style w:type="paragraph" w:customStyle="1" w:styleId="ListNumber1">
    <w:name w:val="List Number 1"/>
    <w:basedOn w:val="Text1"/>
    <w:rsid w:val="001F17B8"/>
    <w:pPr>
      <w:numPr>
        <w:numId w:val="33"/>
      </w:numPr>
      <w:spacing w:line="240" w:lineRule="auto"/>
      <w:jc w:val="both"/>
      <w:outlineLvl w:val="9"/>
    </w:pPr>
    <w:rPr>
      <w:lang w:eastAsia="fr-FR" w:bidi="fr-FR"/>
    </w:rPr>
  </w:style>
  <w:style w:type="paragraph" w:customStyle="1" w:styleId="ListNumber1Level2">
    <w:name w:val="List Number 1 (Level 2)"/>
    <w:basedOn w:val="Text1"/>
    <w:rsid w:val="001F17B8"/>
    <w:pPr>
      <w:numPr>
        <w:ilvl w:val="1"/>
        <w:numId w:val="33"/>
      </w:numPr>
      <w:spacing w:line="240" w:lineRule="auto"/>
      <w:jc w:val="both"/>
      <w:outlineLvl w:val="9"/>
    </w:pPr>
    <w:rPr>
      <w:lang w:eastAsia="fr-FR" w:bidi="fr-FR"/>
    </w:rPr>
  </w:style>
  <w:style w:type="paragraph" w:customStyle="1" w:styleId="ListNumber2Level2">
    <w:name w:val="List Number 2 (Level 2)"/>
    <w:basedOn w:val="Text2"/>
    <w:rsid w:val="001F17B8"/>
    <w:pPr>
      <w:tabs>
        <w:tab w:val="num" w:pos="2268"/>
      </w:tabs>
      <w:spacing w:line="240" w:lineRule="auto"/>
      <w:ind w:left="2268" w:hanging="708"/>
      <w:jc w:val="both"/>
      <w:outlineLvl w:val="9"/>
    </w:pPr>
    <w:rPr>
      <w:lang w:eastAsia="fr-FR" w:bidi="fr-FR"/>
    </w:rPr>
  </w:style>
  <w:style w:type="paragraph" w:customStyle="1" w:styleId="ListNumber3Level2">
    <w:name w:val="List Number 3 (Level 2)"/>
    <w:basedOn w:val="Text3"/>
    <w:rsid w:val="001F17B8"/>
    <w:pPr>
      <w:numPr>
        <w:ilvl w:val="1"/>
        <w:numId w:val="34"/>
      </w:numPr>
      <w:spacing w:line="240" w:lineRule="auto"/>
      <w:jc w:val="both"/>
      <w:outlineLvl w:val="9"/>
    </w:pPr>
    <w:rPr>
      <w:lang w:eastAsia="fr-FR" w:bidi="fr-FR"/>
    </w:rPr>
  </w:style>
  <w:style w:type="paragraph" w:customStyle="1" w:styleId="ListNumber4Level2">
    <w:name w:val="List Number 4 (Level 2)"/>
    <w:basedOn w:val="Text4"/>
    <w:rsid w:val="001F17B8"/>
    <w:pPr>
      <w:numPr>
        <w:ilvl w:val="1"/>
        <w:numId w:val="35"/>
      </w:numPr>
      <w:spacing w:line="240" w:lineRule="auto"/>
      <w:jc w:val="both"/>
      <w:outlineLvl w:val="9"/>
    </w:pPr>
    <w:rPr>
      <w:lang w:eastAsia="fr-FR" w:bidi="fr-FR"/>
    </w:rPr>
  </w:style>
  <w:style w:type="paragraph" w:customStyle="1" w:styleId="ListNumber1Level3">
    <w:name w:val="List Number 1 (Level 3)"/>
    <w:basedOn w:val="Text1"/>
    <w:rsid w:val="001F17B8"/>
    <w:pPr>
      <w:numPr>
        <w:ilvl w:val="2"/>
        <w:numId w:val="33"/>
      </w:numPr>
      <w:spacing w:line="240" w:lineRule="auto"/>
      <w:jc w:val="both"/>
      <w:outlineLvl w:val="9"/>
    </w:pPr>
    <w:rPr>
      <w:lang w:eastAsia="fr-FR" w:bidi="fr-FR"/>
    </w:rPr>
  </w:style>
  <w:style w:type="paragraph" w:customStyle="1" w:styleId="ListNumber2Level3">
    <w:name w:val="List Number 2 (Level 3)"/>
    <w:basedOn w:val="Text2"/>
    <w:rsid w:val="001F17B8"/>
    <w:pPr>
      <w:tabs>
        <w:tab w:val="num" w:pos="2977"/>
      </w:tabs>
      <w:spacing w:line="240" w:lineRule="auto"/>
      <w:ind w:left="2977" w:hanging="709"/>
      <w:jc w:val="both"/>
      <w:outlineLvl w:val="9"/>
    </w:pPr>
    <w:rPr>
      <w:lang w:eastAsia="fr-FR" w:bidi="fr-FR"/>
    </w:rPr>
  </w:style>
  <w:style w:type="paragraph" w:customStyle="1" w:styleId="ListNumber3Level3">
    <w:name w:val="List Number 3 (Level 3)"/>
    <w:basedOn w:val="Text3"/>
    <w:rsid w:val="001F17B8"/>
    <w:pPr>
      <w:numPr>
        <w:ilvl w:val="2"/>
        <w:numId w:val="34"/>
      </w:numPr>
      <w:spacing w:line="240" w:lineRule="auto"/>
      <w:jc w:val="both"/>
      <w:outlineLvl w:val="9"/>
    </w:pPr>
    <w:rPr>
      <w:lang w:eastAsia="fr-FR" w:bidi="fr-FR"/>
    </w:rPr>
  </w:style>
  <w:style w:type="paragraph" w:customStyle="1" w:styleId="ListNumber4Level3">
    <w:name w:val="List Number 4 (Level 3)"/>
    <w:basedOn w:val="Text4"/>
    <w:rsid w:val="001F17B8"/>
    <w:pPr>
      <w:numPr>
        <w:ilvl w:val="2"/>
        <w:numId w:val="35"/>
      </w:numPr>
      <w:spacing w:line="240" w:lineRule="auto"/>
      <w:jc w:val="both"/>
      <w:outlineLvl w:val="9"/>
    </w:pPr>
    <w:rPr>
      <w:lang w:eastAsia="fr-FR" w:bidi="fr-FR"/>
    </w:rPr>
  </w:style>
  <w:style w:type="paragraph" w:customStyle="1" w:styleId="ListNumber1Level4">
    <w:name w:val="List Number 1 (Level 4)"/>
    <w:basedOn w:val="Text1"/>
    <w:rsid w:val="001F17B8"/>
    <w:pPr>
      <w:numPr>
        <w:ilvl w:val="3"/>
        <w:numId w:val="33"/>
      </w:numPr>
      <w:spacing w:line="240" w:lineRule="auto"/>
      <w:jc w:val="both"/>
      <w:outlineLvl w:val="9"/>
    </w:pPr>
    <w:rPr>
      <w:lang w:eastAsia="fr-FR" w:bidi="fr-FR"/>
    </w:rPr>
  </w:style>
  <w:style w:type="paragraph" w:customStyle="1" w:styleId="ListNumber2Level4">
    <w:name w:val="List Number 2 (Level 4)"/>
    <w:basedOn w:val="Text2"/>
    <w:rsid w:val="001F17B8"/>
    <w:pPr>
      <w:tabs>
        <w:tab w:val="num" w:pos="3686"/>
      </w:tabs>
      <w:spacing w:line="240" w:lineRule="auto"/>
      <w:ind w:left="3686" w:hanging="709"/>
      <w:jc w:val="both"/>
      <w:outlineLvl w:val="9"/>
    </w:pPr>
    <w:rPr>
      <w:lang w:eastAsia="fr-FR" w:bidi="fr-FR"/>
    </w:rPr>
  </w:style>
  <w:style w:type="paragraph" w:customStyle="1" w:styleId="ListNumber3Level4">
    <w:name w:val="List Number 3 (Level 4)"/>
    <w:basedOn w:val="Text3"/>
    <w:rsid w:val="001F17B8"/>
    <w:pPr>
      <w:numPr>
        <w:ilvl w:val="3"/>
        <w:numId w:val="34"/>
      </w:numPr>
      <w:spacing w:line="240" w:lineRule="auto"/>
      <w:jc w:val="both"/>
      <w:outlineLvl w:val="9"/>
    </w:pPr>
    <w:rPr>
      <w:lang w:eastAsia="fr-FR" w:bidi="fr-FR"/>
    </w:rPr>
  </w:style>
  <w:style w:type="paragraph" w:customStyle="1" w:styleId="ListNumber4Level4">
    <w:name w:val="List Number 4 (Level 4)"/>
    <w:basedOn w:val="Text4"/>
    <w:rsid w:val="001F17B8"/>
    <w:pPr>
      <w:numPr>
        <w:ilvl w:val="3"/>
        <w:numId w:val="35"/>
      </w:numPr>
      <w:spacing w:line="240" w:lineRule="auto"/>
      <w:jc w:val="both"/>
      <w:outlineLvl w:val="9"/>
    </w:pPr>
    <w:rPr>
      <w:lang w:eastAsia="fr-FR" w:bidi="fr-FR"/>
    </w:rPr>
  </w:style>
  <w:style w:type="paragraph" w:customStyle="1" w:styleId="Rfrenceinterinstitutionelleprliminaire">
    <w:name w:val="Référence interinstitutionelle (préliminaire)"/>
    <w:basedOn w:val="Normal"/>
    <w:next w:val="Normal"/>
    <w:rsid w:val="001F17B8"/>
    <w:pPr>
      <w:spacing w:before="0" w:after="0" w:line="240" w:lineRule="auto"/>
      <w:ind w:left="5103"/>
    </w:pPr>
    <w:rPr>
      <w:lang w:eastAsia="fr-FR" w:bidi="fr-FR"/>
    </w:rPr>
  </w:style>
  <w:style w:type="paragraph" w:customStyle="1" w:styleId="Sous-titreobjetprliminaire">
    <w:name w:val="Sous-titre objet (préliminaire)"/>
    <w:basedOn w:val="Normal"/>
    <w:rsid w:val="001F17B8"/>
    <w:pPr>
      <w:spacing w:before="0" w:after="0" w:line="240" w:lineRule="auto"/>
      <w:jc w:val="center"/>
    </w:pPr>
    <w:rPr>
      <w:b/>
      <w:lang w:eastAsia="fr-FR" w:bidi="fr-FR"/>
    </w:rPr>
  </w:style>
  <w:style w:type="paragraph" w:customStyle="1" w:styleId="Statutprliminaire">
    <w:name w:val="Statut (préliminaire)"/>
    <w:basedOn w:val="Normal"/>
    <w:next w:val="Normal"/>
    <w:rsid w:val="001F17B8"/>
    <w:pPr>
      <w:spacing w:before="360" w:after="0" w:line="240" w:lineRule="auto"/>
      <w:jc w:val="center"/>
    </w:pPr>
    <w:rPr>
      <w:lang w:eastAsia="fr-FR" w:bidi="fr-FR"/>
    </w:rPr>
  </w:style>
  <w:style w:type="paragraph" w:customStyle="1" w:styleId="Titreobjetprliminaire">
    <w:name w:val="Titre objet (préliminaire)"/>
    <w:basedOn w:val="Normal"/>
    <w:next w:val="Normal"/>
    <w:rsid w:val="001F17B8"/>
    <w:pPr>
      <w:spacing w:before="360" w:after="360" w:line="240" w:lineRule="auto"/>
      <w:jc w:val="center"/>
    </w:pPr>
    <w:rPr>
      <w:b/>
      <w:lang w:eastAsia="fr-FR" w:bidi="fr-FR"/>
    </w:rPr>
  </w:style>
  <w:style w:type="paragraph" w:customStyle="1" w:styleId="Typedudocumentprliminaire">
    <w:name w:val="Type du document (préliminaire)"/>
    <w:basedOn w:val="Normal"/>
    <w:next w:val="Normal"/>
    <w:rsid w:val="001F17B8"/>
    <w:pPr>
      <w:spacing w:before="360" w:after="0" w:line="240" w:lineRule="auto"/>
      <w:jc w:val="center"/>
    </w:pPr>
    <w:rPr>
      <w:b/>
      <w:lang w:eastAsia="fr-FR" w:bidi="fr-FR"/>
    </w:rPr>
  </w:style>
  <w:style w:type="character" w:customStyle="1" w:styleId="manualnumpar1char0">
    <w:name w:val="manualnumpar1char"/>
    <w:rsid w:val="001F17B8"/>
    <w:rPr>
      <w:rFonts w:cs="Times New Roman"/>
      <w:shd w:val="clear" w:color="auto" w:fill="auto"/>
    </w:rPr>
  </w:style>
  <w:style w:type="character" w:customStyle="1" w:styleId="DeltaViewInsertion">
    <w:name w:val="DeltaView Insertion"/>
    <w:rsid w:val="001F17B8"/>
    <w:rPr>
      <w:b/>
      <w:color w:val="FFFFFF"/>
      <w:spacing w:val="0"/>
      <w:u w:val="single"/>
    </w:rPr>
  </w:style>
  <w:style w:type="character" w:styleId="Strong">
    <w:name w:val="Strong"/>
    <w:uiPriority w:val="22"/>
    <w:qFormat/>
    <w:rsid w:val="001F17B8"/>
    <w:rPr>
      <w:rFonts w:cs="Times New Roman"/>
      <w:b/>
      <w:bCs/>
      <w:shd w:val="clear" w:color="auto" w:fill="auto"/>
    </w:rPr>
  </w:style>
  <w:style w:type="paragraph" w:styleId="BalloonText">
    <w:name w:val="Balloon Text"/>
    <w:basedOn w:val="Normal"/>
    <w:link w:val="BalloonTextChar"/>
    <w:semiHidden/>
    <w:rsid w:val="001F17B8"/>
    <w:pPr>
      <w:spacing w:line="240" w:lineRule="auto"/>
      <w:jc w:val="both"/>
    </w:pPr>
    <w:rPr>
      <w:rFonts w:ascii="Tahoma" w:hAnsi="Tahoma" w:cs="Tahoma"/>
      <w:sz w:val="16"/>
      <w:szCs w:val="16"/>
      <w:lang w:eastAsia="fr-FR" w:bidi="fr-FR"/>
    </w:rPr>
  </w:style>
  <w:style w:type="character" w:customStyle="1" w:styleId="BalloonTextChar">
    <w:name w:val="Balloon Text Char"/>
    <w:basedOn w:val="DefaultParagraphFont"/>
    <w:link w:val="BalloonText"/>
    <w:semiHidden/>
    <w:rsid w:val="001F17B8"/>
    <w:rPr>
      <w:rFonts w:ascii="Tahoma" w:hAnsi="Tahoma" w:cs="Tahoma"/>
      <w:sz w:val="16"/>
      <w:szCs w:val="16"/>
      <w:lang w:val="fr-FR" w:eastAsia="fr-FR" w:bidi="fr-FR"/>
    </w:rPr>
  </w:style>
  <w:style w:type="paragraph" w:styleId="CommentText">
    <w:name w:val="annotation text"/>
    <w:basedOn w:val="Normal"/>
    <w:link w:val="CommentTextChar"/>
    <w:rsid w:val="001F17B8"/>
    <w:pPr>
      <w:spacing w:before="0" w:after="0" w:line="240" w:lineRule="auto"/>
    </w:pPr>
    <w:rPr>
      <w:sz w:val="20"/>
      <w:szCs w:val="20"/>
      <w:lang w:eastAsia="fr-FR" w:bidi="fr-FR"/>
    </w:rPr>
  </w:style>
  <w:style w:type="character" w:customStyle="1" w:styleId="CommentTextChar">
    <w:name w:val="Comment Text Char"/>
    <w:basedOn w:val="DefaultParagraphFont"/>
    <w:link w:val="CommentText"/>
    <w:rsid w:val="001F17B8"/>
    <w:rPr>
      <w:lang w:val="fr-FR" w:eastAsia="fr-FR" w:bidi="fr-FR"/>
    </w:rPr>
  </w:style>
  <w:style w:type="paragraph" w:customStyle="1" w:styleId="Style1">
    <w:name w:val="Style1"/>
    <w:basedOn w:val="NumPar1"/>
    <w:rsid w:val="001F17B8"/>
    <w:pPr>
      <w:spacing w:line="240" w:lineRule="auto"/>
      <w:jc w:val="both"/>
      <w:outlineLvl w:val="9"/>
    </w:pPr>
    <w:rPr>
      <w:lang w:eastAsia="fr-FR" w:bidi="fr-FR"/>
    </w:rPr>
  </w:style>
  <w:style w:type="paragraph" w:customStyle="1" w:styleId="Titre">
    <w:name w:val="Ti tre"/>
    <w:basedOn w:val="Titrearticle"/>
    <w:rsid w:val="001F17B8"/>
    <w:pPr>
      <w:spacing w:line="240" w:lineRule="auto"/>
    </w:pPr>
    <w:rPr>
      <w:noProof/>
      <w:lang w:eastAsia="fr-FR" w:bidi="fr-FR"/>
    </w:rPr>
  </w:style>
  <w:style w:type="paragraph" w:customStyle="1" w:styleId="1">
    <w:name w:val="1."/>
    <w:basedOn w:val="NumPar1"/>
    <w:rsid w:val="001F17B8"/>
    <w:pPr>
      <w:spacing w:line="240" w:lineRule="auto"/>
      <w:jc w:val="both"/>
      <w:outlineLvl w:val="9"/>
    </w:pPr>
    <w:rPr>
      <w:lang w:eastAsia="fr-FR" w:bidi="fr-FR"/>
    </w:rPr>
  </w:style>
  <w:style w:type="paragraph" w:styleId="Caption">
    <w:name w:val="caption"/>
    <w:basedOn w:val="Normal"/>
    <w:next w:val="Normal"/>
    <w:qFormat/>
    <w:rsid w:val="001F17B8"/>
    <w:pPr>
      <w:spacing w:line="240" w:lineRule="auto"/>
      <w:jc w:val="both"/>
    </w:pPr>
    <w:rPr>
      <w:b/>
      <w:bCs/>
      <w:sz w:val="20"/>
      <w:szCs w:val="20"/>
      <w:lang w:eastAsia="fr-FR" w:bidi="fr-FR"/>
    </w:rPr>
  </w:style>
  <w:style w:type="paragraph" w:styleId="TableofFigures">
    <w:name w:val="table of figures"/>
    <w:basedOn w:val="Normal"/>
    <w:next w:val="Normal"/>
    <w:semiHidden/>
    <w:rsid w:val="001F17B8"/>
    <w:pPr>
      <w:spacing w:line="240" w:lineRule="auto"/>
      <w:jc w:val="both"/>
    </w:pPr>
    <w:rPr>
      <w:lang w:eastAsia="fr-FR" w:bidi="fr-FR"/>
    </w:rPr>
  </w:style>
  <w:style w:type="paragraph" w:styleId="CommentSubject">
    <w:name w:val="annotation subject"/>
    <w:basedOn w:val="CommentText"/>
    <w:next w:val="CommentText"/>
    <w:link w:val="CommentSubjectChar"/>
    <w:semiHidden/>
    <w:rsid w:val="001F17B8"/>
    <w:pPr>
      <w:spacing w:before="120" w:after="120"/>
      <w:jc w:val="both"/>
    </w:pPr>
    <w:rPr>
      <w:b/>
      <w:bCs/>
    </w:rPr>
  </w:style>
  <w:style w:type="character" w:customStyle="1" w:styleId="CommentSubjectChar">
    <w:name w:val="Comment Subject Char"/>
    <w:basedOn w:val="CommentTextChar"/>
    <w:link w:val="CommentSubject"/>
    <w:semiHidden/>
    <w:rsid w:val="001F17B8"/>
    <w:rPr>
      <w:b/>
      <w:bCs/>
      <w:lang w:val="fr-FR" w:eastAsia="fr-FR" w:bidi="fr-FR"/>
    </w:rPr>
  </w:style>
  <w:style w:type="character" w:styleId="Hyperlink">
    <w:name w:val="Hyperlink"/>
    <w:rsid w:val="001F17B8"/>
    <w:rPr>
      <w:rFonts w:cs="Times New Roman"/>
      <w:color w:val="0000FF"/>
      <w:u w:val="single"/>
    </w:rPr>
  </w:style>
  <w:style w:type="character" w:styleId="FollowedHyperlink">
    <w:name w:val="FollowedHyperlink"/>
    <w:rsid w:val="001F17B8"/>
    <w:rPr>
      <w:rFonts w:cs="Times New Roman"/>
      <w:color w:val="800080"/>
      <w:u w:val="single"/>
    </w:rPr>
  </w:style>
  <w:style w:type="paragraph" w:styleId="PlainText">
    <w:name w:val="Plain Text"/>
    <w:basedOn w:val="Normal"/>
    <w:link w:val="PlainTextChar"/>
    <w:rsid w:val="001F17B8"/>
    <w:pPr>
      <w:spacing w:line="240" w:lineRule="auto"/>
      <w:jc w:val="both"/>
    </w:pPr>
    <w:rPr>
      <w:rFonts w:ascii="Courier New" w:hAnsi="Courier New" w:cs="Courier New"/>
      <w:sz w:val="20"/>
      <w:szCs w:val="20"/>
      <w:lang w:eastAsia="fr-FR" w:bidi="fr-FR"/>
    </w:rPr>
  </w:style>
  <w:style w:type="character" w:customStyle="1" w:styleId="PlainTextChar">
    <w:name w:val="Plain Text Char"/>
    <w:basedOn w:val="DefaultParagraphFont"/>
    <w:link w:val="PlainText"/>
    <w:rsid w:val="001F17B8"/>
    <w:rPr>
      <w:rFonts w:ascii="Courier New" w:hAnsi="Courier New" w:cs="Courier New"/>
      <w:lang w:val="fr-FR" w:eastAsia="fr-FR" w:bidi="fr-FR"/>
    </w:rPr>
  </w:style>
  <w:style w:type="table" w:styleId="TableGrid">
    <w:name w:val="Table Grid"/>
    <w:basedOn w:val="TableNormal"/>
    <w:rsid w:val="001F17B8"/>
    <w:pPr>
      <w:spacing w:before="120" w:after="120"/>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F17B8"/>
    <w:pPr>
      <w:spacing w:before="240" w:after="60" w:line="240" w:lineRule="auto"/>
      <w:jc w:val="center"/>
      <w:outlineLvl w:val="0"/>
    </w:pPr>
    <w:rPr>
      <w:rFonts w:ascii="Arial" w:hAnsi="Arial" w:cs="Arial"/>
      <w:b/>
      <w:bCs/>
      <w:kern w:val="28"/>
      <w:sz w:val="32"/>
      <w:szCs w:val="32"/>
      <w:lang w:eastAsia="fr-FR" w:bidi="fr-FR"/>
    </w:rPr>
  </w:style>
  <w:style w:type="character" w:customStyle="1" w:styleId="TitleChar">
    <w:name w:val="Title Char"/>
    <w:basedOn w:val="DefaultParagraphFont"/>
    <w:link w:val="Title"/>
    <w:rsid w:val="001F17B8"/>
    <w:rPr>
      <w:rFonts w:ascii="Arial" w:hAnsi="Arial" w:cs="Arial"/>
      <w:b/>
      <w:bCs/>
      <w:kern w:val="28"/>
      <w:sz w:val="32"/>
      <w:szCs w:val="32"/>
      <w:lang w:val="fr-FR" w:eastAsia="fr-FR" w:bidi="fr-FR"/>
    </w:rPr>
  </w:style>
  <w:style w:type="paragraph" w:styleId="DocumentMap">
    <w:name w:val="Document Map"/>
    <w:basedOn w:val="Normal"/>
    <w:link w:val="DocumentMapChar"/>
    <w:semiHidden/>
    <w:rsid w:val="001F17B8"/>
    <w:pPr>
      <w:shd w:val="clear" w:color="auto" w:fill="000080"/>
      <w:spacing w:line="240" w:lineRule="auto"/>
      <w:jc w:val="both"/>
    </w:pPr>
    <w:rPr>
      <w:rFonts w:ascii="Tahoma" w:hAnsi="Tahoma" w:cs="Tahoma"/>
      <w:sz w:val="20"/>
      <w:szCs w:val="20"/>
      <w:lang w:eastAsia="fr-FR" w:bidi="fr-FR"/>
    </w:rPr>
  </w:style>
  <w:style w:type="character" w:customStyle="1" w:styleId="DocumentMapChar">
    <w:name w:val="Document Map Char"/>
    <w:basedOn w:val="DefaultParagraphFont"/>
    <w:link w:val="DocumentMap"/>
    <w:semiHidden/>
    <w:rsid w:val="001F17B8"/>
    <w:rPr>
      <w:rFonts w:ascii="Tahoma" w:hAnsi="Tahoma" w:cs="Tahoma"/>
      <w:shd w:val="clear" w:color="auto" w:fill="000080"/>
      <w:lang w:val="fr-FR" w:eastAsia="fr-FR" w:bidi="fr-FR"/>
    </w:rPr>
  </w:style>
  <w:style w:type="paragraph" w:customStyle="1" w:styleId="Point10">
    <w:name w:val="Point1"/>
    <w:basedOn w:val="NumPar1"/>
    <w:rsid w:val="001F17B8"/>
    <w:pPr>
      <w:numPr>
        <w:numId w:val="0"/>
      </w:numPr>
      <w:spacing w:line="240" w:lineRule="auto"/>
      <w:jc w:val="both"/>
      <w:outlineLvl w:val="9"/>
    </w:pPr>
    <w:rPr>
      <w:lang w:eastAsia="fr-FR" w:bidi="fr-FR"/>
    </w:rPr>
  </w:style>
  <w:style w:type="paragraph" w:customStyle="1" w:styleId="Poin">
    <w:name w:val="Poin"/>
    <w:basedOn w:val="Text1"/>
    <w:rsid w:val="001F17B8"/>
    <w:pPr>
      <w:spacing w:line="240" w:lineRule="auto"/>
      <w:jc w:val="both"/>
      <w:outlineLvl w:val="9"/>
    </w:pPr>
    <w:rPr>
      <w:lang w:eastAsia="fr-FR" w:bidi="fr-FR"/>
    </w:rPr>
  </w:style>
  <w:style w:type="paragraph" w:customStyle="1" w:styleId="CM3">
    <w:name w:val="CM3"/>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customStyle="1" w:styleId="CM4">
    <w:name w:val="CM4"/>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styleId="EndnoteText">
    <w:name w:val="endnote text"/>
    <w:basedOn w:val="Normal"/>
    <w:link w:val="EndnoteTextChar"/>
    <w:rsid w:val="001F17B8"/>
    <w:pPr>
      <w:spacing w:line="240" w:lineRule="auto"/>
      <w:jc w:val="both"/>
    </w:pPr>
    <w:rPr>
      <w:sz w:val="20"/>
      <w:szCs w:val="20"/>
      <w:lang w:eastAsia="fr-FR" w:bidi="fr-FR"/>
    </w:rPr>
  </w:style>
  <w:style w:type="character" w:customStyle="1" w:styleId="EndnoteTextChar">
    <w:name w:val="Endnote Text Char"/>
    <w:basedOn w:val="DefaultParagraphFont"/>
    <w:link w:val="EndnoteText"/>
    <w:rsid w:val="001F17B8"/>
    <w:rPr>
      <w:lang w:val="fr-FR" w:eastAsia="fr-FR" w:bidi="fr-FR"/>
    </w:rPr>
  </w:style>
  <w:style w:type="character" w:styleId="EndnoteReference">
    <w:name w:val="endnote reference"/>
    <w:rsid w:val="001F17B8"/>
    <w:rPr>
      <w:vertAlign w:val="superscript"/>
    </w:rPr>
  </w:style>
  <w:style w:type="paragraph" w:customStyle="1" w:styleId="CONSIDERANT">
    <w:name w:val="CONSIDERANT"/>
    <w:basedOn w:val="ManualConsidrant"/>
    <w:rsid w:val="001F17B8"/>
    <w:pPr>
      <w:spacing w:line="240" w:lineRule="auto"/>
      <w:ind w:left="709" w:hanging="709"/>
      <w:jc w:val="both"/>
    </w:pPr>
    <w:rPr>
      <w:lang w:eastAsia="fr-FR" w:bidi="fr-FR"/>
    </w:rPr>
  </w:style>
  <w:style w:type="character" w:customStyle="1" w:styleId="Char12">
    <w:name w:val="Char12"/>
    <w:rsid w:val="001F17B8"/>
    <w:rPr>
      <w:rFonts w:ascii="Times New Roman" w:hAnsi="Times New Roman"/>
      <w:sz w:val="24"/>
      <w:szCs w:val="22"/>
      <w:lang w:val="fr-FR" w:eastAsia="fr-FR"/>
    </w:rPr>
  </w:style>
  <w:style w:type="paragraph" w:customStyle="1" w:styleId="pj">
    <w:name w:val="p.j."/>
    <w:basedOn w:val="Normal"/>
    <w:link w:val="pjChar"/>
    <w:rsid w:val="001F17B8"/>
    <w:pPr>
      <w:spacing w:before="1200" w:line="240" w:lineRule="auto"/>
      <w:ind w:left="1440" w:hanging="1440"/>
    </w:pPr>
    <w:rPr>
      <w:szCs w:val="22"/>
      <w:lang w:eastAsia="fr-FR" w:bidi="fr-FR"/>
    </w:rPr>
  </w:style>
  <w:style w:type="character" w:customStyle="1" w:styleId="pjChar">
    <w:name w:val="p.j. Char"/>
    <w:link w:val="pj"/>
    <w:rsid w:val="001F17B8"/>
    <w:rPr>
      <w:sz w:val="24"/>
      <w:szCs w:val="22"/>
      <w:lang w:val="fr-FR" w:eastAsia="fr-FR" w:bidi="fr-FR"/>
    </w:rPr>
  </w:style>
  <w:style w:type="character" w:customStyle="1" w:styleId="HeaderCouncilChar">
    <w:name w:val="Header Council Char"/>
    <w:link w:val="HeaderCouncil"/>
    <w:rsid w:val="001F17B8"/>
    <w:rPr>
      <w:sz w:val="2"/>
      <w:szCs w:val="24"/>
      <w:lang w:val="fr-FR" w:eastAsia="en-US"/>
    </w:rPr>
  </w:style>
  <w:style w:type="character" w:customStyle="1" w:styleId="FooterCouncilChar">
    <w:name w:val="Footer Council Char"/>
    <w:link w:val="FooterCouncil"/>
    <w:rsid w:val="001F17B8"/>
    <w:rPr>
      <w:sz w:val="2"/>
      <w:szCs w:val="24"/>
      <w:lang w:val="fr-FR" w:eastAsia="en-US"/>
    </w:rPr>
  </w:style>
  <w:style w:type="character" w:customStyle="1" w:styleId="Char17">
    <w:name w:val="Char17"/>
    <w:rsid w:val="001F17B8"/>
    <w:rPr>
      <w:rFonts w:ascii="Times New Roman" w:eastAsia="Times New Roman" w:hAnsi="Times New Roman" w:cs="Times New Roman"/>
      <w:b/>
      <w:bCs/>
      <w:smallCaps/>
      <w:sz w:val="24"/>
      <w:szCs w:val="32"/>
      <w:lang w:val="fr-FR" w:eastAsia="fr-FR"/>
    </w:rPr>
  </w:style>
  <w:style w:type="character" w:customStyle="1" w:styleId="Char16">
    <w:name w:val="Char16"/>
    <w:rsid w:val="001F17B8"/>
    <w:rPr>
      <w:rFonts w:ascii="Times New Roman" w:eastAsia="Times New Roman" w:hAnsi="Times New Roman" w:cs="Times New Roman"/>
      <w:b/>
      <w:bCs/>
      <w:iCs/>
      <w:sz w:val="24"/>
      <w:szCs w:val="28"/>
      <w:lang w:val="fr-FR" w:eastAsia="fr-FR"/>
    </w:rPr>
  </w:style>
  <w:style w:type="character" w:customStyle="1" w:styleId="Char15">
    <w:name w:val="Char15"/>
    <w:rsid w:val="001F17B8"/>
    <w:rPr>
      <w:rFonts w:ascii="Times New Roman" w:eastAsia="Times New Roman" w:hAnsi="Times New Roman" w:cs="Times New Roman"/>
      <w:bCs/>
      <w:i/>
      <w:sz w:val="24"/>
      <w:szCs w:val="26"/>
      <w:lang w:val="fr-FR" w:eastAsia="fr-FR"/>
    </w:rPr>
  </w:style>
  <w:style w:type="character" w:customStyle="1" w:styleId="Char14">
    <w:name w:val="Char14"/>
    <w:rsid w:val="001F17B8"/>
    <w:rPr>
      <w:rFonts w:ascii="Times New Roman" w:eastAsia="Times New Roman" w:hAnsi="Times New Roman" w:cs="Times New Roman"/>
      <w:bCs/>
      <w:sz w:val="24"/>
      <w:szCs w:val="28"/>
      <w:lang w:val="fr-FR" w:eastAsia="fr-FR"/>
    </w:rPr>
  </w:style>
  <w:style w:type="numbering" w:customStyle="1" w:styleId="NoList1">
    <w:name w:val="No List1"/>
    <w:next w:val="NoList"/>
    <w:semiHidden/>
    <w:unhideWhenUsed/>
    <w:rsid w:val="001F17B8"/>
  </w:style>
  <w:style w:type="character" w:customStyle="1" w:styleId="Char11">
    <w:name w:val="Char11"/>
    <w:rsid w:val="001F17B8"/>
    <w:rPr>
      <w:rFonts w:ascii="Times New Roman" w:eastAsia="Times New Roman" w:hAnsi="Times New Roman" w:cs="Times New Roman"/>
      <w:sz w:val="24"/>
      <w:lang w:eastAsia="fr-FR"/>
    </w:rPr>
  </w:style>
  <w:style w:type="numbering" w:customStyle="1" w:styleId="NoList11">
    <w:name w:val="No List11"/>
    <w:next w:val="NoList"/>
    <w:semiHidden/>
    <w:rsid w:val="001F17B8"/>
  </w:style>
  <w:style w:type="paragraph" w:customStyle="1" w:styleId="Default">
    <w:name w:val="Default"/>
    <w:rsid w:val="001F17B8"/>
    <w:pPr>
      <w:autoSpaceDE w:val="0"/>
      <w:autoSpaceDN w:val="0"/>
      <w:adjustRightInd w:val="0"/>
    </w:pPr>
    <w:rPr>
      <w:rFonts w:ascii="EUAlbertina" w:hAnsi="EUAlbertina" w:cs="EUAlbertina"/>
      <w:color w:val="000000"/>
      <w:sz w:val="24"/>
      <w:szCs w:val="24"/>
      <w:lang w:val="fr-FR" w:eastAsia="fr-FR" w:bidi="fr-FR"/>
    </w:rPr>
  </w:style>
  <w:style w:type="character" w:customStyle="1" w:styleId="highlight">
    <w:name w:val="highlight"/>
    <w:rsid w:val="001F17B8"/>
  </w:style>
  <w:style w:type="character" w:customStyle="1" w:styleId="ManualNumPar1Char">
    <w:name w:val="Manual NumPar 1 Char"/>
    <w:link w:val="ManualNumPar1"/>
    <w:rsid w:val="001F17B8"/>
    <w:rPr>
      <w:sz w:val="24"/>
      <w:szCs w:val="24"/>
      <w:lang w:val="fr-FR" w:eastAsia="en-US"/>
    </w:rPr>
  </w:style>
  <w:style w:type="character" w:customStyle="1" w:styleId="Text1Carcter">
    <w:name w:val="Text 1 Carácter"/>
    <w:link w:val="Text1"/>
    <w:uiPriority w:val="99"/>
    <w:rsid w:val="001F17B8"/>
    <w:rPr>
      <w:sz w:val="24"/>
      <w:szCs w:val="24"/>
      <w:lang w:val="fr-FR" w:eastAsia="en-US"/>
    </w:rPr>
  </w:style>
  <w:style w:type="paragraph" w:customStyle="1" w:styleId="ManualConsidrant0">
    <w:name w:val="Manual  Considérant"/>
    <w:basedOn w:val="NumPar1"/>
    <w:rsid w:val="001F17B8"/>
    <w:pPr>
      <w:numPr>
        <w:numId w:val="0"/>
      </w:numPr>
      <w:tabs>
        <w:tab w:val="num" w:pos="1134"/>
      </w:tabs>
      <w:spacing w:line="240" w:lineRule="auto"/>
      <w:ind w:left="1134" w:hanging="567"/>
      <w:jc w:val="both"/>
      <w:outlineLvl w:val="9"/>
    </w:pPr>
    <w:rPr>
      <w:lang w:eastAsia="fr-FR" w:bidi="fr-FR"/>
    </w:rPr>
  </w:style>
  <w:style w:type="paragraph" w:styleId="NormalWeb">
    <w:name w:val="Normal (Web)"/>
    <w:basedOn w:val="Normal"/>
    <w:semiHidden/>
    <w:rsid w:val="001F17B8"/>
    <w:pPr>
      <w:spacing w:before="100" w:beforeAutospacing="1" w:after="100" w:afterAutospacing="1" w:line="240" w:lineRule="auto"/>
    </w:pPr>
    <w:rPr>
      <w:lang w:eastAsia="fr-FR" w:bidi="fr-FR"/>
    </w:rPr>
  </w:style>
  <w:style w:type="paragraph" w:styleId="ListParagraph">
    <w:name w:val="List Paragraph"/>
    <w:basedOn w:val="Normal"/>
    <w:link w:val="ListParagraphChar"/>
    <w:qFormat/>
    <w:rsid w:val="001F17B8"/>
    <w:pPr>
      <w:spacing w:before="0" w:after="0" w:line="240" w:lineRule="auto"/>
      <w:ind w:left="720"/>
    </w:pPr>
    <w:rPr>
      <w:sz w:val="22"/>
      <w:szCs w:val="22"/>
      <w:lang w:eastAsia="fr-FR" w:bidi="fr-FR"/>
    </w:rPr>
  </w:style>
  <w:style w:type="paragraph" w:customStyle="1" w:styleId="Sev">
    <w:name w:val="Sev"/>
    <w:basedOn w:val="Text1"/>
    <w:rsid w:val="001F17B8"/>
    <w:pPr>
      <w:spacing w:line="240" w:lineRule="auto"/>
      <w:jc w:val="both"/>
      <w:outlineLvl w:val="9"/>
    </w:pPr>
    <w:rPr>
      <w:lang w:eastAsia="fr-FR" w:bidi="fr-FR"/>
    </w:rPr>
  </w:style>
  <w:style w:type="paragraph" w:styleId="BodyText3">
    <w:name w:val="Body Text 3"/>
    <w:basedOn w:val="Normal"/>
    <w:link w:val="BodyText3Char"/>
    <w:rsid w:val="001F17B8"/>
    <w:pPr>
      <w:spacing w:line="240" w:lineRule="auto"/>
      <w:jc w:val="both"/>
    </w:pPr>
    <w:rPr>
      <w:lang w:eastAsia="fr-FR" w:bidi="fr-FR"/>
    </w:rPr>
  </w:style>
  <w:style w:type="character" w:customStyle="1" w:styleId="BodyText3Char">
    <w:name w:val="Body Text 3 Char"/>
    <w:basedOn w:val="DefaultParagraphFont"/>
    <w:link w:val="BodyText3"/>
    <w:rsid w:val="001F17B8"/>
    <w:rPr>
      <w:sz w:val="24"/>
      <w:szCs w:val="24"/>
      <w:lang w:val="fr-FR" w:eastAsia="fr-FR" w:bidi="fr-FR"/>
    </w:rPr>
  </w:style>
  <w:style w:type="paragraph" w:styleId="BodyText">
    <w:name w:val="Body Text"/>
    <w:basedOn w:val="Normal"/>
    <w:link w:val="BodyTextChar"/>
    <w:semiHidden/>
    <w:rsid w:val="001F17B8"/>
    <w:pPr>
      <w:spacing w:line="240" w:lineRule="auto"/>
      <w:jc w:val="both"/>
    </w:pPr>
    <w:rPr>
      <w:szCs w:val="20"/>
      <w:lang w:eastAsia="fr-FR" w:bidi="fr-FR"/>
    </w:rPr>
  </w:style>
  <w:style w:type="character" w:customStyle="1" w:styleId="BodyTextChar">
    <w:name w:val="Body Text Char"/>
    <w:basedOn w:val="DefaultParagraphFont"/>
    <w:link w:val="BodyText"/>
    <w:semiHidden/>
    <w:rsid w:val="001F17B8"/>
    <w:rPr>
      <w:sz w:val="24"/>
      <w:lang w:val="fr-FR" w:eastAsia="fr-FR" w:bidi="fr-FR"/>
    </w:rPr>
  </w:style>
  <w:style w:type="paragraph" w:styleId="BodyTextFirstIndent">
    <w:name w:val="Body Text First Indent"/>
    <w:basedOn w:val="BodyText"/>
    <w:link w:val="BodyTextFirstIndentChar"/>
    <w:rsid w:val="001F17B8"/>
    <w:pPr>
      <w:ind w:firstLine="210"/>
    </w:pPr>
    <w:rPr>
      <w:szCs w:val="24"/>
    </w:rPr>
  </w:style>
  <w:style w:type="character" w:customStyle="1" w:styleId="BodyTextFirstIndentChar">
    <w:name w:val="Body Text First Indent Char"/>
    <w:basedOn w:val="BodyTextChar"/>
    <w:link w:val="BodyTextFirstIndent"/>
    <w:rsid w:val="001F17B8"/>
    <w:rPr>
      <w:sz w:val="24"/>
      <w:szCs w:val="24"/>
      <w:lang w:val="fr-FR" w:eastAsia="fr-FR" w:bidi="fr-FR"/>
    </w:rPr>
  </w:style>
  <w:style w:type="paragraph" w:styleId="BodyTextIndent">
    <w:name w:val="Body Text Indent"/>
    <w:basedOn w:val="Normal"/>
    <w:link w:val="BodyTextIndentChar"/>
    <w:rsid w:val="001F17B8"/>
    <w:pPr>
      <w:spacing w:line="240" w:lineRule="auto"/>
      <w:ind w:left="283"/>
      <w:jc w:val="both"/>
    </w:pPr>
    <w:rPr>
      <w:szCs w:val="20"/>
      <w:lang w:eastAsia="fr-FR" w:bidi="fr-FR"/>
    </w:rPr>
  </w:style>
  <w:style w:type="character" w:customStyle="1" w:styleId="BodyTextIndentChar">
    <w:name w:val="Body Text Indent Char"/>
    <w:basedOn w:val="DefaultParagraphFont"/>
    <w:link w:val="BodyTextIndent"/>
    <w:rsid w:val="001F17B8"/>
    <w:rPr>
      <w:sz w:val="24"/>
      <w:lang w:val="fr-FR" w:eastAsia="fr-FR" w:bidi="fr-FR"/>
    </w:rPr>
  </w:style>
  <w:style w:type="paragraph" w:styleId="BodyTextFirstIndent2">
    <w:name w:val="Body Text First Indent 2"/>
    <w:basedOn w:val="BodyTextIndent"/>
    <w:link w:val="BodyTextFirstIndent2Char"/>
    <w:rsid w:val="001F17B8"/>
    <w:pPr>
      <w:ind w:firstLine="210"/>
    </w:pPr>
    <w:rPr>
      <w:szCs w:val="24"/>
    </w:rPr>
  </w:style>
  <w:style w:type="character" w:customStyle="1" w:styleId="BodyTextFirstIndent2Char">
    <w:name w:val="Body Text First Indent 2 Char"/>
    <w:basedOn w:val="BodyTextIndentChar"/>
    <w:link w:val="BodyTextFirstIndent2"/>
    <w:rsid w:val="001F17B8"/>
    <w:rPr>
      <w:sz w:val="24"/>
      <w:szCs w:val="24"/>
      <w:lang w:val="fr-FR" w:eastAsia="fr-FR" w:bidi="fr-FR"/>
    </w:rPr>
  </w:style>
  <w:style w:type="character" w:customStyle="1" w:styleId="tw4winMark">
    <w:name w:val="tw4winMark"/>
    <w:rsid w:val="001F17B8"/>
    <w:rPr>
      <w:vanish/>
      <w:color w:val="800080"/>
      <w:vertAlign w:val="subscript"/>
    </w:rPr>
  </w:style>
  <w:style w:type="paragraph" w:styleId="Revision">
    <w:name w:val="Revision"/>
    <w:hidden/>
    <w:semiHidden/>
    <w:rsid w:val="001F17B8"/>
    <w:rPr>
      <w:sz w:val="24"/>
      <w:szCs w:val="24"/>
      <w:lang w:val="fr-FR" w:eastAsia="fr-FR" w:bidi="fr-FR"/>
    </w:rPr>
  </w:style>
  <w:style w:type="paragraph" w:customStyle="1" w:styleId="num">
    <w:name w:val="num"/>
    <w:basedOn w:val="ManualNumPar1"/>
    <w:rsid w:val="001F17B8"/>
    <w:pPr>
      <w:spacing w:line="240" w:lineRule="auto"/>
      <w:jc w:val="both"/>
      <w:outlineLvl w:val="9"/>
    </w:pPr>
    <w:rPr>
      <w:lang w:eastAsia="fr-FR" w:bidi="fr-FR"/>
    </w:rPr>
  </w:style>
  <w:style w:type="character" w:customStyle="1" w:styleId="at2">
    <w:name w:val="a__t2"/>
    <w:rsid w:val="001F17B8"/>
  </w:style>
  <w:style w:type="paragraph" w:customStyle="1" w:styleId="Foonote">
    <w:name w:val="Foonote"/>
    <w:basedOn w:val="Default"/>
    <w:rsid w:val="001F17B8"/>
    <w:pPr>
      <w:jc w:val="both"/>
    </w:pPr>
    <w:rPr>
      <w:rFonts w:ascii="Times New Roman" w:hAnsi="Times New Roman" w:cs="Times New Roman"/>
      <w:bCs/>
      <w:sz w:val="20"/>
      <w:szCs w:val="20"/>
    </w:rPr>
  </w:style>
  <w:style w:type="character" w:customStyle="1" w:styleId="Point1letterChar">
    <w:name w:val="Point 1 (letter) Char"/>
    <w:link w:val="Point1letter"/>
    <w:rsid w:val="001F17B8"/>
    <w:rPr>
      <w:sz w:val="24"/>
      <w:szCs w:val="24"/>
      <w:lang w:val="fr-FR" w:eastAsia="en-US"/>
    </w:rPr>
  </w:style>
  <w:style w:type="paragraph" w:customStyle="1" w:styleId="NormalConseil">
    <w:name w:val="NormalConseil"/>
    <w:basedOn w:val="Normal"/>
    <w:rsid w:val="001F17B8"/>
    <w:pPr>
      <w:spacing w:before="0" w:after="0" w:line="240" w:lineRule="auto"/>
    </w:pPr>
    <w:rPr>
      <w:szCs w:val="20"/>
      <w:lang w:eastAsia="fr-FR" w:bidi="fr-FR"/>
    </w:rPr>
  </w:style>
  <w:style w:type="paragraph" w:customStyle="1" w:styleId="ZnakZnak1Char">
    <w:name w:val="Znak Znak1 Char"/>
    <w:basedOn w:val="Normal"/>
    <w:rsid w:val="001F17B8"/>
    <w:pPr>
      <w:spacing w:before="0" w:after="160" w:line="240" w:lineRule="exact"/>
    </w:pPr>
    <w:rPr>
      <w:rFonts w:ascii="Tahoma" w:hAnsi="Tahoma"/>
      <w:sz w:val="20"/>
      <w:szCs w:val="20"/>
      <w:lang w:eastAsia="fr-FR" w:bidi="fr-FR"/>
    </w:rPr>
  </w:style>
  <w:style w:type="character" w:customStyle="1" w:styleId="ListParagraphChar">
    <w:name w:val="List Paragraph Char"/>
    <w:link w:val="ListParagraph"/>
    <w:rsid w:val="001F17B8"/>
    <w:rPr>
      <w:sz w:val="22"/>
      <w:szCs w:val="22"/>
      <w:lang w:val="fr-FR" w:eastAsia="fr-FR" w:bidi="fr-FR"/>
    </w:rPr>
  </w:style>
  <w:style w:type="paragraph" w:customStyle="1" w:styleId="CM1">
    <w:name w:val="CM1"/>
    <w:basedOn w:val="Default"/>
    <w:next w:val="Default"/>
    <w:rsid w:val="001F17B8"/>
    <w:rPr>
      <w:rFonts w:cs="Times New Roman"/>
      <w:color w:val="auto"/>
    </w:rPr>
  </w:style>
  <w:style w:type="numbering" w:customStyle="1" w:styleId="NoList111">
    <w:name w:val="No List111"/>
    <w:next w:val="NoList"/>
    <w:semiHidden/>
    <w:unhideWhenUsed/>
    <w:rsid w:val="001F17B8"/>
  </w:style>
  <w:style w:type="paragraph" w:customStyle="1" w:styleId="ZnakZnak1Char1">
    <w:name w:val="Znak Znak1 Char1"/>
    <w:basedOn w:val="Normal"/>
    <w:rsid w:val="001F17B8"/>
    <w:pPr>
      <w:spacing w:before="0" w:after="160" w:line="240" w:lineRule="exact"/>
    </w:pPr>
    <w:rPr>
      <w:rFonts w:ascii="Tahoma" w:hAnsi="Tahoma"/>
      <w:sz w:val="20"/>
      <w:szCs w:val="20"/>
      <w:lang w:eastAsia="fr-FR" w:bidi="fr-FR"/>
    </w:rPr>
  </w:style>
  <w:style w:type="paragraph" w:customStyle="1" w:styleId="CharChar1CharCharCharCharCharCharCharCharCharCharCharCharChar">
    <w:name w:val="Char Char1 Char Char Char Char Char Char Char Char Char Char Char Char Char"/>
    <w:basedOn w:val="Normal"/>
    <w:rsid w:val="001F17B8"/>
    <w:pPr>
      <w:tabs>
        <w:tab w:val="left" w:pos="851"/>
        <w:tab w:val="right" w:pos="9356"/>
      </w:tabs>
      <w:spacing w:before="60" w:after="160" w:line="240" w:lineRule="exact"/>
      <w:jc w:val="both"/>
    </w:pPr>
    <w:rPr>
      <w:rFonts w:ascii="Verdana" w:hAnsi="Verdana"/>
      <w:sz w:val="20"/>
      <w:szCs w:val="20"/>
      <w:lang w:eastAsia="fr-FR" w:bidi="fr-FR"/>
    </w:rPr>
  </w:style>
  <w:style w:type="paragraph" w:customStyle="1" w:styleId="xmsonormal">
    <w:name w:val="x_msonormal"/>
    <w:basedOn w:val="Normal"/>
    <w:rsid w:val="001F17B8"/>
    <w:pPr>
      <w:spacing w:before="100" w:beforeAutospacing="1" w:after="100" w:afterAutospacing="1" w:line="240" w:lineRule="auto"/>
    </w:pPr>
    <w:rPr>
      <w:lang w:eastAsia="fr-FR" w:bidi="fr-FR"/>
    </w:rPr>
  </w:style>
  <w:style w:type="character" w:styleId="HTMLCite">
    <w:name w:val="HTML Cite"/>
    <w:uiPriority w:val="99"/>
    <w:unhideWhenUsed/>
    <w:rsid w:val="001F17B8"/>
    <w:rPr>
      <w:i/>
      <w:iCs/>
    </w:rPr>
  </w:style>
  <w:style w:type="character" w:customStyle="1" w:styleId="PP">
    <w:name w:val="PP"/>
    <w:qFormat/>
    <w:rsid w:val="001F17B8"/>
    <w:rPr>
      <w:rFonts w:ascii="Times New Roman" w:hAnsi="Times New Roman"/>
      <w:b w:val="0"/>
      <w:i w:val="0"/>
      <w:strike/>
      <w:dstrike w:val="0"/>
      <w:sz w:val="24"/>
    </w:rPr>
  </w:style>
  <w:style w:type="paragraph" w:customStyle="1" w:styleId="Normal12">
    <w:name w:val="Normal12"/>
    <w:basedOn w:val="Normal"/>
    <w:link w:val="Normal12Char"/>
    <w:rsid w:val="001F17B8"/>
    <w:pPr>
      <w:widowControl w:val="0"/>
      <w:spacing w:before="0" w:after="240" w:line="240" w:lineRule="auto"/>
    </w:pPr>
    <w:rPr>
      <w:szCs w:val="20"/>
      <w:lang w:eastAsia="fr-FR" w:bidi="fr-FR"/>
    </w:rPr>
  </w:style>
  <w:style w:type="character" w:customStyle="1" w:styleId="Normal12Char">
    <w:name w:val="Normal12 Char"/>
    <w:link w:val="Normal12"/>
    <w:locked/>
    <w:rsid w:val="001F17B8"/>
    <w:rPr>
      <w:sz w:val="24"/>
      <w:lang w:val="fr-FR" w:eastAsia="fr-FR" w:bidi="fr-FR"/>
    </w:rPr>
  </w:style>
  <w:style w:type="character" w:styleId="SubtleEmphasis">
    <w:name w:val="Subtle Emphasis"/>
    <w:uiPriority w:val="19"/>
    <w:qFormat/>
    <w:rsid w:val="001F17B8"/>
    <w:rPr>
      <w:i/>
      <w:color w:val="5A5A5A"/>
    </w:rPr>
  </w:style>
  <w:style w:type="paragraph" w:customStyle="1" w:styleId="ATHeading1">
    <w:name w:val="AT Heading 1"/>
    <w:basedOn w:val="Normal"/>
    <w:next w:val="Normal"/>
    <w:rsid w:val="001F17B8"/>
    <w:pPr>
      <w:keepNext/>
      <w:keepLines/>
      <w:spacing w:before="0" w:line="240" w:lineRule="auto"/>
      <w:outlineLvl w:val="0"/>
    </w:pPr>
    <w:rPr>
      <w:b/>
      <w:noProof/>
      <w:sz w:val="28"/>
      <w:szCs w:val="20"/>
      <w:lang w:eastAsia="fr-FR" w:bidi="fr-FR"/>
    </w:rPr>
  </w:style>
  <w:style w:type="character" w:customStyle="1" w:styleId="yiv3791937573">
    <w:name w:val="yiv3791937573"/>
    <w:rsid w:val="001F17B8"/>
  </w:style>
  <w:style w:type="character" w:customStyle="1" w:styleId="apple-converted-space">
    <w:name w:val="apple-converted-space"/>
    <w:rsid w:val="001F17B8"/>
  </w:style>
  <w:style w:type="paragraph" w:customStyle="1" w:styleId="yiv8020451098msonormal">
    <w:name w:val="yiv8020451098msonormal"/>
    <w:basedOn w:val="Normal"/>
    <w:rsid w:val="001F17B8"/>
    <w:pPr>
      <w:spacing w:before="100" w:beforeAutospacing="1" w:after="100" w:afterAutospacing="1" w:line="240" w:lineRule="auto"/>
    </w:pPr>
    <w:rPr>
      <w:lang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link w:val="Heading1Char"/>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qFormat/>
    <w:rsid w:val="00224697"/>
    <w:pPr>
      <w:keepNext/>
      <w:numPr>
        <w:ilvl w:val="1"/>
        <w:numId w:val="7"/>
      </w:numPr>
      <w:outlineLvl w:val="1"/>
    </w:pPr>
    <w:rPr>
      <w:b/>
      <w:bCs/>
      <w:iCs/>
      <w:szCs w:val="28"/>
    </w:rPr>
  </w:style>
  <w:style w:type="paragraph" w:styleId="Heading3">
    <w:name w:val="heading 3"/>
    <w:basedOn w:val="Normal"/>
    <w:next w:val="Text1"/>
    <w:link w:val="Heading3Char"/>
    <w:qFormat/>
    <w:rsid w:val="00224697"/>
    <w:pPr>
      <w:keepNext/>
      <w:numPr>
        <w:ilvl w:val="2"/>
        <w:numId w:val="7"/>
      </w:numPr>
      <w:outlineLvl w:val="2"/>
    </w:pPr>
    <w:rPr>
      <w:bCs/>
      <w:i/>
      <w:szCs w:val="26"/>
    </w:rPr>
  </w:style>
  <w:style w:type="paragraph" w:styleId="Heading4">
    <w:name w:val="heading 4"/>
    <w:basedOn w:val="Normal"/>
    <w:next w:val="Text1"/>
    <w:link w:val="Heading4Char"/>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7E1EBF"/>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link w:val="Text1Carcter"/>
    <w:uiPriority w:val="99"/>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uiPriority w:val="99"/>
    <w:rsid w:val="00224697"/>
    <w:pPr>
      <w:numPr>
        <w:numId w:val="6"/>
      </w:numPr>
      <w:outlineLvl w:val="0"/>
    </w:pPr>
  </w:style>
  <w:style w:type="paragraph" w:customStyle="1" w:styleId="NumPar2">
    <w:name w:val="NumPar 2"/>
    <w:basedOn w:val="Normal"/>
    <w:next w:val="Text1"/>
    <w:uiPriority w:val="99"/>
    <w:rsid w:val="00224697"/>
    <w:pPr>
      <w:numPr>
        <w:ilvl w:val="1"/>
        <w:numId w:val="6"/>
      </w:numPr>
      <w:outlineLvl w:val="1"/>
    </w:pPr>
  </w:style>
  <w:style w:type="paragraph" w:customStyle="1" w:styleId="NumPar3">
    <w:name w:val="NumPar 3"/>
    <w:basedOn w:val="Normal"/>
    <w:next w:val="Text1"/>
    <w:uiPriority w:val="99"/>
    <w:rsid w:val="00224697"/>
    <w:pPr>
      <w:numPr>
        <w:ilvl w:val="2"/>
        <w:numId w:val="6"/>
      </w:numPr>
      <w:outlineLvl w:val="2"/>
    </w:pPr>
  </w:style>
  <w:style w:type="paragraph" w:customStyle="1" w:styleId="NumPar4">
    <w:name w:val="NumPar 4"/>
    <w:basedOn w:val="Normal"/>
    <w:next w:val="Text1"/>
    <w:uiPriority w:val="99"/>
    <w:rsid w:val="00224697"/>
    <w:pPr>
      <w:numPr>
        <w:ilvl w:val="3"/>
        <w:numId w:val="6"/>
      </w:numPr>
      <w:outlineLvl w:val="3"/>
    </w:pPr>
  </w:style>
  <w:style w:type="paragraph" w:customStyle="1" w:styleId="ManualNumPar1">
    <w:name w:val="Manual NumPar 1"/>
    <w:basedOn w:val="Normal"/>
    <w:next w:val="Text1"/>
    <w:link w:val="ManualNumPar1Char"/>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link w:val="Point1letterChar"/>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uiPriority w:val="99"/>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uiPriority w:val="99"/>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D22ED8"/>
    <w:pPr>
      <w:spacing w:before="0" w:after="600" w:line="240" w:lineRule="auto"/>
      <w:jc w:val="center"/>
    </w:pPr>
    <w:rPr>
      <w:b/>
      <w:caps/>
      <w:lang w:eastAsia="de-DE"/>
    </w:rPr>
  </w:style>
  <w:style w:type="paragraph" w:customStyle="1" w:styleId="Rfrenceinterne">
    <w:name w:val="Référence interne"/>
    <w:basedOn w:val="Normal"/>
    <w:next w:val="Normal"/>
    <w:rsid w:val="00D22ED8"/>
    <w:pPr>
      <w:spacing w:before="0" w:after="600" w:line="240" w:lineRule="auto"/>
      <w:jc w:val="center"/>
    </w:pPr>
    <w:rPr>
      <w:b/>
      <w:lang w:eastAsia="de-DE"/>
    </w:rPr>
  </w:style>
  <w:style w:type="paragraph" w:customStyle="1" w:styleId="HeaderCouncilLarge">
    <w:name w:val="Header Council Large"/>
    <w:basedOn w:val="Normal"/>
    <w:link w:val="HeaderCouncilLargeChar"/>
    <w:rsid w:val="00D22ED8"/>
    <w:pPr>
      <w:spacing w:before="0" w:after="440"/>
    </w:pPr>
    <w:rPr>
      <w:sz w:val="2"/>
    </w:rPr>
  </w:style>
  <w:style w:type="character" w:customStyle="1" w:styleId="LignefinalChar">
    <w:name w:val="Ligne final Char"/>
    <w:basedOn w:val="DefaultParagraphFont"/>
    <w:link w:val="Lignefinal"/>
    <w:rsid w:val="00D22ED8"/>
    <w:rPr>
      <w:b/>
      <w:sz w:val="24"/>
      <w:szCs w:val="24"/>
      <w:lang w:val="fr-FR" w:eastAsia="en-US"/>
    </w:rPr>
  </w:style>
  <w:style w:type="character" w:customStyle="1" w:styleId="HeaderCouncilLargeChar">
    <w:name w:val="Header Council Large Char"/>
    <w:basedOn w:val="LignefinalChar"/>
    <w:link w:val="HeaderCouncilLarge"/>
    <w:rsid w:val="00D22ED8"/>
    <w:rPr>
      <w:b w:val="0"/>
      <w:sz w:val="2"/>
      <w:szCs w:val="24"/>
      <w:lang w:val="fr-FR" w:eastAsia="en-US"/>
    </w:rPr>
  </w:style>
  <w:style w:type="paragraph" w:customStyle="1" w:styleId="FooterText">
    <w:name w:val="Footer Text"/>
    <w:basedOn w:val="Normal"/>
    <w:rsid w:val="00D22ED8"/>
    <w:pPr>
      <w:spacing w:before="0" w:after="0" w:line="240" w:lineRule="auto"/>
    </w:pPr>
    <w:rPr>
      <w:lang w:val="en-GB"/>
    </w:rPr>
  </w:style>
  <w:style w:type="paragraph" w:customStyle="1" w:styleId="NormalJustified">
    <w:name w:val="Normal Justified"/>
    <w:basedOn w:val="Normal"/>
    <w:rsid w:val="001F17B8"/>
    <w:pPr>
      <w:spacing w:before="200"/>
      <w:jc w:val="both"/>
    </w:pPr>
    <w:rPr>
      <w:lang w:eastAsia="fr-FR" w:bidi="fr-FR"/>
    </w:rPr>
  </w:style>
  <w:style w:type="paragraph" w:customStyle="1" w:styleId="FinalLine">
    <w:name w:val="Final Line"/>
    <w:basedOn w:val="Normal"/>
    <w:next w:val="Normal"/>
    <w:rsid w:val="001F17B8"/>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1F17B8"/>
    <w:pPr>
      <w:pBdr>
        <w:bottom w:val="single" w:sz="4" w:space="0" w:color="000000"/>
      </w:pBdr>
      <w:spacing w:before="360"/>
      <w:ind w:left="5868" w:right="5868"/>
      <w:jc w:val="center"/>
    </w:pPr>
    <w:rPr>
      <w:b/>
      <w:lang w:eastAsia="fr-FR" w:bidi="fr-FR"/>
    </w:rPr>
  </w:style>
  <w:style w:type="paragraph" w:customStyle="1" w:styleId="Text5">
    <w:name w:val="Text 5"/>
    <w:basedOn w:val="Normal"/>
    <w:rsid w:val="001F17B8"/>
    <w:pPr>
      <w:ind w:left="2835"/>
      <w:outlineLvl w:val="4"/>
    </w:pPr>
    <w:rPr>
      <w:lang w:eastAsia="fr-FR" w:bidi="fr-FR"/>
    </w:rPr>
  </w:style>
  <w:style w:type="paragraph" w:customStyle="1" w:styleId="Text6">
    <w:name w:val="Text 6"/>
    <w:basedOn w:val="Normal"/>
    <w:rsid w:val="001F17B8"/>
    <w:pPr>
      <w:ind w:left="3402"/>
      <w:outlineLvl w:val="5"/>
    </w:pPr>
    <w:rPr>
      <w:lang w:eastAsia="fr-FR" w:bidi="fr-FR"/>
    </w:rPr>
  </w:style>
  <w:style w:type="paragraph" w:customStyle="1" w:styleId="PointManual">
    <w:name w:val="Point Manual"/>
    <w:basedOn w:val="Normal"/>
    <w:rsid w:val="001F17B8"/>
    <w:pPr>
      <w:ind w:left="567" w:hanging="567"/>
    </w:pPr>
    <w:rPr>
      <w:lang w:eastAsia="fr-FR" w:bidi="fr-FR"/>
    </w:rPr>
  </w:style>
  <w:style w:type="paragraph" w:customStyle="1" w:styleId="PointManual1">
    <w:name w:val="Point Manual (1)"/>
    <w:basedOn w:val="Normal"/>
    <w:rsid w:val="001F17B8"/>
    <w:pPr>
      <w:ind w:left="1134" w:hanging="567"/>
      <w:outlineLvl w:val="0"/>
    </w:pPr>
    <w:rPr>
      <w:lang w:eastAsia="fr-FR" w:bidi="fr-FR"/>
    </w:rPr>
  </w:style>
  <w:style w:type="paragraph" w:customStyle="1" w:styleId="PointManual2">
    <w:name w:val="Point Manual (2)"/>
    <w:basedOn w:val="Normal"/>
    <w:rsid w:val="001F17B8"/>
    <w:pPr>
      <w:ind w:left="1701" w:hanging="567"/>
      <w:outlineLvl w:val="1"/>
    </w:pPr>
    <w:rPr>
      <w:lang w:eastAsia="fr-FR" w:bidi="fr-FR"/>
    </w:rPr>
  </w:style>
  <w:style w:type="paragraph" w:customStyle="1" w:styleId="PointManual3">
    <w:name w:val="Point Manual (3)"/>
    <w:basedOn w:val="Normal"/>
    <w:rsid w:val="001F17B8"/>
    <w:pPr>
      <w:ind w:left="2268" w:hanging="567"/>
      <w:outlineLvl w:val="2"/>
    </w:pPr>
    <w:rPr>
      <w:lang w:eastAsia="fr-FR" w:bidi="fr-FR"/>
    </w:rPr>
  </w:style>
  <w:style w:type="paragraph" w:customStyle="1" w:styleId="PointManual4">
    <w:name w:val="Point Manual (4)"/>
    <w:basedOn w:val="Normal"/>
    <w:rsid w:val="001F17B8"/>
    <w:pPr>
      <w:ind w:left="2835" w:hanging="567"/>
      <w:outlineLvl w:val="3"/>
    </w:pPr>
    <w:rPr>
      <w:lang w:eastAsia="fr-FR" w:bidi="fr-FR"/>
    </w:rPr>
  </w:style>
  <w:style w:type="paragraph" w:customStyle="1" w:styleId="PointDoubleManual">
    <w:name w:val="Point Double Manual"/>
    <w:basedOn w:val="Normal"/>
    <w:rsid w:val="001F17B8"/>
    <w:pPr>
      <w:tabs>
        <w:tab w:val="left" w:pos="567"/>
      </w:tabs>
      <w:ind w:left="1134" w:hanging="1134"/>
    </w:pPr>
    <w:rPr>
      <w:lang w:eastAsia="fr-FR" w:bidi="fr-FR"/>
    </w:rPr>
  </w:style>
  <w:style w:type="paragraph" w:customStyle="1" w:styleId="PointDoubleManual1">
    <w:name w:val="Point Double Manual (1)"/>
    <w:basedOn w:val="Normal"/>
    <w:rsid w:val="001F17B8"/>
    <w:pPr>
      <w:tabs>
        <w:tab w:val="left" w:pos="1134"/>
      </w:tabs>
      <w:ind w:left="1701" w:hanging="1134"/>
      <w:outlineLvl w:val="0"/>
    </w:pPr>
    <w:rPr>
      <w:lang w:eastAsia="fr-FR" w:bidi="fr-FR"/>
    </w:rPr>
  </w:style>
  <w:style w:type="paragraph" w:customStyle="1" w:styleId="PointDoubleManual2">
    <w:name w:val="Point Double Manual (2)"/>
    <w:basedOn w:val="Normal"/>
    <w:rsid w:val="001F17B8"/>
    <w:pPr>
      <w:tabs>
        <w:tab w:val="left" w:pos="1701"/>
      </w:tabs>
      <w:ind w:left="2268" w:hanging="1134"/>
      <w:outlineLvl w:val="1"/>
    </w:pPr>
    <w:rPr>
      <w:lang w:eastAsia="fr-FR" w:bidi="fr-FR"/>
    </w:rPr>
  </w:style>
  <w:style w:type="paragraph" w:customStyle="1" w:styleId="PointDoubleManual3">
    <w:name w:val="Point Double Manual (3)"/>
    <w:basedOn w:val="Normal"/>
    <w:rsid w:val="001F17B8"/>
    <w:pPr>
      <w:tabs>
        <w:tab w:val="left" w:pos="2268"/>
      </w:tabs>
      <w:ind w:left="2835" w:hanging="1134"/>
      <w:outlineLvl w:val="2"/>
    </w:pPr>
    <w:rPr>
      <w:lang w:eastAsia="fr-FR" w:bidi="fr-FR"/>
    </w:rPr>
  </w:style>
  <w:style w:type="paragraph" w:customStyle="1" w:styleId="PointDoubleManual4">
    <w:name w:val="Point Double Manual (4)"/>
    <w:basedOn w:val="Normal"/>
    <w:rsid w:val="001F17B8"/>
    <w:pPr>
      <w:tabs>
        <w:tab w:val="left" w:pos="2835"/>
      </w:tabs>
      <w:ind w:left="3402" w:hanging="1134"/>
      <w:outlineLvl w:val="3"/>
    </w:pPr>
    <w:rPr>
      <w:lang w:eastAsia="fr-FR" w:bidi="fr-FR"/>
    </w:rPr>
  </w:style>
  <w:style w:type="paragraph" w:customStyle="1" w:styleId="Pointabc">
    <w:name w:val="Point abc"/>
    <w:basedOn w:val="Normal"/>
    <w:rsid w:val="001F17B8"/>
    <w:pPr>
      <w:numPr>
        <w:ilvl w:val="1"/>
        <w:numId w:val="26"/>
      </w:numPr>
    </w:pPr>
    <w:rPr>
      <w:lang w:eastAsia="fr-FR" w:bidi="fr-FR"/>
    </w:rPr>
  </w:style>
  <w:style w:type="paragraph" w:customStyle="1" w:styleId="Pointabc1">
    <w:name w:val="Point abc (1)"/>
    <w:basedOn w:val="Normal"/>
    <w:rsid w:val="001F17B8"/>
    <w:pPr>
      <w:numPr>
        <w:ilvl w:val="3"/>
        <w:numId w:val="26"/>
      </w:numPr>
      <w:outlineLvl w:val="0"/>
    </w:pPr>
    <w:rPr>
      <w:lang w:eastAsia="fr-FR" w:bidi="fr-FR"/>
    </w:rPr>
  </w:style>
  <w:style w:type="paragraph" w:customStyle="1" w:styleId="Pointabc2">
    <w:name w:val="Point abc (2)"/>
    <w:basedOn w:val="Normal"/>
    <w:rsid w:val="001F17B8"/>
    <w:pPr>
      <w:numPr>
        <w:ilvl w:val="5"/>
        <w:numId w:val="26"/>
      </w:numPr>
      <w:outlineLvl w:val="1"/>
    </w:pPr>
    <w:rPr>
      <w:lang w:eastAsia="fr-FR" w:bidi="fr-FR"/>
    </w:rPr>
  </w:style>
  <w:style w:type="paragraph" w:customStyle="1" w:styleId="Pointabc3">
    <w:name w:val="Point abc (3)"/>
    <w:basedOn w:val="Normal"/>
    <w:rsid w:val="001F17B8"/>
    <w:pPr>
      <w:numPr>
        <w:ilvl w:val="7"/>
        <w:numId w:val="26"/>
      </w:numPr>
      <w:outlineLvl w:val="2"/>
    </w:pPr>
    <w:rPr>
      <w:lang w:eastAsia="fr-FR" w:bidi="fr-FR"/>
    </w:rPr>
  </w:style>
  <w:style w:type="paragraph" w:customStyle="1" w:styleId="Pointabc4">
    <w:name w:val="Point abc (4)"/>
    <w:basedOn w:val="Normal"/>
    <w:rsid w:val="001F17B8"/>
    <w:pPr>
      <w:numPr>
        <w:ilvl w:val="8"/>
        <w:numId w:val="26"/>
      </w:numPr>
      <w:outlineLvl w:val="3"/>
    </w:pPr>
    <w:rPr>
      <w:lang w:eastAsia="fr-FR" w:bidi="fr-FR"/>
    </w:rPr>
  </w:style>
  <w:style w:type="paragraph" w:customStyle="1" w:styleId="Point123">
    <w:name w:val="Point 123"/>
    <w:basedOn w:val="Normal"/>
    <w:rsid w:val="001F17B8"/>
    <w:pPr>
      <w:numPr>
        <w:numId w:val="26"/>
      </w:numPr>
    </w:pPr>
    <w:rPr>
      <w:lang w:eastAsia="fr-FR" w:bidi="fr-FR"/>
    </w:rPr>
  </w:style>
  <w:style w:type="paragraph" w:customStyle="1" w:styleId="Point1231">
    <w:name w:val="Point 123 (1)"/>
    <w:basedOn w:val="Normal"/>
    <w:rsid w:val="001F17B8"/>
    <w:pPr>
      <w:numPr>
        <w:ilvl w:val="2"/>
        <w:numId w:val="26"/>
      </w:numPr>
      <w:outlineLvl w:val="0"/>
    </w:pPr>
    <w:rPr>
      <w:lang w:eastAsia="fr-FR" w:bidi="fr-FR"/>
    </w:rPr>
  </w:style>
  <w:style w:type="paragraph" w:customStyle="1" w:styleId="Point1232">
    <w:name w:val="Point 123 (2)"/>
    <w:basedOn w:val="Normal"/>
    <w:rsid w:val="001F17B8"/>
    <w:pPr>
      <w:numPr>
        <w:ilvl w:val="4"/>
        <w:numId w:val="26"/>
      </w:numPr>
      <w:outlineLvl w:val="1"/>
    </w:pPr>
    <w:rPr>
      <w:lang w:eastAsia="fr-FR" w:bidi="fr-FR"/>
    </w:rPr>
  </w:style>
  <w:style w:type="paragraph" w:customStyle="1" w:styleId="Point1233">
    <w:name w:val="Point 123 (3)"/>
    <w:basedOn w:val="Normal"/>
    <w:rsid w:val="001F17B8"/>
    <w:pPr>
      <w:numPr>
        <w:ilvl w:val="6"/>
        <w:numId w:val="26"/>
      </w:numPr>
      <w:outlineLvl w:val="2"/>
    </w:pPr>
    <w:rPr>
      <w:lang w:eastAsia="fr-FR" w:bidi="fr-FR"/>
    </w:rPr>
  </w:style>
  <w:style w:type="paragraph" w:customStyle="1" w:styleId="Pointivx">
    <w:name w:val="Point ivx"/>
    <w:basedOn w:val="Normal"/>
    <w:rsid w:val="001F17B8"/>
    <w:pPr>
      <w:numPr>
        <w:numId w:val="27"/>
      </w:numPr>
    </w:pPr>
    <w:rPr>
      <w:lang w:eastAsia="fr-FR" w:bidi="fr-FR"/>
    </w:rPr>
  </w:style>
  <w:style w:type="paragraph" w:customStyle="1" w:styleId="Pointivx1">
    <w:name w:val="Point ivx (1)"/>
    <w:basedOn w:val="Normal"/>
    <w:rsid w:val="001F17B8"/>
    <w:pPr>
      <w:numPr>
        <w:ilvl w:val="1"/>
        <w:numId w:val="27"/>
      </w:numPr>
      <w:outlineLvl w:val="0"/>
    </w:pPr>
    <w:rPr>
      <w:lang w:eastAsia="fr-FR" w:bidi="fr-FR"/>
    </w:rPr>
  </w:style>
  <w:style w:type="paragraph" w:customStyle="1" w:styleId="Pointivx2">
    <w:name w:val="Point ivx (2)"/>
    <w:basedOn w:val="Normal"/>
    <w:rsid w:val="001F17B8"/>
    <w:pPr>
      <w:numPr>
        <w:ilvl w:val="2"/>
        <w:numId w:val="27"/>
      </w:numPr>
      <w:outlineLvl w:val="1"/>
    </w:pPr>
    <w:rPr>
      <w:lang w:eastAsia="fr-FR" w:bidi="fr-FR"/>
    </w:rPr>
  </w:style>
  <w:style w:type="paragraph" w:customStyle="1" w:styleId="Pointivx3">
    <w:name w:val="Point ivx (3)"/>
    <w:basedOn w:val="Normal"/>
    <w:rsid w:val="001F17B8"/>
    <w:pPr>
      <w:numPr>
        <w:ilvl w:val="3"/>
        <w:numId w:val="27"/>
      </w:numPr>
      <w:outlineLvl w:val="2"/>
    </w:pPr>
    <w:rPr>
      <w:lang w:eastAsia="fr-FR" w:bidi="fr-FR"/>
    </w:rPr>
  </w:style>
  <w:style w:type="paragraph" w:customStyle="1" w:styleId="Pointivx4">
    <w:name w:val="Point ivx (4)"/>
    <w:basedOn w:val="Normal"/>
    <w:rsid w:val="001F17B8"/>
    <w:pPr>
      <w:numPr>
        <w:ilvl w:val="4"/>
        <w:numId w:val="27"/>
      </w:numPr>
      <w:outlineLvl w:val="3"/>
    </w:pPr>
    <w:rPr>
      <w:lang w:eastAsia="fr-FR" w:bidi="fr-FR"/>
    </w:rPr>
  </w:style>
  <w:style w:type="paragraph" w:customStyle="1" w:styleId="Bullet">
    <w:name w:val="Bullet"/>
    <w:basedOn w:val="Normal"/>
    <w:rsid w:val="001F17B8"/>
    <w:pPr>
      <w:numPr>
        <w:numId w:val="25"/>
      </w:numPr>
    </w:pPr>
    <w:rPr>
      <w:lang w:eastAsia="fr-FR" w:bidi="fr-FR"/>
    </w:rPr>
  </w:style>
  <w:style w:type="paragraph" w:customStyle="1" w:styleId="Dash">
    <w:name w:val="Dash"/>
    <w:basedOn w:val="Normal"/>
    <w:rsid w:val="001F17B8"/>
    <w:pPr>
      <w:numPr>
        <w:numId w:val="15"/>
      </w:numPr>
    </w:pPr>
    <w:rPr>
      <w:lang w:eastAsia="fr-FR" w:bidi="fr-FR"/>
    </w:rPr>
  </w:style>
  <w:style w:type="paragraph" w:customStyle="1" w:styleId="Dash1">
    <w:name w:val="Dash 1"/>
    <w:basedOn w:val="Normal"/>
    <w:rsid w:val="001F17B8"/>
    <w:pPr>
      <w:numPr>
        <w:numId w:val="16"/>
      </w:numPr>
      <w:outlineLvl w:val="0"/>
    </w:pPr>
    <w:rPr>
      <w:lang w:eastAsia="fr-FR" w:bidi="fr-FR"/>
    </w:rPr>
  </w:style>
  <w:style w:type="paragraph" w:customStyle="1" w:styleId="Dash2">
    <w:name w:val="Dash 2"/>
    <w:basedOn w:val="Normal"/>
    <w:rsid w:val="001F17B8"/>
    <w:pPr>
      <w:numPr>
        <w:numId w:val="17"/>
      </w:numPr>
      <w:outlineLvl w:val="1"/>
    </w:pPr>
    <w:rPr>
      <w:lang w:eastAsia="fr-FR" w:bidi="fr-FR"/>
    </w:rPr>
  </w:style>
  <w:style w:type="paragraph" w:customStyle="1" w:styleId="Dash3">
    <w:name w:val="Dash 3"/>
    <w:basedOn w:val="Normal"/>
    <w:rsid w:val="001F17B8"/>
    <w:pPr>
      <w:numPr>
        <w:numId w:val="18"/>
      </w:numPr>
      <w:outlineLvl w:val="2"/>
    </w:pPr>
    <w:rPr>
      <w:lang w:eastAsia="fr-FR" w:bidi="fr-FR"/>
    </w:rPr>
  </w:style>
  <w:style w:type="paragraph" w:customStyle="1" w:styleId="Dash4">
    <w:name w:val="Dash 4"/>
    <w:basedOn w:val="Normal"/>
    <w:rsid w:val="001F17B8"/>
    <w:pPr>
      <w:numPr>
        <w:numId w:val="19"/>
      </w:numPr>
      <w:outlineLvl w:val="3"/>
    </w:pPr>
    <w:rPr>
      <w:lang w:eastAsia="fr-FR" w:bidi="fr-FR"/>
    </w:rPr>
  </w:style>
  <w:style w:type="paragraph" w:customStyle="1" w:styleId="DashEqual">
    <w:name w:val="Dash Equal"/>
    <w:basedOn w:val="Dash"/>
    <w:rsid w:val="001F17B8"/>
    <w:pPr>
      <w:numPr>
        <w:numId w:val="20"/>
      </w:numPr>
    </w:pPr>
  </w:style>
  <w:style w:type="paragraph" w:customStyle="1" w:styleId="DashEqual1">
    <w:name w:val="Dash Equal 1"/>
    <w:basedOn w:val="Dash1"/>
    <w:rsid w:val="001F17B8"/>
    <w:pPr>
      <w:numPr>
        <w:numId w:val="21"/>
      </w:numPr>
    </w:pPr>
  </w:style>
  <w:style w:type="paragraph" w:customStyle="1" w:styleId="DashEqual2">
    <w:name w:val="Dash Equal 2"/>
    <w:basedOn w:val="Dash2"/>
    <w:rsid w:val="001F17B8"/>
    <w:pPr>
      <w:numPr>
        <w:numId w:val="22"/>
      </w:numPr>
    </w:pPr>
  </w:style>
  <w:style w:type="paragraph" w:customStyle="1" w:styleId="DashEqual3">
    <w:name w:val="Dash Equal 3"/>
    <w:basedOn w:val="Dash3"/>
    <w:rsid w:val="001F17B8"/>
    <w:pPr>
      <w:numPr>
        <w:numId w:val="23"/>
      </w:numPr>
    </w:pPr>
  </w:style>
  <w:style w:type="paragraph" w:customStyle="1" w:styleId="DashEqual4">
    <w:name w:val="Dash Equal 4"/>
    <w:basedOn w:val="Dash4"/>
    <w:rsid w:val="001F17B8"/>
    <w:pPr>
      <w:numPr>
        <w:numId w:val="24"/>
      </w:numPr>
    </w:pPr>
  </w:style>
  <w:style w:type="paragraph" w:customStyle="1" w:styleId="HeadingLeft">
    <w:name w:val="Heading Left"/>
    <w:basedOn w:val="Normal"/>
    <w:next w:val="Normal"/>
    <w:rsid w:val="001F17B8"/>
    <w:pPr>
      <w:spacing w:before="360"/>
      <w:outlineLvl w:val="0"/>
    </w:pPr>
    <w:rPr>
      <w:b/>
      <w:caps/>
      <w:u w:val="single"/>
      <w:lang w:eastAsia="fr-FR" w:bidi="fr-FR"/>
    </w:rPr>
  </w:style>
  <w:style w:type="paragraph" w:customStyle="1" w:styleId="HeadingIVX">
    <w:name w:val="Heading IVX"/>
    <w:basedOn w:val="HeadingLeft"/>
    <w:next w:val="Normal"/>
    <w:rsid w:val="001F17B8"/>
    <w:pPr>
      <w:numPr>
        <w:numId w:val="30"/>
      </w:numPr>
    </w:pPr>
  </w:style>
  <w:style w:type="paragraph" w:customStyle="1" w:styleId="Heading123">
    <w:name w:val="Heading 123"/>
    <w:basedOn w:val="HeadingLeft"/>
    <w:next w:val="Normal"/>
    <w:rsid w:val="001F17B8"/>
    <w:pPr>
      <w:numPr>
        <w:numId w:val="29"/>
      </w:numPr>
    </w:pPr>
  </w:style>
  <w:style w:type="paragraph" w:customStyle="1" w:styleId="HeadingABC">
    <w:name w:val="Heading ABC"/>
    <w:basedOn w:val="HeadingLeft"/>
    <w:next w:val="Normal"/>
    <w:rsid w:val="001F17B8"/>
    <w:pPr>
      <w:numPr>
        <w:numId w:val="28"/>
      </w:numPr>
    </w:pPr>
  </w:style>
  <w:style w:type="paragraph" w:customStyle="1" w:styleId="HeadingCentered">
    <w:name w:val="Heading Centered"/>
    <w:basedOn w:val="HeadingLeft"/>
    <w:next w:val="Normal"/>
    <w:rsid w:val="001F17B8"/>
    <w:pPr>
      <w:jc w:val="center"/>
    </w:pPr>
  </w:style>
  <w:style w:type="paragraph" w:customStyle="1" w:styleId="Amendment">
    <w:name w:val="Amendment"/>
    <w:basedOn w:val="Normal"/>
    <w:next w:val="Normal"/>
    <w:rsid w:val="001F17B8"/>
    <w:rPr>
      <w:i/>
      <w:u w:val="single"/>
      <w:lang w:eastAsia="fr-FR" w:bidi="fr-FR"/>
    </w:rPr>
  </w:style>
  <w:style w:type="paragraph" w:customStyle="1" w:styleId="AmendmentList">
    <w:name w:val="Amendment List"/>
    <w:basedOn w:val="Normal"/>
    <w:rsid w:val="001F17B8"/>
    <w:pPr>
      <w:ind w:left="2268" w:hanging="2268"/>
    </w:pPr>
    <w:rPr>
      <w:lang w:eastAsia="fr-FR" w:bidi="fr-FR"/>
    </w:rPr>
  </w:style>
  <w:style w:type="paragraph" w:customStyle="1" w:styleId="ReplyRE">
    <w:name w:val="Reply RE"/>
    <w:basedOn w:val="Normal"/>
    <w:next w:val="Normal"/>
    <w:rsid w:val="001F17B8"/>
    <w:pPr>
      <w:spacing w:after="480" w:line="240" w:lineRule="auto"/>
      <w:contextualSpacing/>
    </w:pPr>
    <w:rPr>
      <w:lang w:eastAsia="fr-FR" w:bidi="fr-FR"/>
    </w:rPr>
  </w:style>
  <w:style w:type="paragraph" w:customStyle="1" w:styleId="ReplyBold">
    <w:name w:val="Reply Bold"/>
    <w:basedOn w:val="ReplyRE"/>
    <w:next w:val="Normal"/>
    <w:rsid w:val="001F17B8"/>
    <w:rPr>
      <w:b/>
    </w:rPr>
  </w:style>
  <w:style w:type="paragraph" w:customStyle="1" w:styleId="Annex">
    <w:name w:val="Annex"/>
    <w:basedOn w:val="Normal"/>
    <w:next w:val="Normal"/>
    <w:rsid w:val="001F17B8"/>
    <w:pPr>
      <w:jc w:val="right"/>
    </w:pPr>
    <w:rPr>
      <w:b/>
      <w:u w:val="single"/>
      <w:lang w:eastAsia="fr-FR" w:bidi="fr-FR"/>
    </w:rPr>
  </w:style>
  <w:style w:type="paragraph" w:customStyle="1" w:styleId="Sign">
    <w:name w:val="Sign"/>
    <w:basedOn w:val="Normal"/>
    <w:rsid w:val="001F17B8"/>
    <w:pPr>
      <w:tabs>
        <w:tab w:val="center" w:pos="7087"/>
      </w:tabs>
    </w:pPr>
    <w:rPr>
      <w:lang w:eastAsia="fr-FR" w:bidi="fr-FR"/>
    </w:rPr>
  </w:style>
  <w:style w:type="paragraph" w:customStyle="1" w:styleId="NotDeclassified">
    <w:name w:val="Not Declassified"/>
    <w:basedOn w:val="Normal"/>
    <w:qFormat/>
    <w:rsid w:val="001F17B8"/>
    <w:rPr>
      <w:b/>
      <w:bCs/>
      <w:bdr w:val="single" w:sz="4" w:space="0" w:color="auto"/>
      <w:shd w:val="solid" w:color="CCCCCC" w:fill="CCCCCC"/>
      <w:lang w:eastAsia="fr-FR" w:bidi="fr-FR"/>
    </w:rPr>
  </w:style>
  <w:style w:type="character" w:customStyle="1" w:styleId="TechnicalBlockChar">
    <w:name w:val="Technical Block Char"/>
    <w:link w:val="TechnicalBlock"/>
    <w:rsid w:val="001F17B8"/>
    <w:rPr>
      <w:sz w:val="24"/>
      <w:szCs w:val="24"/>
      <w:lang w:val="fr-FR" w:eastAsia="en-US"/>
    </w:rPr>
  </w:style>
  <w:style w:type="character" w:customStyle="1" w:styleId="FootnoteTextChar">
    <w:name w:val="Footnote Text Char"/>
    <w:link w:val="FootnoteText"/>
    <w:rsid w:val="001F17B8"/>
    <w:rPr>
      <w:sz w:val="24"/>
      <w:lang w:val="fr-FR" w:eastAsia="en-US"/>
    </w:rPr>
  </w:style>
  <w:style w:type="paragraph" w:customStyle="1" w:styleId="Normal6">
    <w:name w:val="Normal6"/>
    <w:basedOn w:val="Normal"/>
    <w:link w:val="Normal6Char"/>
    <w:rsid w:val="001F17B8"/>
    <w:pPr>
      <w:widowControl w:val="0"/>
      <w:spacing w:before="0" w:line="240" w:lineRule="auto"/>
    </w:pPr>
    <w:rPr>
      <w:szCs w:val="20"/>
      <w:lang w:eastAsia="fr-FR" w:bidi="fr-FR"/>
    </w:rPr>
  </w:style>
  <w:style w:type="character" w:customStyle="1" w:styleId="Normal6Char">
    <w:name w:val="Normal6 Char"/>
    <w:link w:val="Normal6"/>
    <w:rsid w:val="001F17B8"/>
    <w:rPr>
      <w:sz w:val="24"/>
      <w:lang w:val="fr-FR" w:eastAsia="fr-FR" w:bidi="fr-FR"/>
    </w:rPr>
  </w:style>
  <w:style w:type="character" w:customStyle="1" w:styleId="Heading1Char">
    <w:name w:val="Heading 1 Char"/>
    <w:link w:val="Heading1"/>
    <w:rsid w:val="001F17B8"/>
    <w:rPr>
      <w:b/>
      <w:bCs/>
      <w:smallCaps/>
      <w:sz w:val="24"/>
      <w:szCs w:val="32"/>
      <w:lang w:val="fr-FR" w:eastAsia="en-US"/>
    </w:rPr>
  </w:style>
  <w:style w:type="character" w:customStyle="1" w:styleId="Heading2Char">
    <w:name w:val="Heading 2 Char"/>
    <w:link w:val="Heading2"/>
    <w:rsid w:val="001F17B8"/>
    <w:rPr>
      <w:b/>
      <w:bCs/>
      <w:iCs/>
      <w:sz w:val="24"/>
      <w:szCs w:val="28"/>
      <w:lang w:val="fr-FR" w:eastAsia="en-US"/>
    </w:rPr>
  </w:style>
  <w:style w:type="character" w:customStyle="1" w:styleId="Heading3Char">
    <w:name w:val="Heading 3 Char"/>
    <w:link w:val="Heading3"/>
    <w:rsid w:val="001F17B8"/>
    <w:rPr>
      <w:bCs/>
      <w:i/>
      <w:sz w:val="24"/>
      <w:szCs w:val="26"/>
      <w:lang w:val="fr-FR" w:eastAsia="en-US"/>
    </w:rPr>
  </w:style>
  <w:style w:type="character" w:customStyle="1" w:styleId="Heading4Char">
    <w:name w:val="Heading 4 Char"/>
    <w:link w:val="Heading4"/>
    <w:rsid w:val="001F17B8"/>
    <w:rPr>
      <w:bCs/>
      <w:sz w:val="24"/>
      <w:szCs w:val="28"/>
      <w:lang w:val="fr-FR" w:eastAsia="en-US"/>
    </w:rPr>
  </w:style>
  <w:style w:type="paragraph" w:customStyle="1" w:styleId="CM2">
    <w:name w:val="CM2"/>
    <w:basedOn w:val="Normal"/>
    <w:next w:val="Normal"/>
    <w:rsid w:val="001F17B8"/>
    <w:pPr>
      <w:widowControl w:val="0"/>
      <w:autoSpaceDE w:val="0"/>
      <w:autoSpaceDN w:val="0"/>
      <w:adjustRightInd w:val="0"/>
      <w:spacing w:before="0" w:after="0" w:line="276" w:lineRule="atLeast"/>
    </w:pPr>
    <w:rPr>
      <w:rFonts w:ascii="Arial" w:hAnsi="Arial"/>
      <w:lang w:eastAsia="fr-FR" w:bidi="fr-FR"/>
    </w:rPr>
  </w:style>
  <w:style w:type="character" w:customStyle="1" w:styleId="Added">
    <w:name w:val="Added"/>
    <w:rsid w:val="001F17B8"/>
    <w:rPr>
      <w:rFonts w:cs="Times New Roman"/>
      <w:b/>
      <w:u w:val="single"/>
      <w:shd w:val="clear" w:color="auto" w:fill="auto"/>
    </w:rPr>
  </w:style>
  <w:style w:type="character" w:styleId="CommentReference">
    <w:name w:val="annotation reference"/>
    <w:rsid w:val="001F17B8"/>
    <w:rPr>
      <w:rFonts w:cs="Times New Roman"/>
      <w:sz w:val="16"/>
      <w:szCs w:val="16"/>
      <w:shd w:val="clear" w:color="auto" w:fill="auto"/>
    </w:rPr>
  </w:style>
  <w:style w:type="character" w:styleId="Emphasis">
    <w:name w:val="Emphasis"/>
    <w:qFormat/>
    <w:rsid w:val="001F17B8"/>
    <w:rPr>
      <w:i/>
    </w:rPr>
  </w:style>
  <w:style w:type="character" w:customStyle="1" w:styleId="FooterChar">
    <w:name w:val="Footer Char"/>
    <w:link w:val="Footer"/>
    <w:uiPriority w:val="99"/>
    <w:rsid w:val="001F17B8"/>
    <w:rPr>
      <w:sz w:val="24"/>
      <w:szCs w:val="24"/>
      <w:lang w:val="fr-FR" w:eastAsia="en-US"/>
    </w:rPr>
  </w:style>
  <w:style w:type="character" w:styleId="PageNumber">
    <w:name w:val="page number"/>
    <w:rsid w:val="001F17B8"/>
  </w:style>
  <w:style w:type="character" w:customStyle="1" w:styleId="CharChar">
    <w:name w:val="Char Char"/>
    <w:semiHidden/>
    <w:locked/>
    <w:rsid w:val="001F17B8"/>
    <w:rPr>
      <w:lang w:val="fr-FR" w:eastAsia="fr-FR" w:bidi="fr-FR"/>
    </w:rPr>
  </w:style>
  <w:style w:type="character" w:customStyle="1" w:styleId="italic1">
    <w:name w:val="italic1"/>
    <w:rsid w:val="001F17B8"/>
    <w:rPr>
      <w:rFonts w:cs="Times New Roman"/>
      <w:i/>
      <w:iCs/>
    </w:rPr>
  </w:style>
  <w:style w:type="paragraph" w:styleId="ListBullet">
    <w:name w:val="List Bullet"/>
    <w:basedOn w:val="Normal"/>
    <w:rsid w:val="001F17B8"/>
    <w:pPr>
      <w:numPr>
        <w:numId w:val="31"/>
      </w:numPr>
      <w:spacing w:line="240" w:lineRule="auto"/>
      <w:jc w:val="both"/>
    </w:pPr>
    <w:rPr>
      <w:lang w:eastAsia="fr-FR" w:bidi="fr-FR"/>
    </w:rPr>
  </w:style>
  <w:style w:type="paragraph" w:styleId="ListNumber">
    <w:name w:val="List Number"/>
    <w:basedOn w:val="Normal"/>
    <w:rsid w:val="001F17B8"/>
    <w:pPr>
      <w:numPr>
        <w:numId w:val="32"/>
      </w:numPr>
      <w:spacing w:line="240" w:lineRule="auto"/>
      <w:jc w:val="both"/>
    </w:pPr>
    <w:rPr>
      <w:lang w:eastAsia="fr-FR" w:bidi="fr-FR"/>
    </w:rPr>
  </w:style>
  <w:style w:type="paragraph" w:customStyle="1" w:styleId="ListNumberLevel2">
    <w:name w:val="List Number (Level 2)"/>
    <w:basedOn w:val="Normal"/>
    <w:rsid w:val="001F17B8"/>
    <w:pPr>
      <w:numPr>
        <w:ilvl w:val="1"/>
        <w:numId w:val="32"/>
      </w:numPr>
      <w:spacing w:line="240" w:lineRule="auto"/>
      <w:jc w:val="both"/>
    </w:pPr>
    <w:rPr>
      <w:lang w:eastAsia="fr-FR" w:bidi="fr-FR"/>
    </w:rPr>
  </w:style>
  <w:style w:type="paragraph" w:customStyle="1" w:styleId="ListNumberLevel3">
    <w:name w:val="List Number (Level 3)"/>
    <w:basedOn w:val="Normal"/>
    <w:rsid w:val="001F17B8"/>
    <w:pPr>
      <w:numPr>
        <w:ilvl w:val="2"/>
        <w:numId w:val="32"/>
      </w:numPr>
      <w:spacing w:line="240" w:lineRule="auto"/>
      <w:jc w:val="both"/>
    </w:pPr>
    <w:rPr>
      <w:lang w:eastAsia="fr-FR" w:bidi="fr-FR"/>
    </w:rPr>
  </w:style>
  <w:style w:type="paragraph" w:customStyle="1" w:styleId="ListNumberLevel4">
    <w:name w:val="List Number (Level 4)"/>
    <w:basedOn w:val="Normal"/>
    <w:rsid w:val="001F17B8"/>
    <w:pPr>
      <w:numPr>
        <w:ilvl w:val="3"/>
        <w:numId w:val="32"/>
      </w:numPr>
      <w:spacing w:line="240" w:lineRule="auto"/>
      <w:jc w:val="both"/>
    </w:pPr>
    <w:rPr>
      <w:lang w:eastAsia="fr-FR" w:bidi="fr-FR"/>
    </w:rPr>
  </w:style>
  <w:style w:type="character" w:customStyle="1" w:styleId="HeaderChar">
    <w:name w:val="Header Char"/>
    <w:link w:val="Header"/>
    <w:rsid w:val="001F17B8"/>
    <w:rPr>
      <w:sz w:val="24"/>
      <w:szCs w:val="24"/>
      <w:lang w:val="fr-FR" w:eastAsia="en-US"/>
    </w:rPr>
  </w:style>
  <w:style w:type="character" w:customStyle="1" w:styleId="Marker2">
    <w:name w:val="Marker2"/>
    <w:rsid w:val="001F17B8"/>
    <w:rPr>
      <w:rFonts w:cs="Times New Roman"/>
      <w:color w:val="FF0000"/>
      <w:shd w:val="clear" w:color="auto" w:fill="auto"/>
    </w:rPr>
  </w:style>
  <w:style w:type="paragraph" w:customStyle="1" w:styleId="Annexetitreexpos">
    <w:name w:val="Annexe titre (exposé)"/>
    <w:basedOn w:val="Normal"/>
    <w:next w:val="Normal"/>
    <w:rsid w:val="001F17B8"/>
    <w:pPr>
      <w:spacing w:line="240" w:lineRule="auto"/>
      <w:jc w:val="center"/>
    </w:pPr>
    <w:rPr>
      <w:b/>
      <w:u w:val="single"/>
      <w:lang w:eastAsia="fr-FR" w:bidi="fr-FR"/>
    </w:rPr>
  </w:style>
  <w:style w:type="paragraph" w:customStyle="1" w:styleId="Annexetitrefichefinancire">
    <w:name w:val="Annexe titre (fiche financière)"/>
    <w:basedOn w:val="Normal"/>
    <w:next w:val="Normal"/>
    <w:rsid w:val="001F17B8"/>
    <w:pPr>
      <w:spacing w:line="240" w:lineRule="auto"/>
      <w:jc w:val="center"/>
    </w:pPr>
    <w:rPr>
      <w:b/>
      <w:u w:val="single"/>
      <w:lang w:eastAsia="fr-FR" w:bidi="fr-FR"/>
    </w:rPr>
  </w:style>
  <w:style w:type="paragraph" w:customStyle="1" w:styleId="Avertissementtitre">
    <w:name w:val="Avertissement titre"/>
    <w:basedOn w:val="Normal"/>
    <w:next w:val="Normal"/>
    <w:rsid w:val="001F17B8"/>
    <w:pPr>
      <w:keepNext/>
      <w:spacing w:before="480" w:line="240" w:lineRule="auto"/>
      <w:jc w:val="both"/>
    </w:pPr>
    <w:rPr>
      <w:u w:val="single"/>
      <w:lang w:eastAsia="fr-FR" w:bidi="fr-FR"/>
    </w:rPr>
  </w:style>
  <w:style w:type="paragraph" w:customStyle="1" w:styleId="Confidence">
    <w:name w:val="Confidence"/>
    <w:basedOn w:val="Normal"/>
    <w:next w:val="Normal"/>
    <w:rsid w:val="001F17B8"/>
    <w:pPr>
      <w:spacing w:before="360" w:line="240" w:lineRule="auto"/>
      <w:jc w:val="center"/>
    </w:pPr>
    <w:rPr>
      <w:lang w:eastAsia="fr-FR" w:bidi="fr-FR"/>
    </w:rPr>
  </w:style>
  <w:style w:type="paragraph" w:customStyle="1" w:styleId="Confidentialit">
    <w:name w:val="Confidentialité"/>
    <w:basedOn w:val="Normal"/>
    <w:next w:val="TypedudocumentPagedecouverture"/>
    <w:rsid w:val="001F17B8"/>
    <w:pPr>
      <w:spacing w:before="240" w:after="240" w:line="240" w:lineRule="auto"/>
      <w:ind w:left="5103"/>
      <w:jc w:val="both"/>
    </w:pPr>
    <w:rPr>
      <w:i/>
      <w:sz w:val="32"/>
      <w:lang w:eastAsia="fr-FR" w:bidi="fr-FR"/>
    </w:rPr>
  </w:style>
  <w:style w:type="paragraph" w:customStyle="1" w:styleId="TypedudocumentPagedecouverture">
    <w:name w:val="Type du document (Page de couverture)"/>
    <w:basedOn w:val="Typedudocument"/>
    <w:next w:val="TitreobjetPagedecouverture"/>
    <w:rsid w:val="001F17B8"/>
    <w:pPr>
      <w:spacing w:line="240" w:lineRule="auto"/>
    </w:pPr>
    <w:rPr>
      <w:lang w:eastAsia="fr-FR" w:bidi="fr-FR"/>
    </w:rPr>
  </w:style>
  <w:style w:type="paragraph" w:customStyle="1" w:styleId="TitreobjetPagedecouverture">
    <w:name w:val="Titre objet (Page de couverture)"/>
    <w:basedOn w:val="Titreobjet"/>
    <w:next w:val="Sous-titreobjetPagedecouverture"/>
    <w:rsid w:val="001F17B8"/>
    <w:pPr>
      <w:spacing w:line="240" w:lineRule="auto"/>
    </w:pPr>
    <w:rPr>
      <w:lang w:eastAsia="fr-FR" w:bidi="fr-FR"/>
    </w:rPr>
  </w:style>
  <w:style w:type="paragraph" w:customStyle="1" w:styleId="Sous-titreobjetPagedecouverture">
    <w:name w:val="Sous-titre objet (Page de couverture)"/>
    <w:basedOn w:val="Sous-titreobjet"/>
    <w:rsid w:val="001F17B8"/>
    <w:pPr>
      <w:spacing w:line="240" w:lineRule="auto"/>
    </w:pPr>
    <w:rPr>
      <w:lang w:eastAsia="fr-FR" w:bidi="fr-FR"/>
    </w:rPr>
  </w:style>
  <w:style w:type="paragraph" w:customStyle="1" w:styleId="Corrigendum">
    <w:name w:val="Corrigendum"/>
    <w:basedOn w:val="Normal"/>
    <w:next w:val="Normal"/>
    <w:rsid w:val="001F17B8"/>
    <w:pPr>
      <w:spacing w:before="0" w:after="240" w:line="240" w:lineRule="auto"/>
    </w:pPr>
    <w:rPr>
      <w:lang w:eastAsia="fr-FR" w:bidi="fr-FR"/>
    </w:rPr>
  </w:style>
  <w:style w:type="paragraph" w:customStyle="1" w:styleId="Emission">
    <w:name w:val="Emission"/>
    <w:basedOn w:val="Normal"/>
    <w:next w:val="Rfrenceinstitutionnelle"/>
    <w:rsid w:val="001F17B8"/>
    <w:pPr>
      <w:spacing w:before="0" w:after="0" w:line="240" w:lineRule="auto"/>
      <w:ind w:left="5103"/>
    </w:pPr>
    <w:rPr>
      <w:lang w:eastAsia="fr-FR" w:bidi="fr-FR"/>
    </w:rPr>
  </w:style>
  <w:style w:type="paragraph" w:customStyle="1" w:styleId="Rfrenceinstitutionnelle">
    <w:name w:val="Référence institutionnelle"/>
    <w:basedOn w:val="Normal"/>
    <w:next w:val="Confidentialit"/>
    <w:rsid w:val="001F17B8"/>
    <w:pPr>
      <w:spacing w:before="0" w:after="240" w:line="240" w:lineRule="auto"/>
      <w:ind w:left="5103"/>
    </w:pPr>
    <w:rPr>
      <w:lang w:eastAsia="fr-FR" w:bidi="fr-FR"/>
    </w:rPr>
  </w:style>
  <w:style w:type="paragraph" w:customStyle="1" w:styleId="Exposdesmotifstitre">
    <w:name w:val="Exposé des motifs titre"/>
    <w:basedOn w:val="Normal"/>
    <w:next w:val="Normal"/>
    <w:rsid w:val="001F17B8"/>
    <w:pPr>
      <w:spacing w:line="240" w:lineRule="auto"/>
      <w:jc w:val="center"/>
    </w:pPr>
    <w:rPr>
      <w:b/>
      <w:u w:val="single"/>
      <w:lang w:eastAsia="fr-FR" w:bidi="fr-FR"/>
    </w:rPr>
  </w:style>
  <w:style w:type="paragraph" w:customStyle="1" w:styleId="Rfrenceinterinstitutionnelle">
    <w:name w:val="Référence interinstitutionnelle"/>
    <w:basedOn w:val="Normal"/>
    <w:next w:val="Statut"/>
    <w:rsid w:val="001F17B8"/>
    <w:pPr>
      <w:spacing w:before="0" w:after="0" w:line="240" w:lineRule="auto"/>
      <w:ind w:left="5103"/>
    </w:pPr>
    <w:rPr>
      <w:lang w:eastAsia="fr-FR" w:bidi="fr-FR"/>
    </w:rPr>
  </w:style>
  <w:style w:type="paragraph" w:customStyle="1" w:styleId="Nomdelinstitution">
    <w:name w:val="Nom de l'institution"/>
    <w:basedOn w:val="Normal"/>
    <w:next w:val="Emission"/>
    <w:rsid w:val="001F17B8"/>
    <w:pPr>
      <w:spacing w:before="0" w:after="0" w:line="240" w:lineRule="auto"/>
    </w:pPr>
    <w:rPr>
      <w:rFonts w:ascii="Arial" w:hAnsi="Arial" w:cs="Arial"/>
      <w:lang w:eastAsia="fr-FR" w:bidi="fr-FR"/>
    </w:rPr>
  </w:style>
  <w:style w:type="character" w:customStyle="1" w:styleId="Deleted">
    <w:name w:val="Deleted"/>
    <w:rsid w:val="001F17B8"/>
    <w:rPr>
      <w:rFonts w:cs="Times New Roman"/>
      <w:strike/>
      <w:shd w:val="clear" w:color="auto" w:fill="auto"/>
    </w:rPr>
  </w:style>
  <w:style w:type="paragraph" w:customStyle="1" w:styleId="Address">
    <w:name w:val="Address"/>
    <w:basedOn w:val="Normal"/>
    <w:next w:val="Normal"/>
    <w:rsid w:val="001F17B8"/>
    <w:pPr>
      <w:keepLines/>
      <w:ind w:left="3402"/>
    </w:pPr>
    <w:rPr>
      <w:lang w:eastAsia="fr-FR" w:bidi="fr-FR"/>
    </w:rPr>
  </w:style>
  <w:style w:type="paragraph" w:customStyle="1" w:styleId="Objetexterne">
    <w:name w:val="Objet externe"/>
    <w:basedOn w:val="Normal"/>
    <w:next w:val="Normal"/>
    <w:rsid w:val="001F17B8"/>
    <w:pPr>
      <w:spacing w:line="240" w:lineRule="auto"/>
      <w:jc w:val="both"/>
    </w:pPr>
    <w:rPr>
      <w:i/>
      <w:caps/>
      <w:lang w:eastAsia="fr-FR" w:bidi="fr-FR"/>
    </w:rPr>
  </w:style>
  <w:style w:type="paragraph" w:customStyle="1" w:styleId="Pagedecouverture">
    <w:name w:val="Page de couverture"/>
    <w:basedOn w:val="Normal"/>
    <w:next w:val="Normal"/>
    <w:rsid w:val="001F17B8"/>
    <w:pPr>
      <w:spacing w:line="240" w:lineRule="auto"/>
      <w:jc w:val="both"/>
    </w:pPr>
    <w:rPr>
      <w:lang w:eastAsia="fr-FR" w:bidi="fr-FR"/>
    </w:rPr>
  </w:style>
  <w:style w:type="paragraph" w:customStyle="1" w:styleId="Supertitre">
    <w:name w:val="Supertitre"/>
    <w:basedOn w:val="Normal"/>
    <w:next w:val="Normal"/>
    <w:rsid w:val="001F17B8"/>
    <w:pPr>
      <w:spacing w:before="0" w:after="600" w:line="240" w:lineRule="auto"/>
      <w:jc w:val="center"/>
    </w:pPr>
    <w:rPr>
      <w:b/>
      <w:lang w:eastAsia="fr-FR" w:bidi="fr-FR"/>
    </w:rPr>
  </w:style>
  <w:style w:type="paragraph" w:customStyle="1" w:styleId="Rfrencecroise">
    <w:name w:val="Référence croisée"/>
    <w:basedOn w:val="Normal"/>
    <w:rsid w:val="001F17B8"/>
    <w:pPr>
      <w:spacing w:before="0" w:after="0" w:line="240" w:lineRule="auto"/>
      <w:jc w:val="center"/>
    </w:pPr>
    <w:rPr>
      <w:lang w:eastAsia="fr-FR" w:bidi="fr-FR"/>
    </w:rPr>
  </w:style>
  <w:style w:type="paragraph" w:customStyle="1" w:styleId="Fichefinanciretitre">
    <w:name w:val="Fiche financière titre"/>
    <w:basedOn w:val="Normal"/>
    <w:next w:val="Normal"/>
    <w:rsid w:val="001F17B8"/>
    <w:pPr>
      <w:spacing w:line="240" w:lineRule="auto"/>
      <w:jc w:val="center"/>
    </w:pPr>
    <w:rPr>
      <w:b/>
      <w:u w:val="single"/>
      <w:lang w:eastAsia="fr-FR" w:bidi="fr-FR"/>
    </w:rPr>
  </w:style>
  <w:style w:type="paragraph" w:customStyle="1" w:styleId="DatedadoptionPagedecouverture">
    <w:name w:val="Date d'adoption (Page de couverture)"/>
    <w:basedOn w:val="Datedadoption"/>
    <w:next w:val="TitreobjetPagedecouverture"/>
    <w:rsid w:val="001F17B8"/>
    <w:pPr>
      <w:spacing w:line="240" w:lineRule="auto"/>
    </w:pPr>
    <w:rPr>
      <w:lang w:eastAsia="fr-FR" w:bidi="fr-FR"/>
    </w:rPr>
  </w:style>
  <w:style w:type="paragraph" w:customStyle="1" w:styleId="RfrenceinterinstitutionnellePagedecouverture">
    <w:name w:val="Référence interinstitutionnelle (Page de couverture)"/>
    <w:basedOn w:val="Rfrenceinterinstitutionnelle"/>
    <w:next w:val="Confidentialit"/>
    <w:rsid w:val="001F17B8"/>
  </w:style>
  <w:style w:type="paragraph" w:customStyle="1" w:styleId="StatutPagedecouverture">
    <w:name w:val="Statut (Page de couverture)"/>
    <w:basedOn w:val="Statut"/>
    <w:next w:val="TypedudocumentPagedecouverture"/>
    <w:rsid w:val="001F17B8"/>
    <w:pPr>
      <w:spacing w:line="240" w:lineRule="auto"/>
    </w:pPr>
    <w:rPr>
      <w:lang w:eastAsia="fr-FR" w:bidi="fr-FR"/>
    </w:rPr>
  </w:style>
  <w:style w:type="paragraph" w:customStyle="1" w:styleId="Volume">
    <w:name w:val="Volume"/>
    <w:basedOn w:val="Normal"/>
    <w:next w:val="Confidentialit"/>
    <w:rsid w:val="001F17B8"/>
    <w:pPr>
      <w:spacing w:before="0" w:after="240" w:line="240" w:lineRule="auto"/>
      <w:ind w:left="5103"/>
    </w:pPr>
    <w:rPr>
      <w:lang w:eastAsia="fr-FR" w:bidi="fr-FR"/>
    </w:rPr>
  </w:style>
  <w:style w:type="paragraph" w:customStyle="1" w:styleId="Accompagnant">
    <w:name w:val="Accompagnant"/>
    <w:basedOn w:val="Normal"/>
    <w:next w:val="Typeacteprincipal"/>
    <w:rsid w:val="001F17B8"/>
    <w:pPr>
      <w:spacing w:before="0" w:after="240" w:line="240" w:lineRule="auto"/>
      <w:jc w:val="center"/>
    </w:pPr>
    <w:rPr>
      <w:b/>
      <w:i/>
      <w:lang w:eastAsia="fr-FR" w:bidi="fr-FR"/>
    </w:rPr>
  </w:style>
  <w:style w:type="paragraph" w:customStyle="1" w:styleId="Typeacteprincipal">
    <w:name w:val="Type acte principal"/>
    <w:basedOn w:val="Normal"/>
    <w:next w:val="Objetacteprincipal"/>
    <w:rsid w:val="001F17B8"/>
    <w:pPr>
      <w:spacing w:before="0" w:after="240" w:line="240" w:lineRule="auto"/>
      <w:jc w:val="center"/>
    </w:pPr>
    <w:rPr>
      <w:b/>
      <w:lang w:eastAsia="fr-FR" w:bidi="fr-FR"/>
    </w:rPr>
  </w:style>
  <w:style w:type="paragraph" w:customStyle="1" w:styleId="Objetacteprincipal">
    <w:name w:val="Objet acte principal"/>
    <w:basedOn w:val="Normal"/>
    <w:next w:val="Titrearticle"/>
    <w:rsid w:val="001F17B8"/>
    <w:pPr>
      <w:spacing w:before="0" w:after="360" w:line="240" w:lineRule="auto"/>
      <w:jc w:val="center"/>
    </w:pPr>
    <w:rPr>
      <w:b/>
      <w:lang w:eastAsia="fr-FR" w:bidi="fr-FR"/>
    </w:rPr>
  </w:style>
  <w:style w:type="paragraph" w:customStyle="1" w:styleId="IntrtEEEPagedecouverture">
    <w:name w:val="Intérêt EEE (Page de couverture)"/>
    <w:basedOn w:val="IntrtEEE"/>
    <w:next w:val="Rfrencecroise"/>
    <w:rsid w:val="001F17B8"/>
    <w:pPr>
      <w:spacing w:line="240" w:lineRule="auto"/>
    </w:pPr>
    <w:rPr>
      <w:lang w:eastAsia="fr-FR" w:bidi="fr-FR"/>
    </w:rPr>
  </w:style>
  <w:style w:type="paragraph" w:customStyle="1" w:styleId="AccompagnantPagedecouverture">
    <w:name w:val="Accompagnant (Page de couverture)"/>
    <w:basedOn w:val="Accompagnant"/>
    <w:next w:val="TypeacteprincipalPagedecouverture"/>
    <w:rsid w:val="001F17B8"/>
  </w:style>
  <w:style w:type="paragraph" w:customStyle="1" w:styleId="TypeacteprincipalPagedecouverture">
    <w:name w:val="Type acte principal (Page de couverture)"/>
    <w:basedOn w:val="Typeacteprincipal"/>
    <w:next w:val="ObjetacteprincipalPagedecouverture"/>
    <w:rsid w:val="001F17B8"/>
  </w:style>
  <w:style w:type="paragraph" w:customStyle="1" w:styleId="ObjetacteprincipalPagedecouverture">
    <w:name w:val="Objet acte principal (Page de couverture)"/>
    <w:basedOn w:val="Objetacteprincipal"/>
    <w:next w:val="Rfrencecroise"/>
    <w:rsid w:val="001F17B8"/>
  </w:style>
  <w:style w:type="paragraph" w:customStyle="1" w:styleId="LanguesfaisantfoiPagedecouverture">
    <w:name w:val="Langues faisant foi (Page de couverture)"/>
    <w:basedOn w:val="Normal"/>
    <w:next w:val="Normal"/>
    <w:rsid w:val="001F17B8"/>
    <w:pPr>
      <w:spacing w:before="360" w:after="0" w:line="240" w:lineRule="auto"/>
      <w:jc w:val="center"/>
    </w:pPr>
    <w:rPr>
      <w:lang w:eastAsia="fr-FR" w:bidi="fr-FR"/>
    </w:rPr>
  </w:style>
  <w:style w:type="paragraph" w:styleId="ListBullet2">
    <w:name w:val="List Bullet 2"/>
    <w:basedOn w:val="Normal"/>
    <w:rsid w:val="001F17B8"/>
    <w:pPr>
      <w:numPr>
        <w:numId w:val="37"/>
      </w:numPr>
      <w:spacing w:line="240" w:lineRule="auto"/>
      <w:jc w:val="both"/>
    </w:pPr>
    <w:rPr>
      <w:lang w:eastAsia="fr-FR" w:bidi="fr-FR"/>
    </w:rPr>
  </w:style>
  <w:style w:type="paragraph" w:styleId="ListBullet3">
    <w:name w:val="List Bullet 3"/>
    <w:basedOn w:val="Normal"/>
    <w:rsid w:val="001F17B8"/>
    <w:pPr>
      <w:numPr>
        <w:numId w:val="38"/>
      </w:numPr>
      <w:spacing w:line="240" w:lineRule="auto"/>
      <w:jc w:val="both"/>
    </w:pPr>
    <w:rPr>
      <w:lang w:eastAsia="fr-FR" w:bidi="fr-FR"/>
    </w:rPr>
  </w:style>
  <w:style w:type="paragraph" w:styleId="ListBullet4">
    <w:name w:val="List Bullet 4"/>
    <w:basedOn w:val="Normal"/>
    <w:rsid w:val="001F17B8"/>
    <w:pPr>
      <w:numPr>
        <w:numId w:val="39"/>
      </w:numPr>
      <w:spacing w:line="240" w:lineRule="auto"/>
      <w:jc w:val="both"/>
    </w:pPr>
    <w:rPr>
      <w:lang w:eastAsia="fr-FR" w:bidi="fr-FR"/>
    </w:rPr>
  </w:style>
  <w:style w:type="paragraph" w:styleId="ListNumber2">
    <w:name w:val="List Number 2"/>
    <w:basedOn w:val="Normal"/>
    <w:rsid w:val="001F17B8"/>
    <w:pPr>
      <w:tabs>
        <w:tab w:val="num" w:pos="1560"/>
      </w:tabs>
      <w:spacing w:line="240" w:lineRule="auto"/>
      <w:ind w:left="1560" w:hanging="709"/>
      <w:jc w:val="both"/>
    </w:pPr>
    <w:rPr>
      <w:lang w:eastAsia="fr-FR" w:bidi="fr-FR"/>
    </w:rPr>
  </w:style>
  <w:style w:type="paragraph" w:styleId="ListNumber3">
    <w:name w:val="List Number 3"/>
    <w:basedOn w:val="Normal"/>
    <w:rsid w:val="001F17B8"/>
    <w:pPr>
      <w:numPr>
        <w:numId w:val="34"/>
      </w:numPr>
      <w:spacing w:line="240" w:lineRule="auto"/>
      <w:jc w:val="both"/>
    </w:pPr>
    <w:rPr>
      <w:lang w:eastAsia="fr-FR" w:bidi="fr-FR"/>
    </w:rPr>
  </w:style>
  <w:style w:type="paragraph" w:styleId="ListNumber4">
    <w:name w:val="List Number 4"/>
    <w:basedOn w:val="Normal"/>
    <w:rsid w:val="001F17B8"/>
    <w:pPr>
      <w:numPr>
        <w:numId w:val="35"/>
      </w:numPr>
      <w:spacing w:line="240" w:lineRule="auto"/>
      <w:jc w:val="both"/>
    </w:pPr>
    <w:rPr>
      <w:lang w:eastAsia="fr-FR" w:bidi="fr-FR"/>
    </w:rPr>
  </w:style>
  <w:style w:type="paragraph" w:customStyle="1" w:styleId="ListBullet1">
    <w:name w:val="List Bullet 1"/>
    <w:basedOn w:val="Normal"/>
    <w:rsid w:val="001F17B8"/>
    <w:pPr>
      <w:numPr>
        <w:numId w:val="36"/>
      </w:numPr>
      <w:spacing w:line="240" w:lineRule="auto"/>
      <w:jc w:val="both"/>
    </w:pPr>
    <w:rPr>
      <w:lang w:eastAsia="fr-FR" w:bidi="fr-FR"/>
    </w:rPr>
  </w:style>
  <w:style w:type="paragraph" w:customStyle="1" w:styleId="ListDash">
    <w:name w:val="List Dash"/>
    <w:basedOn w:val="Normal"/>
    <w:rsid w:val="001F17B8"/>
    <w:pPr>
      <w:numPr>
        <w:numId w:val="40"/>
      </w:numPr>
      <w:spacing w:line="240" w:lineRule="auto"/>
      <w:jc w:val="both"/>
    </w:pPr>
    <w:rPr>
      <w:lang w:eastAsia="fr-FR" w:bidi="fr-FR"/>
    </w:rPr>
  </w:style>
  <w:style w:type="paragraph" w:customStyle="1" w:styleId="ListDash1">
    <w:name w:val="List Dash 1"/>
    <w:basedOn w:val="Normal"/>
    <w:rsid w:val="001F17B8"/>
    <w:pPr>
      <w:numPr>
        <w:numId w:val="41"/>
      </w:numPr>
      <w:spacing w:line="240" w:lineRule="auto"/>
      <w:jc w:val="both"/>
    </w:pPr>
    <w:rPr>
      <w:lang w:eastAsia="fr-FR" w:bidi="fr-FR"/>
    </w:rPr>
  </w:style>
  <w:style w:type="paragraph" w:customStyle="1" w:styleId="ListDash2">
    <w:name w:val="List Dash 2"/>
    <w:basedOn w:val="Normal"/>
    <w:rsid w:val="001F17B8"/>
    <w:pPr>
      <w:numPr>
        <w:numId w:val="42"/>
      </w:numPr>
      <w:spacing w:line="240" w:lineRule="auto"/>
      <w:jc w:val="both"/>
    </w:pPr>
    <w:rPr>
      <w:lang w:eastAsia="fr-FR" w:bidi="fr-FR"/>
    </w:rPr>
  </w:style>
  <w:style w:type="paragraph" w:customStyle="1" w:styleId="ListDash3">
    <w:name w:val="List Dash 3"/>
    <w:basedOn w:val="Normal"/>
    <w:rsid w:val="001F17B8"/>
    <w:pPr>
      <w:numPr>
        <w:numId w:val="43"/>
      </w:numPr>
      <w:spacing w:line="240" w:lineRule="auto"/>
      <w:jc w:val="both"/>
    </w:pPr>
    <w:rPr>
      <w:lang w:eastAsia="fr-FR" w:bidi="fr-FR"/>
    </w:rPr>
  </w:style>
  <w:style w:type="paragraph" w:customStyle="1" w:styleId="ListDash4">
    <w:name w:val="List Dash 4"/>
    <w:basedOn w:val="Normal"/>
    <w:rsid w:val="001F17B8"/>
    <w:pPr>
      <w:numPr>
        <w:numId w:val="44"/>
      </w:numPr>
      <w:spacing w:line="240" w:lineRule="auto"/>
      <w:jc w:val="both"/>
    </w:pPr>
    <w:rPr>
      <w:lang w:eastAsia="fr-FR" w:bidi="fr-FR"/>
    </w:rPr>
  </w:style>
  <w:style w:type="paragraph" w:customStyle="1" w:styleId="ListNumber1">
    <w:name w:val="List Number 1"/>
    <w:basedOn w:val="Text1"/>
    <w:rsid w:val="001F17B8"/>
    <w:pPr>
      <w:numPr>
        <w:numId w:val="33"/>
      </w:numPr>
      <w:spacing w:line="240" w:lineRule="auto"/>
      <w:jc w:val="both"/>
      <w:outlineLvl w:val="9"/>
    </w:pPr>
    <w:rPr>
      <w:lang w:eastAsia="fr-FR" w:bidi="fr-FR"/>
    </w:rPr>
  </w:style>
  <w:style w:type="paragraph" w:customStyle="1" w:styleId="ListNumber1Level2">
    <w:name w:val="List Number 1 (Level 2)"/>
    <w:basedOn w:val="Text1"/>
    <w:rsid w:val="001F17B8"/>
    <w:pPr>
      <w:numPr>
        <w:ilvl w:val="1"/>
        <w:numId w:val="33"/>
      </w:numPr>
      <w:spacing w:line="240" w:lineRule="auto"/>
      <w:jc w:val="both"/>
      <w:outlineLvl w:val="9"/>
    </w:pPr>
    <w:rPr>
      <w:lang w:eastAsia="fr-FR" w:bidi="fr-FR"/>
    </w:rPr>
  </w:style>
  <w:style w:type="paragraph" w:customStyle="1" w:styleId="ListNumber2Level2">
    <w:name w:val="List Number 2 (Level 2)"/>
    <w:basedOn w:val="Text2"/>
    <w:rsid w:val="001F17B8"/>
    <w:pPr>
      <w:tabs>
        <w:tab w:val="num" w:pos="2268"/>
      </w:tabs>
      <w:spacing w:line="240" w:lineRule="auto"/>
      <w:ind w:left="2268" w:hanging="708"/>
      <w:jc w:val="both"/>
      <w:outlineLvl w:val="9"/>
    </w:pPr>
    <w:rPr>
      <w:lang w:eastAsia="fr-FR" w:bidi="fr-FR"/>
    </w:rPr>
  </w:style>
  <w:style w:type="paragraph" w:customStyle="1" w:styleId="ListNumber3Level2">
    <w:name w:val="List Number 3 (Level 2)"/>
    <w:basedOn w:val="Text3"/>
    <w:rsid w:val="001F17B8"/>
    <w:pPr>
      <w:numPr>
        <w:ilvl w:val="1"/>
        <w:numId w:val="34"/>
      </w:numPr>
      <w:spacing w:line="240" w:lineRule="auto"/>
      <w:jc w:val="both"/>
      <w:outlineLvl w:val="9"/>
    </w:pPr>
    <w:rPr>
      <w:lang w:eastAsia="fr-FR" w:bidi="fr-FR"/>
    </w:rPr>
  </w:style>
  <w:style w:type="paragraph" w:customStyle="1" w:styleId="ListNumber4Level2">
    <w:name w:val="List Number 4 (Level 2)"/>
    <w:basedOn w:val="Text4"/>
    <w:rsid w:val="001F17B8"/>
    <w:pPr>
      <w:numPr>
        <w:ilvl w:val="1"/>
        <w:numId w:val="35"/>
      </w:numPr>
      <w:spacing w:line="240" w:lineRule="auto"/>
      <w:jc w:val="both"/>
      <w:outlineLvl w:val="9"/>
    </w:pPr>
    <w:rPr>
      <w:lang w:eastAsia="fr-FR" w:bidi="fr-FR"/>
    </w:rPr>
  </w:style>
  <w:style w:type="paragraph" w:customStyle="1" w:styleId="ListNumber1Level3">
    <w:name w:val="List Number 1 (Level 3)"/>
    <w:basedOn w:val="Text1"/>
    <w:rsid w:val="001F17B8"/>
    <w:pPr>
      <w:numPr>
        <w:ilvl w:val="2"/>
        <w:numId w:val="33"/>
      </w:numPr>
      <w:spacing w:line="240" w:lineRule="auto"/>
      <w:jc w:val="both"/>
      <w:outlineLvl w:val="9"/>
    </w:pPr>
    <w:rPr>
      <w:lang w:eastAsia="fr-FR" w:bidi="fr-FR"/>
    </w:rPr>
  </w:style>
  <w:style w:type="paragraph" w:customStyle="1" w:styleId="ListNumber2Level3">
    <w:name w:val="List Number 2 (Level 3)"/>
    <w:basedOn w:val="Text2"/>
    <w:rsid w:val="001F17B8"/>
    <w:pPr>
      <w:tabs>
        <w:tab w:val="num" w:pos="2977"/>
      </w:tabs>
      <w:spacing w:line="240" w:lineRule="auto"/>
      <w:ind w:left="2977" w:hanging="709"/>
      <w:jc w:val="both"/>
      <w:outlineLvl w:val="9"/>
    </w:pPr>
    <w:rPr>
      <w:lang w:eastAsia="fr-FR" w:bidi="fr-FR"/>
    </w:rPr>
  </w:style>
  <w:style w:type="paragraph" w:customStyle="1" w:styleId="ListNumber3Level3">
    <w:name w:val="List Number 3 (Level 3)"/>
    <w:basedOn w:val="Text3"/>
    <w:rsid w:val="001F17B8"/>
    <w:pPr>
      <w:numPr>
        <w:ilvl w:val="2"/>
        <w:numId w:val="34"/>
      </w:numPr>
      <w:spacing w:line="240" w:lineRule="auto"/>
      <w:jc w:val="both"/>
      <w:outlineLvl w:val="9"/>
    </w:pPr>
    <w:rPr>
      <w:lang w:eastAsia="fr-FR" w:bidi="fr-FR"/>
    </w:rPr>
  </w:style>
  <w:style w:type="paragraph" w:customStyle="1" w:styleId="ListNumber4Level3">
    <w:name w:val="List Number 4 (Level 3)"/>
    <w:basedOn w:val="Text4"/>
    <w:rsid w:val="001F17B8"/>
    <w:pPr>
      <w:numPr>
        <w:ilvl w:val="2"/>
        <w:numId w:val="35"/>
      </w:numPr>
      <w:spacing w:line="240" w:lineRule="auto"/>
      <w:jc w:val="both"/>
      <w:outlineLvl w:val="9"/>
    </w:pPr>
    <w:rPr>
      <w:lang w:eastAsia="fr-FR" w:bidi="fr-FR"/>
    </w:rPr>
  </w:style>
  <w:style w:type="paragraph" w:customStyle="1" w:styleId="ListNumber1Level4">
    <w:name w:val="List Number 1 (Level 4)"/>
    <w:basedOn w:val="Text1"/>
    <w:rsid w:val="001F17B8"/>
    <w:pPr>
      <w:numPr>
        <w:ilvl w:val="3"/>
        <w:numId w:val="33"/>
      </w:numPr>
      <w:spacing w:line="240" w:lineRule="auto"/>
      <w:jc w:val="both"/>
      <w:outlineLvl w:val="9"/>
    </w:pPr>
    <w:rPr>
      <w:lang w:eastAsia="fr-FR" w:bidi="fr-FR"/>
    </w:rPr>
  </w:style>
  <w:style w:type="paragraph" w:customStyle="1" w:styleId="ListNumber2Level4">
    <w:name w:val="List Number 2 (Level 4)"/>
    <w:basedOn w:val="Text2"/>
    <w:rsid w:val="001F17B8"/>
    <w:pPr>
      <w:tabs>
        <w:tab w:val="num" w:pos="3686"/>
      </w:tabs>
      <w:spacing w:line="240" w:lineRule="auto"/>
      <w:ind w:left="3686" w:hanging="709"/>
      <w:jc w:val="both"/>
      <w:outlineLvl w:val="9"/>
    </w:pPr>
    <w:rPr>
      <w:lang w:eastAsia="fr-FR" w:bidi="fr-FR"/>
    </w:rPr>
  </w:style>
  <w:style w:type="paragraph" w:customStyle="1" w:styleId="ListNumber3Level4">
    <w:name w:val="List Number 3 (Level 4)"/>
    <w:basedOn w:val="Text3"/>
    <w:rsid w:val="001F17B8"/>
    <w:pPr>
      <w:numPr>
        <w:ilvl w:val="3"/>
        <w:numId w:val="34"/>
      </w:numPr>
      <w:spacing w:line="240" w:lineRule="auto"/>
      <w:jc w:val="both"/>
      <w:outlineLvl w:val="9"/>
    </w:pPr>
    <w:rPr>
      <w:lang w:eastAsia="fr-FR" w:bidi="fr-FR"/>
    </w:rPr>
  </w:style>
  <w:style w:type="paragraph" w:customStyle="1" w:styleId="ListNumber4Level4">
    <w:name w:val="List Number 4 (Level 4)"/>
    <w:basedOn w:val="Text4"/>
    <w:rsid w:val="001F17B8"/>
    <w:pPr>
      <w:numPr>
        <w:ilvl w:val="3"/>
        <w:numId w:val="35"/>
      </w:numPr>
      <w:spacing w:line="240" w:lineRule="auto"/>
      <w:jc w:val="both"/>
      <w:outlineLvl w:val="9"/>
    </w:pPr>
    <w:rPr>
      <w:lang w:eastAsia="fr-FR" w:bidi="fr-FR"/>
    </w:rPr>
  </w:style>
  <w:style w:type="paragraph" w:customStyle="1" w:styleId="Rfrenceinterinstitutionelleprliminaire">
    <w:name w:val="Référence interinstitutionelle (préliminaire)"/>
    <w:basedOn w:val="Normal"/>
    <w:next w:val="Normal"/>
    <w:rsid w:val="001F17B8"/>
    <w:pPr>
      <w:spacing w:before="0" w:after="0" w:line="240" w:lineRule="auto"/>
      <w:ind w:left="5103"/>
    </w:pPr>
    <w:rPr>
      <w:lang w:eastAsia="fr-FR" w:bidi="fr-FR"/>
    </w:rPr>
  </w:style>
  <w:style w:type="paragraph" w:customStyle="1" w:styleId="Sous-titreobjetprliminaire">
    <w:name w:val="Sous-titre objet (préliminaire)"/>
    <w:basedOn w:val="Normal"/>
    <w:rsid w:val="001F17B8"/>
    <w:pPr>
      <w:spacing w:before="0" w:after="0" w:line="240" w:lineRule="auto"/>
      <w:jc w:val="center"/>
    </w:pPr>
    <w:rPr>
      <w:b/>
      <w:lang w:eastAsia="fr-FR" w:bidi="fr-FR"/>
    </w:rPr>
  </w:style>
  <w:style w:type="paragraph" w:customStyle="1" w:styleId="Statutprliminaire">
    <w:name w:val="Statut (préliminaire)"/>
    <w:basedOn w:val="Normal"/>
    <w:next w:val="Normal"/>
    <w:rsid w:val="001F17B8"/>
    <w:pPr>
      <w:spacing w:before="360" w:after="0" w:line="240" w:lineRule="auto"/>
      <w:jc w:val="center"/>
    </w:pPr>
    <w:rPr>
      <w:lang w:eastAsia="fr-FR" w:bidi="fr-FR"/>
    </w:rPr>
  </w:style>
  <w:style w:type="paragraph" w:customStyle="1" w:styleId="Titreobjetprliminaire">
    <w:name w:val="Titre objet (préliminaire)"/>
    <w:basedOn w:val="Normal"/>
    <w:next w:val="Normal"/>
    <w:rsid w:val="001F17B8"/>
    <w:pPr>
      <w:spacing w:before="360" w:after="360" w:line="240" w:lineRule="auto"/>
      <w:jc w:val="center"/>
    </w:pPr>
    <w:rPr>
      <w:b/>
      <w:lang w:eastAsia="fr-FR" w:bidi="fr-FR"/>
    </w:rPr>
  </w:style>
  <w:style w:type="paragraph" w:customStyle="1" w:styleId="Typedudocumentprliminaire">
    <w:name w:val="Type du document (préliminaire)"/>
    <w:basedOn w:val="Normal"/>
    <w:next w:val="Normal"/>
    <w:rsid w:val="001F17B8"/>
    <w:pPr>
      <w:spacing w:before="360" w:after="0" w:line="240" w:lineRule="auto"/>
      <w:jc w:val="center"/>
    </w:pPr>
    <w:rPr>
      <w:b/>
      <w:lang w:eastAsia="fr-FR" w:bidi="fr-FR"/>
    </w:rPr>
  </w:style>
  <w:style w:type="character" w:customStyle="1" w:styleId="manualnumpar1char0">
    <w:name w:val="manualnumpar1char"/>
    <w:rsid w:val="001F17B8"/>
    <w:rPr>
      <w:rFonts w:cs="Times New Roman"/>
      <w:shd w:val="clear" w:color="auto" w:fill="auto"/>
    </w:rPr>
  </w:style>
  <w:style w:type="character" w:customStyle="1" w:styleId="DeltaViewInsertion">
    <w:name w:val="DeltaView Insertion"/>
    <w:rsid w:val="001F17B8"/>
    <w:rPr>
      <w:b/>
      <w:color w:val="FFFFFF"/>
      <w:spacing w:val="0"/>
      <w:u w:val="single"/>
    </w:rPr>
  </w:style>
  <w:style w:type="character" w:styleId="Strong">
    <w:name w:val="Strong"/>
    <w:uiPriority w:val="22"/>
    <w:qFormat/>
    <w:rsid w:val="001F17B8"/>
    <w:rPr>
      <w:rFonts w:cs="Times New Roman"/>
      <w:b/>
      <w:bCs/>
      <w:shd w:val="clear" w:color="auto" w:fill="auto"/>
    </w:rPr>
  </w:style>
  <w:style w:type="paragraph" w:styleId="BalloonText">
    <w:name w:val="Balloon Text"/>
    <w:basedOn w:val="Normal"/>
    <w:link w:val="BalloonTextChar"/>
    <w:semiHidden/>
    <w:rsid w:val="001F17B8"/>
    <w:pPr>
      <w:spacing w:line="240" w:lineRule="auto"/>
      <w:jc w:val="both"/>
    </w:pPr>
    <w:rPr>
      <w:rFonts w:ascii="Tahoma" w:hAnsi="Tahoma" w:cs="Tahoma"/>
      <w:sz w:val="16"/>
      <w:szCs w:val="16"/>
      <w:lang w:eastAsia="fr-FR" w:bidi="fr-FR"/>
    </w:rPr>
  </w:style>
  <w:style w:type="character" w:customStyle="1" w:styleId="BalloonTextChar">
    <w:name w:val="Balloon Text Char"/>
    <w:basedOn w:val="DefaultParagraphFont"/>
    <w:link w:val="BalloonText"/>
    <w:semiHidden/>
    <w:rsid w:val="001F17B8"/>
    <w:rPr>
      <w:rFonts w:ascii="Tahoma" w:hAnsi="Tahoma" w:cs="Tahoma"/>
      <w:sz w:val="16"/>
      <w:szCs w:val="16"/>
      <w:lang w:val="fr-FR" w:eastAsia="fr-FR" w:bidi="fr-FR"/>
    </w:rPr>
  </w:style>
  <w:style w:type="paragraph" w:styleId="CommentText">
    <w:name w:val="annotation text"/>
    <w:basedOn w:val="Normal"/>
    <w:link w:val="CommentTextChar"/>
    <w:rsid w:val="001F17B8"/>
    <w:pPr>
      <w:spacing w:before="0" w:after="0" w:line="240" w:lineRule="auto"/>
    </w:pPr>
    <w:rPr>
      <w:sz w:val="20"/>
      <w:szCs w:val="20"/>
      <w:lang w:eastAsia="fr-FR" w:bidi="fr-FR"/>
    </w:rPr>
  </w:style>
  <w:style w:type="character" w:customStyle="1" w:styleId="CommentTextChar">
    <w:name w:val="Comment Text Char"/>
    <w:basedOn w:val="DefaultParagraphFont"/>
    <w:link w:val="CommentText"/>
    <w:rsid w:val="001F17B8"/>
    <w:rPr>
      <w:lang w:val="fr-FR" w:eastAsia="fr-FR" w:bidi="fr-FR"/>
    </w:rPr>
  </w:style>
  <w:style w:type="paragraph" w:customStyle="1" w:styleId="Style1">
    <w:name w:val="Style1"/>
    <w:basedOn w:val="NumPar1"/>
    <w:rsid w:val="001F17B8"/>
    <w:pPr>
      <w:spacing w:line="240" w:lineRule="auto"/>
      <w:jc w:val="both"/>
      <w:outlineLvl w:val="9"/>
    </w:pPr>
    <w:rPr>
      <w:lang w:eastAsia="fr-FR" w:bidi="fr-FR"/>
    </w:rPr>
  </w:style>
  <w:style w:type="paragraph" w:customStyle="1" w:styleId="Titre">
    <w:name w:val="Ti tre"/>
    <w:basedOn w:val="Titrearticle"/>
    <w:rsid w:val="001F17B8"/>
    <w:pPr>
      <w:spacing w:line="240" w:lineRule="auto"/>
    </w:pPr>
    <w:rPr>
      <w:noProof/>
      <w:lang w:eastAsia="fr-FR" w:bidi="fr-FR"/>
    </w:rPr>
  </w:style>
  <w:style w:type="paragraph" w:customStyle="1" w:styleId="1">
    <w:name w:val="1."/>
    <w:basedOn w:val="NumPar1"/>
    <w:rsid w:val="001F17B8"/>
    <w:pPr>
      <w:spacing w:line="240" w:lineRule="auto"/>
      <w:jc w:val="both"/>
      <w:outlineLvl w:val="9"/>
    </w:pPr>
    <w:rPr>
      <w:lang w:eastAsia="fr-FR" w:bidi="fr-FR"/>
    </w:rPr>
  </w:style>
  <w:style w:type="paragraph" w:styleId="Caption">
    <w:name w:val="caption"/>
    <w:basedOn w:val="Normal"/>
    <w:next w:val="Normal"/>
    <w:qFormat/>
    <w:rsid w:val="001F17B8"/>
    <w:pPr>
      <w:spacing w:line="240" w:lineRule="auto"/>
      <w:jc w:val="both"/>
    </w:pPr>
    <w:rPr>
      <w:b/>
      <w:bCs/>
      <w:sz w:val="20"/>
      <w:szCs w:val="20"/>
      <w:lang w:eastAsia="fr-FR" w:bidi="fr-FR"/>
    </w:rPr>
  </w:style>
  <w:style w:type="paragraph" w:styleId="TableofFigures">
    <w:name w:val="table of figures"/>
    <w:basedOn w:val="Normal"/>
    <w:next w:val="Normal"/>
    <w:semiHidden/>
    <w:rsid w:val="001F17B8"/>
    <w:pPr>
      <w:spacing w:line="240" w:lineRule="auto"/>
      <w:jc w:val="both"/>
    </w:pPr>
    <w:rPr>
      <w:lang w:eastAsia="fr-FR" w:bidi="fr-FR"/>
    </w:rPr>
  </w:style>
  <w:style w:type="paragraph" w:styleId="CommentSubject">
    <w:name w:val="annotation subject"/>
    <w:basedOn w:val="CommentText"/>
    <w:next w:val="CommentText"/>
    <w:link w:val="CommentSubjectChar"/>
    <w:semiHidden/>
    <w:rsid w:val="001F17B8"/>
    <w:pPr>
      <w:spacing w:before="120" w:after="120"/>
      <w:jc w:val="both"/>
    </w:pPr>
    <w:rPr>
      <w:b/>
      <w:bCs/>
    </w:rPr>
  </w:style>
  <w:style w:type="character" w:customStyle="1" w:styleId="CommentSubjectChar">
    <w:name w:val="Comment Subject Char"/>
    <w:basedOn w:val="CommentTextChar"/>
    <w:link w:val="CommentSubject"/>
    <w:semiHidden/>
    <w:rsid w:val="001F17B8"/>
    <w:rPr>
      <w:b/>
      <w:bCs/>
      <w:lang w:val="fr-FR" w:eastAsia="fr-FR" w:bidi="fr-FR"/>
    </w:rPr>
  </w:style>
  <w:style w:type="character" w:styleId="Hyperlink">
    <w:name w:val="Hyperlink"/>
    <w:rsid w:val="001F17B8"/>
    <w:rPr>
      <w:rFonts w:cs="Times New Roman"/>
      <w:color w:val="0000FF"/>
      <w:u w:val="single"/>
    </w:rPr>
  </w:style>
  <w:style w:type="character" w:styleId="FollowedHyperlink">
    <w:name w:val="FollowedHyperlink"/>
    <w:rsid w:val="001F17B8"/>
    <w:rPr>
      <w:rFonts w:cs="Times New Roman"/>
      <w:color w:val="800080"/>
      <w:u w:val="single"/>
    </w:rPr>
  </w:style>
  <w:style w:type="paragraph" w:styleId="PlainText">
    <w:name w:val="Plain Text"/>
    <w:basedOn w:val="Normal"/>
    <w:link w:val="PlainTextChar"/>
    <w:rsid w:val="001F17B8"/>
    <w:pPr>
      <w:spacing w:line="240" w:lineRule="auto"/>
      <w:jc w:val="both"/>
    </w:pPr>
    <w:rPr>
      <w:rFonts w:ascii="Courier New" w:hAnsi="Courier New" w:cs="Courier New"/>
      <w:sz w:val="20"/>
      <w:szCs w:val="20"/>
      <w:lang w:eastAsia="fr-FR" w:bidi="fr-FR"/>
    </w:rPr>
  </w:style>
  <w:style w:type="character" w:customStyle="1" w:styleId="PlainTextChar">
    <w:name w:val="Plain Text Char"/>
    <w:basedOn w:val="DefaultParagraphFont"/>
    <w:link w:val="PlainText"/>
    <w:rsid w:val="001F17B8"/>
    <w:rPr>
      <w:rFonts w:ascii="Courier New" w:hAnsi="Courier New" w:cs="Courier New"/>
      <w:lang w:val="fr-FR" w:eastAsia="fr-FR" w:bidi="fr-FR"/>
    </w:rPr>
  </w:style>
  <w:style w:type="table" w:styleId="TableGrid">
    <w:name w:val="Table Grid"/>
    <w:basedOn w:val="TableNormal"/>
    <w:rsid w:val="001F17B8"/>
    <w:pPr>
      <w:spacing w:before="120" w:after="120"/>
      <w:jc w:val="both"/>
    </w:pPr>
    <w:rPr>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F17B8"/>
    <w:pPr>
      <w:spacing w:before="240" w:after="60" w:line="240" w:lineRule="auto"/>
      <w:jc w:val="center"/>
      <w:outlineLvl w:val="0"/>
    </w:pPr>
    <w:rPr>
      <w:rFonts w:ascii="Arial" w:hAnsi="Arial" w:cs="Arial"/>
      <w:b/>
      <w:bCs/>
      <w:kern w:val="28"/>
      <w:sz w:val="32"/>
      <w:szCs w:val="32"/>
      <w:lang w:eastAsia="fr-FR" w:bidi="fr-FR"/>
    </w:rPr>
  </w:style>
  <w:style w:type="character" w:customStyle="1" w:styleId="TitleChar">
    <w:name w:val="Title Char"/>
    <w:basedOn w:val="DefaultParagraphFont"/>
    <w:link w:val="Title"/>
    <w:rsid w:val="001F17B8"/>
    <w:rPr>
      <w:rFonts w:ascii="Arial" w:hAnsi="Arial" w:cs="Arial"/>
      <w:b/>
      <w:bCs/>
      <w:kern w:val="28"/>
      <w:sz w:val="32"/>
      <w:szCs w:val="32"/>
      <w:lang w:val="fr-FR" w:eastAsia="fr-FR" w:bidi="fr-FR"/>
    </w:rPr>
  </w:style>
  <w:style w:type="paragraph" w:styleId="DocumentMap">
    <w:name w:val="Document Map"/>
    <w:basedOn w:val="Normal"/>
    <w:link w:val="DocumentMapChar"/>
    <w:semiHidden/>
    <w:rsid w:val="001F17B8"/>
    <w:pPr>
      <w:shd w:val="clear" w:color="auto" w:fill="000080"/>
      <w:spacing w:line="240" w:lineRule="auto"/>
      <w:jc w:val="both"/>
    </w:pPr>
    <w:rPr>
      <w:rFonts w:ascii="Tahoma" w:hAnsi="Tahoma" w:cs="Tahoma"/>
      <w:sz w:val="20"/>
      <w:szCs w:val="20"/>
      <w:lang w:eastAsia="fr-FR" w:bidi="fr-FR"/>
    </w:rPr>
  </w:style>
  <w:style w:type="character" w:customStyle="1" w:styleId="DocumentMapChar">
    <w:name w:val="Document Map Char"/>
    <w:basedOn w:val="DefaultParagraphFont"/>
    <w:link w:val="DocumentMap"/>
    <w:semiHidden/>
    <w:rsid w:val="001F17B8"/>
    <w:rPr>
      <w:rFonts w:ascii="Tahoma" w:hAnsi="Tahoma" w:cs="Tahoma"/>
      <w:shd w:val="clear" w:color="auto" w:fill="000080"/>
      <w:lang w:val="fr-FR" w:eastAsia="fr-FR" w:bidi="fr-FR"/>
    </w:rPr>
  </w:style>
  <w:style w:type="paragraph" w:customStyle="1" w:styleId="Point10">
    <w:name w:val="Point1"/>
    <w:basedOn w:val="NumPar1"/>
    <w:rsid w:val="001F17B8"/>
    <w:pPr>
      <w:numPr>
        <w:numId w:val="0"/>
      </w:numPr>
      <w:spacing w:line="240" w:lineRule="auto"/>
      <w:jc w:val="both"/>
      <w:outlineLvl w:val="9"/>
    </w:pPr>
    <w:rPr>
      <w:lang w:eastAsia="fr-FR" w:bidi="fr-FR"/>
    </w:rPr>
  </w:style>
  <w:style w:type="paragraph" w:customStyle="1" w:styleId="Poin">
    <w:name w:val="Poin"/>
    <w:basedOn w:val="Text1"/>
    <w:rsid w:val="001F17B8"/>
    <w:pPr>
      <w:spacing w:line="240" w:lineRule="auto"/>
      <w:jc w:val="both"/>
      <w:outlineLvl w:val="9"/>
    </w:pPr>
    <w:rPr>
      <w:lang w:eastAsia="fr-FR" w:bidi="fr-FR"/>
    </w:rPr>
  </w:style>
  <w:style w:type="paragraph" w:customStyle="1" w:styleId="CM3">
    <w:name w:val="CM3"/>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customStyle="1" w:styleId="CM4">
    <w:name w:val="CM4"/>
    <w:basedOn w:val="Normal"/>
    <w:next w:val="Normal"/>
    <w:rsid w:val="001F17B8"/>
    <w:pPr>
      <w:autoSpaceDE w:val="0"/>
      <w:autoSpaceDN w:val="0"/>
      <w:adjustRightInd w:val="0"/>
      <w:spacing w:before="0" w:after="0" w:line="240" w:lineRule="auto"/>
    </w:pPr>
    <w:rPr>
      <w:rFonts w:ascii="EUAlbertina" w:eastAsia="Calibri" w:hAnsi="EUAlbertina"/>
      <w:lang w:eastAsia="fr-FR" w:bidi="fr-FR"/>
    </w:rPr>
  </w:style>
  <w:style w:type="paragraph" w:styleId="EndnoteText">
    <w:name w:val="endnote text"/>
    <w:basedOn w:val="Normal"/>
    <w:link w:val="EndnoteTextChar"/>
    <w:rsid w:val="001F17B8"/>
    <w:pPr>
      <w:spacing w:line="240" w:lineRule="auto"/>
      <w:jc w:val="both"/>
    </w:pPr>
    <w:rPr>
      <w:sz w:val="20"/>
      <w:szCs w:val="20"/>
      <w:lang w:eastAsia="fr-FR" w:bidi="fr-FR"/>
    </w:rPr>
  </w:style>
  <w:style w:type="character" w:customStyle="1" w:styleId="EndnoteTextChar">
    <w:name w:val="Endnote Text Char"/>
    <w:basedOn w:val="DefaultParagraphFont"/>
    <w:link w:val="EndnoteText"/>
    <w:rsid w:val="001F17B8"/>
    <w:rPr>
      <w:lang w:val="fr-FR" w:eastAsia="fr-FR" w:bidi="fr-FR"/>
    </w:rPr>
  </w:style>
  <w:style w:type="character" w:styleId="EndnoteReference">
    <w:name w:val="endnote reference"/>
    <w:rsid w:val="001F17B8"/>
    <w:rPr>
      <w:vertAlign w:val="superscript"/>
    </w:rPr>
  </w:style>
  <w:style w:type="paragraph" w:customStyle="1" w:styleId="CONSIDERANT">
    <w:name w:val="CONSIDERANT"/>
    <w:basedOn w:val="ManualConsidrant"/>
    <w:rsid w:val="001F17B8"/>
    <w:pPr>
      <w:spacing w:line="240" w:lineRule="auto"/>
      <w:ind w:left="709" w:hanging="709"/>
      <w:jc w:val="both"/>
    </w:pPr>
    <w:rPr>
      <w:lang w:eastAsia="fr-FR" w:bidi="fr-FR"/>
    </w:rPr>
  </w:style>
  <w:style w:type="character" w:customStyle="1" w:styleId="Char12">
    <w:name w:val="Char12"/>
    <w:rsid w:val="001F17B8"/>
    <w:rPr>
      <w:rFonts w:ascii="Times New Roman" w:hAnsi="Times New Roman"/>
      <w:sz w:val="24"/>
      <w:szCs w:val="22"/>
      <w:lang w:val="fr-FR" w:eastAsia="fr-FR"/>
    </w:rPr>
  </w:style>
  <w:style w:type="paragraph" w:customStyle="1" w:styleId="pj">
    <w:name w:val="p.j."/>
    <w:basedOn w:val="Normal"/>
    <w:link w:val="pjChar"/>
    <w:rsid w:val="001F17B8"/>
    <w:pPr>
      <w:spacing w:before="1200" w:line="240" w:lineRule="auto"/>
      <w:ind w:left="1440" w:hanging="1440"/>
    </w:pPr>
    <w:rPr>
      <w:szCs w:val="22"/>
      <w:lang w:eastAsia="fr-FR" w:bidi="fr-FR"/>
    </w:rPr>
  </w:style>
  <w:style w:type="character" w:customStyle="1" w:styleId="pjChar">
    <w:name w:val="p.j. Char"/>
    <w:link w:val="pj"/>
    <w:rsid w:val="001F17B8"/>
    <w:rPr>
      <w:sz w:val="24"/>
      <w:szCs w:val="22"/>
      <w:lang w:val="fr-FR" w:eastAsia="fr-FR" w:bidi="fr-FR"/>
    </w:rPr>
  </w:style>
  <w:style w:type="character" w:customStyle="1" w:styleId="HeaderCouncilChar">
    <w:name w:val="Header Council Char"/>
    <w:link w:val="HeaderCouncil"/>
    <w:rsid w:val="001F17B8"/>
    <w:rPr>
      <w:sz w:val="2"/>
      <w:szCs w:val="24"/>
      <w:lang w:val="fr-FR" w:eastAsia="en-US"/>
    </w:rPr>
  </w:style>
  <w:style w:type="character" w:customStyle="1" w:styleId="FooterCouncilChar">
    <w:name w:val="Footer Council Char"/>
    <w:link w:val="FooterCouncil"/>
    <w:rsid w:val="001F17B8"/>
    <w:rPr>
      <w:sz w:val="2"/>
      <w:szCs w:val="24"/>
      <w:lang w:val="fr-FR" w:eastAsia="en-US"/>
    </w:rPr>
  </w:style>
  <w:style w:type="character" w:customStyle="1" w:styleId="Char17">
    <w:name w:val="Char17"/>
    <w:rsid w:val="001F17B8"/>
    <w:rPr>
      <w:rFonts w:ascii="Times New Roman" w:eastAsia="Times New Roman" w:hAnsi="Times New Roman" w:cs="Times New Roman"/>
      <w:b/>
      <w:bCs/>
      <w:smallCaps/>
      <w:sz w:val="24"/>
      <w:szCs w:val="32"/>
      <w:lang w:val="fr-FR" w:eastAsia="fr-FR"/>
    </w:rPr>
  </w:style>
  <w:style w:type="character" w:customStyle="1" w:styleId="Char16">
    <w:name w:val="Char16"/>
    <w:rsid w:val="001F17B8"/>
    <w:rPr>
      <w:rFonts w:ascii="Times New Roman" w:eastAsia="Times New Roman" w:hAnsi="Times New Roman" w:cs="Times New Roman"/>
      <w:b/>
      <w:bCs/>
      <w:iCs/>
      <w:sz w:val="24"/>
      <w:szCs w:val="28"/>
      <w:lang w:val="fr-FR" w:eastAsia="fr-FR"/>
    </w:rPr>
  </w:style>
  <w:style w:type="character" w:customStyle="1" w:styleId="Char15">
    <w:name w:val="Char15"/>
    <w:rsid w:val="001F17B8"/>
    <w:rPr>
      <w:rFonts w:ascii="Times New Roman" w:eastAsia="Times New Roman" w:hAnsi="Times New Roman" w:cs="Times New Roman"/>
      <w:bCs/>
      <w:i/>
      <w:sz w:val="24"/>
      <w:szCs w:val="26"/>
      <w:lang w:val="fr-FR" w:eastAsia="fr-FR"/>
    </w:rPr>
  </w:style>
  <w:style w:type="character" w:customStyle="1" w:styleId="Char14">
    <w:name w:val="Char14"/>
    <w:rsid w:val="001F17B8"/>
    <w:rPr>
      <w:rFonts w:ascii="Times New Roman" w:eastAsia="Times New Roman" w:hAnsi="Times New Roman" w:cs="Times New Roman"/>
      <w:bCs/>
      <w:sz w:val="24"/>
      <w:szCs w:val="28"/>
      <w:lang w:val="fr-FR" w:eastAsia="fr-FR"/>
    </w:rPr>
  </w:style>
  <w:style w:type="numbering" w:customStyle="1" w:styleId="NoList1">
    <w:name w:val="No List1"/>
    <w:next w:val="NoList"/>
    <w:semiHidden/>
    <w:unhideWhenUsed/>
    <w:rsid w:val="001F17B8"/>
  </w:style>
  <w:style w:type="character" w:customStyle="1" w:styleId="Char11">
    <w:name w:val="Char11"/>
    <w:rsid w:val="001F17B8"/>
    <w:rPr>
      <w:rFonts w:ascii="Times New Roman" w:eastAsia="Times New Roman" w:hAnsi="Times New Roman" w:cs="Times New Roman"/>
      <w:sz w:val="24"/>
      <w:lang w:eastAsia="fr-FR"/>
    </w:rPr>
  </w:style>
  <w:style w:type="numbering" w:customStyle="1" w:styleId="NoList11">
    <w:name w:val="No List11"/>
    <w:next w:val="NoList"/>
    <w:semiHidden/>
    <w:rsid w:val="001F17B8"/>
  </w:style>
  <w:style w:type="paragraph" w:customStyle="1" w:styleId="Default">
    <w:name w:val="Default"/>
    <w:rsid w:val="001F17B8"/>
    <w:pPr>
      <w:autoSpaceDE w:val="0"/>
      <w:autoSpaceDN w:val="0"/>
      <w:adjustRightInd w:val="0"/>
    </w:pPr>
    <w:rPr>
      <w:rFonts w:ascii="EUAlbertina" w:hAnsi="EUAlbertina" w:cs="EUAlbertina"/>
      <w:color w:val="000000"/>
      <w:sz w:val="24"/>
      <w:szCs w:val="24"/>
      <w:lang w:val="fr-FR" w:eastAsia="fr-FR" w:bidi="fr-FR"/>
    </w:rPr>
  </w:style>
  <w:style w:type="character" w:customStyle="1" w:styleId="highlight">
    <w:name w:val="highlight"/>
    <w:rsid w:val="001F17B8"/>
  </w:style>
  <w:style w:type="character" w:customStyle="1" w:styleId="ManualNumPar1Char">
    <w:name w:val="Manual NumPar 1 Char"/>
    <w:link w:val="ManualNumPar1"/>
    <w:rsid w:val="001F17B8"/>
    <w:rPr>
      <w:sz w:val="24"/>
      <w:szCs w:val="24"/>
      <w:lang w:val="fr-FR" w:eastAsia="en-US"/>
    </w:rPr>
  </w:style>
  <w:style w:type="character" w:customStyle="1" w:styleId="Text1Carcter">
    <w:name w:val="Text 1 Carácter"/>
    <w:link w:val="Text1"/>
    <w:uiPriority w:val="99"/>
    <w:rsid w:val="001F17B8"/>
    <w:rPr>
      <w:sz w:val="24"/>
      <w:szCs w:val="24"/>
      <w:lang w:val="fr-FR" w:eastAsia="en-US"/>
    </w:rPr>
  </w:style>
  <w:style w:type="paragraph" w:customStyle="1" w:styleId="ManualConsidrant0">
    <w:name w:val="Manual  Considérant"/>
    <w:basedOn w:val="NumPar1"/>
    <w:rsid w:val="001F17B8"/>
    <w:pPr>
      <w:numPr>
        <w:numId w:val="0"/>
      </w:numPr>
      <w:tabs>
        <w:tab w:val="num" w:pos="1134"/>
      </w:tabs>
      <w:spacing w:line="240" w:lineRule="auto"/>
      <w:ind w:left="1134" w:hanging="567"/>
      <w:jc w:val="both"/>
      <w:outlineLvl w:val="9"/>
    </w:pPr>
    <w:rPr>
      <w:lang w:eastAsia="fr-FR" w:bidi="fr-FR"/>
    </w:rPr>
  </w:style>
  <w:style w:type="paragraph" w:styleId="NormalWeb">
    <w:name w:val="Normal (Web)"/>
    <w:basedOn w:val="Normal"/>
    <w:semiHidden/>
    <w:rsid w:val="001F17B8"/>
    <w:pPr>
      <w:spacing w:before="100" w:beforeAutospacing="1" w:after="100" w:afterAutospacing="1" w:line="240" w:lineRule="auto"/>
    </w:pPr>
    <w:rPr>
      <w:lang w:eastAsia="fr-FR" w:bidi="fr-FR"/>
    </w:rPr>
  </w:style>
  <w:style w:type="paragraph" w:styleId="ListParagraph">
    <w:name w:val="List Paragraph"/>
    <w:basedOn w:val="Normal"/>
    <w:link w:val="ListParagraphChar"/>
    <w:qFormat/>
    <w:rsid w:val="001F17B8"/>
    <w:pPr>
      <w:spacing w:before="0" w:after="0" w:line="240" w:lineRule="auto"/>
      <w:ind w:left="720"/>
    </w:pPr>
    <w:rPr>
      <w:sz w:val="22"/>
      <w:szCs w:val="22"/>
      <w:lang w:eastAsia="fr-FR" w:bidi="fr-FR"/>
    </w:rPr>
  </w:style>
  <w:style w:type="paragraph" w:customStyle="1" w:styleId="Sev">
    <w:name w:val="Sev"/>
    <w:basedOn w:val="Text1"/>
    <w:rsid w:val="001F17B8"/>
    <w:pPr>
      <w:spacing w:line="240" w:lineRule="auto"/>
      <w:jc w:val="both"/>
      <w:outlineLvl w:val="9"/>
    </w:pPr>
    <w:rPr>
      <w:lang w:eastAsia="fr-FR" w:bidi="fr-FR"/>
    </w:rPr>
  </w:style>
  <w:style w:type="paragraph" w:styleId="BodyText3">
    <w:name w:val="Body Text 3"/>
    <w:basedOn w:val="Normal"/>
    <w:link w:val="BodyText3Char"/>
    <w:rsid w:val="001F17B8"/>
    <w:pPr>
      <w:spacing w:line="240" w:lineRule="auto"/>
      <w:jc w:val="both"/>
    </w:pPr>
    <w:rPr>
      <w:lang w:eastAsia="fr-FR" w:bidi="fr-FR"/>
    </w:rPr>
  </w:style>
  <w:style w:type="character" w:customStyle="1" w:styleId="BodyText3Char">
    <w:name w:val="Body Text 3 Char"/>
    <w:basedOn w:val="DefaultParagraphFont"/>
    <w:link w:val="BodyText3"/>
    <w:rsid w:val="001F17B8"/>
    <w:rPr>
      <w:sz w:val="24"/>
      <w:szCs w:val="24"/>
      <w:lang w:val="fr-FR" w:eastAsia="fr-FR" w:bidi="fr-FR"/>
    </w:rPr>
  </w:style>
  <w:style w:type="paragraph" w:styleId="BodyText">
    <w:name w:val="Body Text"/>
    <w:basedOn w:val="Normal"/>
    <w:link w:val="BodyTextChar"/>
    <w:semiHidden/>
    <w:rsid w:val="001F17B8"/>
    <w:pPr>
      <w:spacing w:line="240" w:lineRule="auto"/>
      <w:jc w:val="both"/>
    </w:pPr>
    <w:rPr>
      <w:szCs w:val="20"/>
      <w:lang w:eastAsia="fr-FR" w:bidi="fr-FR"/>
    </w:rPr>
  </w:style>
  <w:style w:type="character" w:customStyle="1" w:styleId="BodyTextChar">
    <w:name w:val="Body Text Char"/>
    <w:basedOn w:val="DefaultParagraphFont"/>
    <w:link w:val="BodyText"/>
    <w:semiHidden/>
    <w:rsid w:val="001F17B8"/>
    <w:rPr>
      <w:sz w:val="24"/>
      <w:lang w:val="fr-FR" w:eastAsia="fr-FR" w:bidi="fr-FR"/>
    </w:rPr>
  </w:style>
  <w:style w:type="paragraph" w:styleId="BodyTextFirstIndent">
    <w:name w:val="Body Text First Indent"/>
    <w:basedOn w:val="BodyText"/>
    <w:link w:val="BodyTextFirstIndentChar"/>
    <w:rsid w:val="001F17B8"/>
    <w:pPr>
      <w:ind w:firstLine="210"/>
    </w:pPr>
    <w:rPr>
      <w:szCs w:val="24"/>
    </w:rPr>
  </w:style>
  <w:style w:type="character" w:customStyle="1" w:styleId="BodyTextFirstIndentChar">
    <w:name w:val="Body Text First Indent Char"/>
    <w:basedOn w:val="BodyTextChar"/>
    <w:link w:val="BodyTextFirstIndent"/>
    <w:rsid w:val="001F17B8"/>
    <w:rPr>
      <w:sz w:val="24"/>
      <w:szCs w:val="24"/>
      <w:lang w:val="fr-FR" w:eastAsia="fr-FR" w:bidi="fr-FR"/>
    </w:rPr>
  </w:style>
  <w:style w:type="paragraph" w:styleId="BodyTextIndent">
    <w:name w:val="Body Text Indent"/>
    <w:basedOn w:val="Normal"/>
    <w:link w:val="BodyTextIndentChar"/>
    <w:rsid w:val="001F17B8"/>
    <w:pPr>
      <w:spacing w:line="240" w:lineRule="auto"/>
      <w:ind w:left="283"/>
      <w:jc w:val="both"/>
    </w:pPr>
    <w:rPr>
      <w:szCs w:val="20"/>
      <w:lang w:eastAsia="fr-FR" w:bidi="fr-FR"/>
    </w:rPr>
  </w:style>
  <w:style w:type="character" w:customStyle="1" w:styleId="BodyTextIndentChar">
    <w:name w:val="Body Text Indent Char"/>
    <w:basedOn w:val="DefaultParagraphFont"/>
    <w:link w:val="BodyTextIndent"/>
    <w:rsid w:val="001F17B8"/>
    <w:rPr>
      <w:sz w:val="24"/>
      <w:lang w:val="fr-FR" w:eastAsia="fr-FR" w:bidi="fr-FR"/>
    </w:rPr>
  </w:style>
  <w:style w:type="paragraph" w:styleId="BodyTextFirstIndent2">
    <w:name w:val="Body Text First Indent 2"/>
    <w:basedOn w:val="BodyTextIndent"/>
    <w:link w:val="BodyTextFirstIndent2Char"/>
    <w:rsid w:val="001F17B8"/>
    <w:pPr>
      <w:ind w:firstLine="210"/>
    </w:pPr>
    <w:rPr>
      <w:szCs w:val="24"/>
    </w:rPr>
  </w:style>
  <w:style w:type="character" w:customStyle="1" w:styleId="BodyTextFirstIndent2Char">
    <w:name w:val="Body Text First Indent 2 Char"/>
    <w:basedOn w:val="BodyTextIndentChar"/>
    <w:link w:val="BodyTextFirstIndent2"/>
    <w:rsid w:val="001F17B8"/>
    <w:rPr>
      <w:sz w:val="24"/>
      <w:szCs w:val="24"/>
      <w:lang w:val="fr-FR" w:eastAsia="fr-FR" w:bidi="fr-FR"/>
    </w:rPr>
  </w:style>
  <w:style w:type="character" w:customStyle="1" w:styleId="tw4winMark">
    <w:name w:val="tw4winMark"/>
    <w:rsid w:val="001F17B8"/>
    <w:rPr>
      <w:vanish/>
      <w:color w:val="800080"/>
      <w:vertAlign w:val="subscript"/>
    </w:rPr>
  </w:style>
  <w:style w:type="paragraph" w:styleId="Revision">
    <w:name w:val="Revision"/>
    <w:hidden/>
    <w:semiHidden/>
    <w:rsid w:val="001F17B8"/>
    <w:rPr>
      <w:sz w:val="24"/>
      <w:szCs w:val="24"/>
      <w:lang w:val="fr-FR" w:eastAsia="fr-FR" w:bidi="fr-FR"/>
    </w:rPr>
  </w:style>
  <w:style w:type="paragraph" w:customStyle="1" w:styleId="num">
    <w:name w:val="num"/>
    <w:basedOn w:val="ManualNumPar1"/>
    <w:rsid w:val="001F17B8"/>
    <w:pPr>
      <w:spacing w:line="240" w:lineRule="auto"/>
      <w:jc w:val="both"/>
      <w:outlineLvl w:val="9"/>
    </w:pPr>
    <w:rPr>
      <w:lang w:eastAsia="fr-FR" w:bidi="fr-FR"/>
    </w:rPr>
  </w:style>
  <w:style w:type="character" w:customStyle="1" w:styleId="at2">
    <w:name w:val="a__t2"/>
    <w:rsid w:val="001F17B8"/>
  </w:style>
  <w:style w:type="paragraph" w:customStyle="1" w:styleId="Foonote">
    <w:name w:val="Foonote"/>
    <w:basedOn w:val="Default"/>
    <w:rsid w:val="001F17B8"/>
    <w:pPr>
      <w:jc w:val="both"/>
    </w:pPr>
    <w:rPr>
      <w:rFonts w:ascii="Times New Roman" w:hAnsi="Times New Roman" w:cs="Times New Roman"/>
      <w:bCs/>
      <w:sz w:val="20"/>
      <w:szCs w:val="20"/>
    </w:rPr>
  </w:style>
  <w:style w:type="character" w:customStyle="1" w:styleId="Point1letterChar">
    <w:name w:val="Point 1 (letter) Char"/>
    <w:link w:val="Point1letter"/>
    <w:rsid w:val="001F17B8"/>
    <w:rPr>
      <w:sz w:val="24"/>
      <w:szCs w:val="24"/>
      <w:lang w:val="fr-FR" w:eastAsia="en-US"/>
    </w:rPr>
  </w:style>
  <w:style w:type="paragraph" w:customStyle="1" w:styleId="NormalConseil">
    <w:name w:val="NormalConseil"/>
    <w:basedOn w:val="Normal"/>
    <w:rsid w:val="001F17B8"/>
    <w:pPr>
      <w:spacing w:before="0" w:after="0" w:line="240" w:lineRule="auto"/>
    </w:pPr>
    <w:rPr>
      <w:szCs w:val="20"/>
      <w:lang w:eastAsia="fr-FR" w:bidi="fr-FR"/>
    </w:rPr>
  </w:style>
  <w:style w:type="paragraph" w:customStyle="1" w:styleId="ZnakZnak1Char">
    <w:name w:val="Znak Znak1 Char"/>
    <w:basedOn w:val="Normal"/>
    <w:rsid w:val="001F17B8"/>
    <w:pPr>
      <w:spacing w:before="0" w:after="160" w:line="240" w:lineRule="exact"/>
    </w:pPr>
    <w:rPr>
      <w:rFonts w:ascii="Tahoma" w:hAnsi="Tahoma"/>
      <w:sz w:val="20"/>
      <w:szCs w:val="20"/>
      <w:lang w:eastAsia="fr-FR" w:bidi="fr-FR"/>
    </w:rPr>
  </w:style>
  <w:style w:type="character" w:customStyle="1" w:styleId="ListParagraphChar">
    <w:name w:val="List Paragraph Char"/>
    <w:link w:val="ListParagraph"/>
    <w:rsid w:val="001F17B8"/>
    <w:rPr>
      <w:sz w:val="22"/>
      <w:szCs w:val="22"/>
      <w:lang w:val="fr-FR" w:eastAsia="fr-FR" w:bidi="fr-FR"/>
    </w:rPr>
  </w:style>
  <w:style w:type="paragraph" w:customStyle="1" w:styleId="CM1">
    <w:name w:val="CM1"/>
    <w:basedOn w:val="Default"/>
    <w:next w:val="Default"/>
    <w:rsid w:val="001F17B8"/>
    <w:rPr>
      <w:rFonts w:cs="Times New Roman"/>
      <w:color w:val="auto"/>
    </w:rPr>
  </w:style>
  <w:style w:type="numbering" w:customStyle="1" w:styleId="NoList111">
    <w:name w:val="No List111"/>
    <w:next w:val="NoList"/>
    <w:semiHidden/>
    <w:unhideWhenUsed/>
    <w:rsid w:val="001F17B8"/>
  </w:style>
  <w:style w:type="paragraph" w:customStyle="1" w:styleId="ZnakZnak1Char1">
    <w:name w:val="Znak Znak1 Char1"/>
    <w:basedOn w:val="Normal"/>
    <w:rsid w:val="001F17B8"/>
    <w:pPr>
      <w:spacing w:before="0" w:after="160" w:line="240" w:lineRule="exact"/>
    </w:pPr>
    <w:rPr>
      <w:rFonts w:ascii="Tahoma" w:hAnsi="Tahoma"/>
      <w:sz w:val="20"/>
      <w:szCs w:val="20"/>
      <w:lang w:eastAsia="fr-FR" w:bidi="fr-FR"/>
    </w:rPr>
  </w:style>
  <w:style w:type="paragraph" w:customStyle="1" w:styleId="CharChar1CharCharCharCharCharCharCharCharCharCharCharCharChar">
    <w:name w:val="Char Char1 Char Char Char Char Char Char Char Char Char Char Char Char Char"/>
    <w:basedOn w:val="Normal"/>
    <w:rsid w:val="001F17B8"/>
    <w:pPr>
      <w:tabs>
        <w:tab w:val="left" w:pos="851"/>
        <w:tab w:val="right" w:pos="9356"/>
      </w:tabs>
      <w:spacing w:before="60" w:after="160" w:line="240" w:lineRule="exact"/>
      <w:jc w:val="both"/>
    </w:pPr>
    <w:rPr>
      <w:rFonts w:ascii="Verdana" w:hAnsi="Verdana"/>
      <w:sz w:val="20"/>
      <w:szCs w:val="20"/>
      <w:lang w:eastAsia="fr-FR" w:bidi="fr-FR"/>
    </w:rPr>
  </w:style>
  <w:style w:type="paragraph" w:customStyle="1" w:styleId="xmsonormal">
    <w:name w:val="x_msonormal"/>
    <w:basedOn w:val="Normal"/>
    <w:rsid w:val="001F17B8"/>
    <w:pPr>
      <w:spacing w:before="100" w:beforeAutospacing="1" w:after="100" w:afterAutospacing="1" w:line="240" w:lineRule="auto"/>
    </w:pPr>
    <w:rPr>
      <w:lang w:eastAsia="fr-FR" w:bidi="fr-FR"/>
    </w:rPr>
  </w:style>
  <w:style w:type="character" w:styleId="HTMLCite">
    <w:name w:val="HTML Cite"/>
    <w:uiPriority w:val="99"/>
    <w:unhideWhenUsed/>
    <w:rsid w:val="001F17B8"/>
    <w:rPr>
      <w:i/>
      <w:iCs/>
    </w:rPr>
  </w:style>
  <w:style w:type="character" w:customStyle="1" w:styleId="PP">
    <w:name w:val="PP"/>
    <w:qFormat/>
    <w:rsid w:val="001F17B8"/>
    <w:rPr>
      <w:rFonts w:ascii="Times New Roman" w:hAnsi="Times New Roman"/>
      <w:b w:val="0"/>
      <w:i w:val="0"/>
      <w:strike/>
      <w:dstrike w:val="0"/>
      <w:sz w:val="24"/>
    </w:rPr>
  </w:style>
  <w:style w:type="paragraph" w:customStyle="1" w:styleId="Normal12">
    <w:name w:val="Normal12"/>
    <w:basedOn w:val="Normal"/>
    <w:link w:val="Normal12Char"/>
    <w:rsid w:val="001F17B8"/>
    <w:pPr>
      <w:widowControl w:val="0"/>
      <w:spacing w:before="0" w:after="240" w:line="240" w:lineRule="auto"/>
    </w:pPr>
    <w:rPr>
      <w:szCs w:val="20"/>
      <w:lang w:eastAsia="fr-FR" w:bidi="fr-FR"/>
    </w:rPr>
  </w:style>
  <w:style w:type="character" w:customStyle="1" w:styleId="Normal12Char">
    <w:name w:val="Normal12 Char"/>
    <w:link w:val="Normal12"/>
    <w:locked/>
    <w:rsid w:val="001F17B8"/>
    <w:rPr>
      <w:sz w:val="24"/>
      <w:lang w:val="fr-FR" w:eastAsia="fr-FR" w:bidi="fr-FR"/>
    </w:rPr>
  </w:style>
  <w:style w:type="character" w:styleId="SubtleEmphasis">
    <w:name w:val="Subtle Emphasis"/>
    <w:uiPriority w:val="19"/>
    <w:qFormat/>
    <w:rsid w:val="001F17B8"/>
    <w:rPr>
      <w:i/>
      <w:color w:val="5A5A5A"/>
    </w:rPr>
  </w:style>
  <w:style w:type="paragraph" w:customStyle="1" w:styleId="ATHeading1">
    <w:name w:val="AT Heading 1"/>
    <w:basedOn w:val="Normal"/>
    <w:next w:val="Normal"/>
    <w:rsid w:val="001F17B8"/>
    <w:pPr>
      <w:keepNext/>
      <w:keepLines/>
      <w:spacing w:before="0" w:line="240" w:lineRule="auto"/>
      <w:outlineLvl w:val="0"/>
    </w:pPr>
    <w:rPr>
      <w:b/>
      <w:noProof/>
      <w:sz w:val="28"/>
      <w:szCs w:val="20"/>
      <w:lang w:eastAsia="fr-FR" w:bidi="fr-FR"/>
    </w:rPr>
  </w:style>
  <w:style w:type="character" w:customStyle="1" w:styleId="yiv3791937573">
    <w:name w:val="yiv3791937573"/>
    <w:rsid w:val="001F17B8"/>
  </w:style>
  <w:style w:type="character" w:customStyle="1" w:styleId="apple-converted-space">
    <w:name w:val="apple-converted-space"/>
    <w:rsid w:val="001F17B8"/>
  </w:style>
  <w:style w:type="paragraph" w:customStyle="1" w:styleId="yiv8020451098msonormal">
    <w:name w:val="yiv8020451098msonormal"/>
    <w:basedOn w:val="Normal"/>
    <w:rsid w:val="001F17B8"/>
    <w:pPr>
      <w:spacing w:before="100" w:beforeAutospacing="1" w:after="100" w:afterAutospacing="1" w:line="240" w:lineRule="auto"/>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CA50-CF89-41E2-A7B3-095932B5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123</Pages>
  <Words>27278</Words>
  <Characters>152216</Characters>
  <Application>Microsoft Office Word</Application>
  <DocSecurity>0</DocSecurity>
  <Lines>2670</Lines>
  <Paragraphs>920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JAMET Sylvie</cp:lastModifiedBy>
  <cp:revision>2</cp:revision>
  <dcterms:created xsi:type="dcterms:W3CDTF">2015-04-21T07:11:00Z</dcterms:created>
  <dcterms:modified xsi:type="dcterms:W3CDTF">2015-04-21T07:11:00Z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