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2552E10F3C14E2B8027830F2F1A40FE"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отмяна на Решение 2009/589/EО относно наличието на прекомерен дефицит в Полша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126, параграф 12 от него,</w:t>
      </w:r>
    </w:p>
    <w:p>
      <w:pPr>
        <w:rPr>
          <w:noProof/>
        </w:rPr>
      </w:pPr>
      <w:r>
        <w:rPr>
          <w:noProof/>
        </w:rPr>
        <w:t>като взе предвид препоръката на Комисията,</w:t>
      </w:r>
    </w:p>
    <w:p>
      <w:pPr>
        <w:rPr>
          <w:noProof/>
        </w:rPr>
      </w:pPr>
      <w:r>
        <w:rPr>
          <w:noProof/>
        </w:rPr>
        <w:t xml:space="preserve">като има предвид, че: </w:t>
      </w:r>
    </w:p>
    <w:p>
      <w:pPr>
        <w:pStyle w:val="ManualConsidrant"/>
        <w:rPr>
          <w:noProof/>
        </w:rPr>
      </w:pPr>
      <w:r>
        <w:t>(1)</w:t>
      </w:r>
      <w:r>
        <w:tab/>
      </w:r>
      <w:r>
        <w:rPr>
          <w:noProof/>
        </w:rPr>
        <w:t xml:space="preserve">Въз основа на препоръка, отправена от Комисията, на 7 юли 2009 г. Съветът реши в съответствие с член 104, параграф 6 от Договора за създаване на Европейската общност (ДЕО), че в Полша е налице прекомерен дефицит. </w:t>
      </w:r>
    </w:p>
    <w:p>
      <w:pPr>
        <w:pStyle w:val="ManualConsidrant"/>
        <w:rPr>
          <w:noProof/>
        </w:rPr>
      </w:pPr>
      <w:r>
        <w:t>(2)</w:t>
      </w:r>
      <w:r>
        <w:tab/>
      </w:r>
      <w:r>
        <w:rPr>
          <w:noProof/>
        </w:rPr>
        <w:t>На същата дата в съответствие с член 104, параграф 7 от ДЕО и член 3, параграф 4 от Регламент (ЕО) № 1467/97 на Съвета от 7 юли 1997 г. за определяне и изясняване на прилагането на процедурата при прекомерен дефицит</w:t>
      </w:r>
      <w:r>
        <w:rPr>
          <w:rStyle w:val="FootnoteReference"/>
          <w:noProof/>
        </w:rPr>
        <w:footnoteReference w:id="1"/>
      </w:r>
      <w:r>
        <w:rPr>
          <w:noProof/>
        </w:rPr>
        <w:t xml:space="preserve"> и по препоръка на Комисията Съветът отправи препоръка към Полша за преодоляване на прекомерния дефицит до 2012 г. </w:t>
      </w:r>
    </w:p>
    <w:p>
      <w:pPr>
        <w:pStyle w:val="ManualConsidrant"/>
        <w:rPr>
          <w:noProof/>
        </w:rPr>
      </w:pPr>
      <w:r>
        <w:t>(3)</w:t>
      </w:r>
      <w:r>
        <w:tab/>
      </w:r>
      <w:r>
        <w:rPr>
          <w:noProof/>
        </w:rPr>
        <w:t>На 21 юни 2013 г. Съветът излезе със заключение, че Полша е предприела ефективни действия, но след приемането на първоначалната препоръка са настъпили неочаквани неблагоприятни икономически събития със значими отрицателни последици за държавните финанси. Поради това въз основа на препоръка, отправена от Комисията, Съветът реши, че са изпълнени предвидените в член 3, параграф 5 от Регламент (ЕО) № 1467/97 условия, и отправи нова препоръка към Полша съгласно член 126, параграф 7 от Договора с оглед преодоляване на прекомерния дефицит до края на 2014 г</w:t>
      </w:r>
      <w:r>
        <w:rPr>
          <w:rStyle w:val="FootnoteReference"/>
          <w:noProof/>
        </w:rPr>
        <w:footnoteReference w:id="2"/>
      </w:r>
      <w:r>
        <w:rPr>
          <w:noProof/>
        </w:rPr>
        <w:t xml:space="preserve">. </w:t>
      </w:r>
    </w:p>
    <w:p>
      <w:pPr>
        <w:pStyle w:val="ManualConsidrant"/>
        <w:rPr>
          <w:noProof/>
        </w:rPr>
      </w:pPr>
      <w:r>
        <w:t>(4)</w:t>
      </w:r>
      <w:r>
        <w:tab/>
      </w:r>
      <w:r>
        <w:rPr>
          <w:noProof/>
        </w:rPr>
        <w:t>На 10 декември 2013 г. Съветът прецени съгласно член 126, параграф 8 от Договора, че Полша не е предприела ефективни действия в съответствие с препоръката на Съвета от 21 юни 2013 г. за коригиране на прекомерния дефицит до 2014 г.</w:t>
      </w:r>
      <w:r>
        <w:rPr>
          <w:rStyle w:val="FootnoteReference"/>
          <w:noProof/>
        </w:rPr>
        <w:footnoteReference w:id="3"/>
      </w:r>
      <w:r>
        <w:rPr>
          <w:noProof/>
        </w:rPr>
        <w:t>, и съгласно член 126, параграф 7 от Договора препоръча на Полша да преодолее прекомерния дефицит до 2015 г</w:t>
      </w:r>
      <w:r>
        <w:rPr>
          <w:rStyle w:val="FootnoteReference"/>
          <w:noProof/>
        </w:rPr>
        <w:footnoteReference w:id="4"/>
      </w:r>
      <w:r>
        <w:rPr>
          <w:noProof/>
        </w:rPr>
        <w:t>. На Полша бе препоръчано да постигне номинален дефицит от 4,8 % от БВП през 2013 г., 3,9 % от БВП през 2014 г. и 2,8 % от БВП през 2015 г. (като се изключи ефектът от прехвърлянето на активите от втория стълб на пенсионната система). Въз основа на макроикономическата прогноза, залегнала в препоръката на Съвета, това съответстваше на подобрение на структурното салдо с 1 % от БВП през 2014 г. и с 1,2 % от БВП през 2015 г. На Полша бе препоръчано също така да приложи стриктно вече оповестените и приети от нея мерки, като ги съчетае с допълнителни мерки, за да се осигури устойчива корекция на прекомерния дефицит до 2015 г. На Полша бе даден срок до 15 април 2014 г. да докладва относно предприетите действия за изпълнение на тази препоръка.</w:t>
      </w:r>
    </w:p>
    <w:p>
      <w:pPr>
        <w:pStyle w:val="ManualConsidrant"/>
        <w:rPr>
          <w:noProof/>
        </w:rPr>
      </w:pPr>
      <w:r>
        <w:t>(5)</w:t>
      </w:r>
      <w:r>
        <w:tab/>
      </w:r>
      <w:r>
        <w:rPr>
          <w:noProof/>
        </w:rPr>
        <w:t>На 2 юни 2014 г. Комисията заключи, че към момента не са необходими допълнителни стъпки по процедурата за прекомерен дефицит.</w:t>
      </w:r>
    </w:p>
    <w:p>
      <w:pPr>
        <w:pStyle w:val="ManualConsidrant"/>
        <w:rPr>
          <w:noProof/>
        </w:rPr>
      </w:pPr>
      <w:r>
        <w:t>(6)</w:t>
      </w:r>
      <w:r>
        <w:tab/>
      </w:r>
      <w:r>
        <w:rPr>
          <w:noProof/>
        </w:rPr>
        <w:t>В съответствие с член 4 от приложения към Договорите Протокол относно процедурата при прекомерен дефицит Комисията предоставя данните за изпълнението на процедурата. Като част от прилагането на посочения протокол държавите членки предоставят данни за бюджетния дефицит и държавния дълг, както и за други свързани с тях показатели два пъти годишно — до 1 април и до 1 октомври, в съответствие с член 3 от Регламент (ЕО) 479/2009 на Съвета от 25 май 2009 г. за прилагане на Протокола за процедурата при прекомерен дефицит, приложен към Договора за създаване на Европейската общност</w:t>
      </w:r>
      <w:r>
        <w:rPr>
          <w:rStyle w:val="FootnoteReference"/>
          <w:noProof/>
        </w:rPr>
        <w:footnoteReference w:id="5"/>
      </w:r>
      <w:r>
        <w:rPr>
          <w:noProof/>
        </w:rPr>
        <w:t xml:space="preserve">. </w:t>
      </w:r>
    </w:p>
    <w:p>
      <w:pPr>
        <w:pStyle w:val="ManualConsidrant"/>
        <w:rPr>
          <w:noProof/>
        </w:rPr>
      </w:pPr>
      <w:r>
        <w:t>(7)</w:t>
      </w:r>
      <w:r>
        <w:tab/>
      </w:r>
      <w:r>
        <w:rPr>
          <w:noProof/>
        </w:rPr>
        <w:t>Съветът следва да вземе решение за отмяна на решение за наличие на прекомерен дефицит въз основа на предоставените данни. Същевременно дадено решение за наличие на прекомерен дефицит следва да се отмени само ако i) прогнозите на Комисията сочат, че през прогнозния период дефицитът няма да превиши референтната стойност от 3 % от БВП</w:t>
      </w:r>
      <w:r>
        <w:rPr>
          <w:rStyle w:val="FootnoteReference"/>
          <w:noProof/>
        </w:rPr>
        <w:footnoteReference w:id="6"/>
      </w:r>
      <w:r>
        <w:rPr>
          <w:noProof/>
        </w:rPr>
        <w:t>; и ii) съотношението на дълга съответства на ориентирания към бъдещето елемент на целевия показател по отношение на дълга.</w:t>
      </w:r>
    </w:p>
    <w:p>
      <w:pPr>
        <w:pStyle w:val="ManualConsidrant"/>
        <w:rPr>
          <w:noProof/>
        </w:rPr>
      </w:pPr>
      <w:r>
        <w:t>(8)</w:t>
      </w:r>
      <w:r>
        <w:tab/>
      </w:r>
      <w:r>
        <w:rPr>
          <w:noProof/>
        </w:rPr>
        <w:t xml:space="preserve">Освен това, в съответствие с Пакта за стабилност и растеж надлежно бе обърнато внимание върху цялостните реформи в пенсионната система, въвеждащи многостълбова система, която включва задължителен стълб на финансиране на капиталов принцип. </w:t>
      </w:r>
    </w:p>
    <w:p>
      <w:pPr>
        <w:pStyle w:val="ManualConsidrant"/>
        <w:rPr>
          <w:noProof/>
        </w:rPr>
      </w:pPr>
      <w:r>
        <w:t>(9)</w:t>
      </w:r>
      <w:r>
        <w:tab/>
      </w:r>
      <w:r>
        <w:rPr>
          <w:noProof/>
        </w:rPr>
        <w:t>След уведомлението, изпратено от Полша през април 2015 г., и въз основа на данните, предоставени от Комисията (Евростат) в съответствие с член 14 от Регламент (ЕО) № 479/2015, програмата за конвергенция и прогнозата на Комисията от пролетта на 2015 г. се налагат следните заключения:</w:t>
      </w:r>
    </w:p>
    <w:p>
      <w:pPr>
        <w:pStyle w:val="Tiret1"/>
        <w:numPr>
          <w:ilvl w:val="0"/>
          <w:numId w:val="6"/>
        </w:numPr>
        <w:pBdr>
          <w:top w:val="nil"/>
          <w:left w:val="nil"/>
          <w:bottom w:val="nil"/>
          <w:right w:val="nil"/>
          <w:between w:val="nil"/>
          <w:bar w:val="nil"/>
        </w:pBdr>
        <w:rPr>
          <w:noProof/>
        </w:rPr>
      </w:pPr>
      <w:r>
        <w:rPr>
          <w:noProof/>
        </w:rPr>
        <w:t xml:space="preserve">През 2014 г. дефицитът по консолидирания държавен бюджет е достигнал 3,2 % от БВП. Тъй като тази стойност може да бъде смятана за близка до референтната стойност, а съотношението на дълга към БВП на Полша е сведено по устойчив начин под референтната стойност от 60 % от БВП, по отношение на Полша може да бъдат приложени разпоредбите относно цялостните реформи в пенсионната система по член 2, параграф 7 от Регламент (ЕО) № 1467/97. Цялостната реформа на пенсионната система на Полша от 1999 г. бе отменена чрез закон, приет през декември 2013 г. Въз основа на тази отмяна част от активите, натрупани в частни, финансирани на капиталов принцип пенсионни фондове (съставляващи втория стълб на пенсионната система на Полша), бяха прехвърлени към обществената схема за социална сигурност (първия стълб на пенсионната система на Полша). Освен това вторият стълб на пенсионната система загуби своята всеобхватност, т.е. участието в него вече не е задължително. В резултат на това отмяната през 2013 г. сложи край на системния характер на реформата от 1999 г. До края на юли 2014 г. обаче социалноосигурителните вноски на всички участници продължаваха да се насочват към втория стълб. Тези вноски представляват нетни разходи за цялостната реформа на пенсионната система от 1999 г. и трябва да бъдат отчетени, когато се оценява корекцията на прекомерния дефицит. Общите преки нетни разходи за периода януари—юли 2014 г. се оценяват на 0,4 % от БВП, т.е. размерът им е достатъчен, за да обясни излишъка по консолидирания държавен бюджет над референтната стойност от 3 % от БВП през 2014 г. </w:t>
      </w:r>
    </w:p>
    <w:p>
      <w:pPr>
        <w:pStyle w:val="Tiret1"/>
        <w:numPr>
          <w:ilvl w:val="0"/>
          <w:numId w:val="5"/>
        </w:numPr>
        <w:pBdr>
          <w:top w:val="nil"/>
          <w:left w:val="nil"/>
          <w:bottom w:val="nil"/>
          <w:right w:val="nil"/>
          <w:between w:val="nil"/>
          <w:bar w:val="nil"/>
        </w:pBdr>
        <w:tabs>
          <w:tab w:val="left" w:pos="1417"/>
        </w:tabs>
        <w:ind w:left="1418"/>
        <w:rPr>
          <w:noProof/>
        </w:rPr>
      </w:pPr>
      <w:r>
        <w:rPr>
          <w:noProof/>
        </w:rPr>
        <w:t>В Програмата за конвергенция, представена от полското правителство на 30 април 2015 г., е заложен целеви дефицит в размер на 2,7 % от БВП през 2015 г. и 2,3 % от БВП през 2016 г. В прогнозата на Комисията от пролетта на 2015 г. се предвижда дефицитът да възлиза на 2,8 % от БВП през 2015 г. и 2,6 % от БВП през 2016 г. при допускане, че няма да има промяна в провежданата политика. Следователно се очаква през прогнозния период дефицитът да се задържи под определената в Договора референтна стойност от 3 % от БВП.</w:t>
      </w:r>
    </w:p>
    <w:p>
      <w:pPr>
        <w:pStyle w:val="Tiret1"/>
        <w:numPr>
          <w:ilvl w:val="0"/>
          <w:numId w:val="6"/>
        </w:numPr>
        <w:pBdr>
          <w:top w:val="nil"/>
          <w:left w:val="nil"/>
          <w:bottom w:val="nil"/>
          <w:right w:val="nil"/>
          <w:between w:val="nil"/>
          <w:bar w:val="nil"/>
        </w:pBdr>
        <w:rPr>
          <w:noProof/>
        </w:rPr>
      </w:pPr>
      <w:r>
        <w:rPr>
          <w:noProof/>
        </w:rPr>
        <w:t xml:space="preserve">По оценки на Комисията структурното салдо, т.е. салдото по консолидирания държавен бюджет, коригирано спрямо фазата на икономическия цикъл, минус еднократните и другите временни мерки, се е подобрило с 0,9 % от БВП през 2014 г. </w:t>
      </w:r>
    </w:p>
    <w:p>
      <w:pPr>
        <w:pStyle w:val="Tiret1"/>
        <w:numPr>
          <w:ilvl w:val="0"/>
          <w:numId w:val="7"/>
        </w:numPr>
        <w:pBdr>
          <w:top w:val="nil"/>
          <w:left w:val="nil"/>
          <w:bottom w:val="nil"/>
          <w:right w:val="nil"/>
          <w:between w:val="nil"/>
          <w:bar w:val="nil"/>
        </w:pBdr>
        <w:tabs>
          <w:tab w:val="left" w:pos="1417"/>
        </w:tabs>
        <w:rPr>
          <w:noProof/>
        </w:rPr>
      </w:pPr>
      <w:r>
        <w:rPr>
          <w:noProof/>
        </w:rPr>
        <w:t>Брутният консолидиран държавен дълг е бил в размер на 50,1 % през 2014 г. В прогнозата на службите на Комисията от пролетта на 2015 г. се предвижда брутният консолидиран държавен дълг да възлиза на 50,9 % от БВП през 2015 г. и на 50,8 % от БВП през 2016 г., т.е. под референтната стойност от 60 % от БВП.</w:t>
      </w:r>
    </w:p>
    <w:p>
      <w:pPr>
        <w:pStyle w:val="ManualConsidrant"/>
        <w:rPr>
          <w:noProof/>
        </w:rPr>
      </w:pPr>
      <w:r>
        <w:t>(10)</w:t>
      </w:r>
      <w:r>
        <w:tab/>
      </w:r>
      <w:r>
        <w:rPr>
          <w:noProof/>
        </w:rPr>
        <w:t>От 2015 г., т.е. годината след корекцията на прекомерния дефицит, по отношение на Полша се прилага превантивната част на Пакта за стабилност и растеж и тя следва да напредва с подходящ темп към постигане на средносрочната бюджетна цел, включително като спазва целевия показател за разходите. Според прогнозата на Комисията от пролетта на 2015 г. се очаква подобрение на структурното салдо с 0,2 % от БВП както през 2015 г., така и през 2016 г., при допускане, че няма да има промяна в провежданата политика. Въз основа на цялостната оценка се предвижда Полша да постигне изискваната корекция към постигане на средносрочната цел през 2015 г., при условие че нарастването на нетните разходите остане под целевия показател. При все това  съществува риск от известно отклонение от изискваната корекция през 2016 г., тъй като структурната корекция няма да достигне изискваното равнище през 2016 г., т.е. през тази година ще са необходими допълнителни мерки.</w:t>
      </w:r>
    </w:p>
    <w:p>
      <w:pPr>
        <w:pStyle w:val="ManualConsidrant"/>
        <w:rPr>
          <w:noProof/>
        </w:rPr>
      </w:pPr>
      <w:r>
        <w:t>(11)</w:t>
      </w:r>
      <w:r>
        <w:tab/>
      </w:r>
      <w:r>
        <w:rPr>
          <w:noProof/>
        </w:rPr>
        <w:t>Съгласно член 126, параграф 12 от Договора решенията на Съвета за наличието на прекомерен дефицит се отменят, когато по мнение на Съвета прекомерният дефицит в съответната държава членка е бил коригиран.</w:t>
      </w:r>
    </w:p>
    <w:p>
      <w:pPr>
        <w:pStyle w:val="ManualConsidrant"/>
        <w:rPr>
          <w:noProof/>
        </w:rPr>
      </w:pPr>
      <w:r>
        <w:t>(12)</w:t>
      </w:r>
      <w:r>
        <w:tab/>
      </w:r>
      <w:r>
        <w:rPr>
          <w:noProof/>
        </w:rPr>
        <w:t>По мнение на Съвета прекомерният дефицит в Полша е бил коригиран и следователно Решение 2009/589/EО следва да бъде отменено.</w:t>
      </w:r>
    </w:p>
    <w:p>
      <w:pPr>
        <w:pStyle w:val="ManualConsidrant"/>
        <w:rPr>
          <w:noProof/>
        </w:rPr>
      </w:pPr>
      <w:r>
        <w:t>(13)</w:t>
      </w:r>
      <w:r>
        <w:tab/>
      </w:r>
      <w:r>
        <w:rPr>
          <w:noProof/>
        </w:rPr>
        <w:t>Съветът припомня, че с цялостната реформа на пенсионната система от 1999 г. обществената пенсионна схема с дефинирани доходи бе заменена с тристълбова система, основаваща се на дефинирани вноски. Основната цел на реформата бе да се повиши устойчивостта на полската пенсионна система, особено с оглед на изключителните демографски предизвикателства, пред които е изправена Полша. С отмяната на цялостната реформа в края на 2013 г. бе засилена отново ролята на първия, публичен стълб, който, за разлика от втория стълб, не се финансира на капиталов принцип, а чрез условни дефинирани вноски. Въпреки краткосрочните бюджетни облекчения, които ще донесе отмяната на цялостната реформа от 1999 г., това няма да подобри дългосрочната устойчивост на публичните финанси, тъй като краткосрочният положителен ефект от по-високия размер на социалноосигурителните вноски и по-ниските лихвени плащания ще бъде компенсиран от по-високи бъдещи пенсионни плащания от обществения пенсионноосигурителен стълб. Като цяло, отмяната на цялостната реформа на пенсионната система от 1999 г. носи известни рискове за публичните финанси на Полша в дългосрочен план,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Въз основа на цялостната оценка прекомерният дефицит в Полша се счита за коригиран.</w:t>
      </w:r>
    </w:p>
    <w:p>
      <w:pPr>
        <w:pStyle w:val="Titrearticle"/>
        <w:rPr>
          <w:noProof/>
        </w:rPr>
      </w:pPr>
      <w:r>
        <w:rPr>
          <w:noProof/>
        </w:rPr>
        <w:t>Член 2</w:t>
      </w:r>
    </w:p>
    <w:p>
      <w:pPr>
        <w:rPr>
          <w:noProof/>
        </w:rPr>
      </w:pPr>
      <w:r>
        <w:rPr>
          <w:noProof/>
        </w:rPr>
        <w:t>Решение 2009/589/ЕО се отменя.</w:t>
      </w:r>
    </w:p>
    <w:p>
      <w:pPr>
        <w:pStyle w:val="Titrearticle"/>
        <w:rPr>
          <w:noProof/>
        </w:rPr>
      </w:pPr>
      <w:r>
        <w:rPr>
          <w:noProof/>
        </w:rPr>
        <w:t>Член 3</w:t>
      </w:r>
    </w:p>
    <w:p>
      <w:pPr>
        <w:rPr>
          <w:noProof/>
        </w:rPr>
      </w:pPr>
      <w:r>
        <w:rPr>
          <w:noProof/>
        </w:rPr>
        <w:t>Адресат на настоящото решение е Република Полша.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6.</w:t>
      </w:r>
    </w:p>
  </w:footnote>
  <w:footnote w:id="2">
    <w:p>
      <w:pPr>
        <w:pStyle w:val="FootnoteText"/>
      </w:pPr>
      <w:r>
        <w:rPr>
          <w:rStyle w:val="FootnoteReference"/>
        </w:rPr>
        <w:footnoteRef/>
      </w:r>
      <w:r>
        <w:tab/>
        <w:t>Препоръка на Съвета от 21 юни 2013 г. за преодоляване на съществуващия прекомерен бюджетен дефицит в Полша.</w:t>
      </w:r>
    </w:p>
  </w:footnote>
  <w:footnote w:id="3">
    <w:p>
      <w:pPr>
        <w:pStyle w:val="FootnoteText"/>
      </w:pPr>
      <w:r>
        <w:rPr>
          <w:rStyle w:val="FootnoteReference"/>
        </w:rPr>
        <w:footnoteRef/>
      </w:r>
      <w:r>
        <w:tab/>
        <w:t>Решение на Съвета 2013/758/ЕС от 10 декември 2013 година с което се констатира, че Полша не е предприела ефективни действия в отговор на препоръката на Съвета от 21 юни 2013 г.</w:t>
      </w:r>
    </w:p>
  </w:footnote>
  <w:footnote w:id="4">
    <w:p>
      <w:pPr>
        <w:pStyle w:val="FootnoteText"/>
      </w:pPr>
      <w:r>
        <w:rPr>
          <w:rStyle w:val="FootnoteReference"/>
        </w:rPr>
        <w:footnoteRef/>
      </w:r>
      <w:r>
        <w:tab/>
        <w:t>Препоръка на Съвета от 2 декември 2013 г. за преодоляване на съществуващия прекомерен бюджетен дефицит в Полша.</w:t>
      </w:r>
    </w:p>
  </w:footnote>
  <w:footnote w:id="5">
    <w:p>
      <w:pPr>
        <w:pStyle w:val="FootnoteText"/>
      </w:pPr>
      <w:r>
        <w:rPr>
          <w:rStyle w:val="FootnoteReference"/>
        </w:rPr>
        <w:footnoteRef/>
      </w:r>
      <w:r>
        <w:tab/>
        <w:t>ОВ L 145, 10.6.2009 г., стр. 1.</w:t>
      </w:r>
    </w:p>
  </w:footnote>
  <w:footnote w:id="6">
    <w:p>
      <w:pPr>
        <w:pStyle w:val="FootnoteText"/>
      </w:pPr>
      <w:r>
        <w:rPr>
          <w:rStyle w:val="FootnoteReference"/>
        </w:rPr>
        <w:footnoteRef/>
      </w:r>
      <w:r>
        <w:tab/>
        <w:t xml:space="preserve">Съгласно „Подробните указания за изпълнението на Пакта за стабилност и растеж и насоките относно формата и съдържанието на програмите за стабилност и за конвергенция“ от 3 септември 2012 г., вж.: </w:t>
      </w:r>
      <w:hyperlink r:id="rId1">
        <w:r>
          <w:rPr>
            <w:rStyle w:val="Hyperlink"/>
          </w:rPr>
          <w:t>http://ec.europa.eu/economy_finance/economic_governance/sgp/pdf/coc/code_of_conduct_en.pdf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C4E3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A29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C86A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2460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50F8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AA42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66B226"/>
    <w:lvl w:ilvl="0">
      <w:start w:val="1"/>
      <w:numFmt w:val="decimal"/>
      <w:pStyle w:val="ListNumber"/>
      <w:lvlText w:val="%1."/>
      <w:lvlJc w:val="left"/>
      <w:pPr>
        <w:tabs>
          <w:tab w:val="num" w:pos="360"/>
        </w:tabs>
        <w:ind w:left="360" w:hanging="360"/>
      </w:pPr>
    </w:lvl>
  </w:abstractNum>
  <w:abstractNum w:abstractNumId="7">
    <w:nsid w:val="FFFFFF89"/>
    <w:multiLevelType w:val="singleLevel"/>
    <w:tmpl w:val="4C8AC9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3 17:05: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2552E10F3C14E2B8027830F2F1A40FE"/>
    <w:docVar w:name="LW_CROSSREFERENCE" w:val="&lt;UNUSED&gt;"/>
    <w:docVar w:name="LW_DocType" w:val="COM"/>
    <w:docVar w:name="LW_EMISSION" w:val="13.5.2015"/>
    <w:docVar w:name="LW_EMISSION_ISODATE" w:val="2015-05-13"/>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43"/>
    <w:docVar w:name="LW_REF.INTERNE" w:val="&lt;UNUSED&gt;"/>
    <w:docVar w:name="LW_SOUS.TITRE.OBJ.CP" w:val="&lt;UNUSED&gt;"/>
    <w:docVar w:name="LW_STATUT.CP" w:val="\u1055?\u1088?\u1077?\u1087?\u1086?\u1088?\u1098?\u1082?\u1072? \u1079?\u1072?"/>
    <w:docVar w:name="LW_SUPERTITRE" w:val="&lt;UNUSED&gt;"/>
    <w:docVar w:name="LW_TITRE.OBJ.CP" w:val="\u1079?\u1072? \u1086?\u1090?\u1084?\u1103?\u1085?\u1072? \u1085?\u1072? \u1056?\u1077?\u1096?\u1077?\u1085?\u1080?\u1077? 2009/589/E\u1054? \u1086?\u1090?\u1085?\u1086?\u1089?\u1085?\u1086? \u1085?\u1072?\u1083?\u1080?\u1095?\u1080?\u1077?\u1090?\u1086? \u1085?\u1072? \u1087?\u1088?\u1077?\u1082?\u1086?\u1084?\u1077?\u1088?\u1077?\u1085? \u1076?\u1077?\u1092?\u1080?\u1094?\u1080?\u1090? \u1074? \u1055?\u1086?\u1083?\u1096?\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u w:val="single"/>
    </w:rPr>
  </w:style>
  <w:style w:type="numbering" w:customStyle="1" w:styleId="ImportedStyle2">
    <w:name w:val="Imported Style 2"/>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pdf/coc/code_of_conduc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82E6-7CB9-4010-B037-860A51FD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1540</Words>
  <Characters>8043</Characters>
  <Application>Microsoft Office Word</Application>
  <DocSecurity>0</DocSecurity>
  <Lines>157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9543</CharactersWithSpaces>
  <SharedDoc>false</SharedDoc>
  <HLinks>
    <vt:vector size="6" baseType="variant">
      <vt:variant>
        <vt:i4>5308541</vt:i4>
      </vt:variant>
      <vt:variant>
        <vt:i4>0</vt:i4>
      </vt:variant>
      <vt:variant>
        <vt:i4>0</vt:i4>
      </vt:variant>
      <vt:variant>
        <vt:i4>5</vt:i4>
      </vt:variant>
      <vt:variant>
        <vt:lpwstr>http://ec.europa.eu/economy_finance/economic_governance/sgp/pdf/coc/code_of_conduct_en.pdf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dcterms:created xsi:type="dcterms:W3CDTF">2015-05-13T11:14:00Z</dcterms:created>
  <dcterms:modified xsi:type="dcterms:W3CDTF">2015-05-13T15:05:00Z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02)</vt:lpwstr>
  </property>
</Properties>
</file>