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BE" w:rsidRDefault="00A24219" w:rsidP="00A2421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60439B6CB6A4AC1B9C4725F0BD8B040" style="width:450.6pt;height:366.2pt">
            <v:imagedata r:id="rId9" o:title=""/>
          </v:shape>
        </w:pict>
      </w:r>
    </w:p>
    <w:p w:rsidR="00DF73BE" w:rsidRDefault="00DF73BE">
      <w:pPr>
        <w:rPr>
          <w:noProof/>
        </w:rPr>
        <w:sectPr w:rsidR="00DF73BE" w:rsidSect="00A2421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F73BE" w:rsidRDefault="00DF73BE">
      <w:pPr>
        <w:pStyle w:val="Exposdesmotifstitre"/>
        <w:rPr>
          <w:noProof/>
        </w:rPr>
      </w:pPr>
      <w:bookmarkStart w:id="0" w:name="_GoBack"/>
      <w:bookmarkEnd w:id="0"/>
    </w:p>
    <w:p w:rsidR="00DF73BE" w:rsidRDefault="00DF73BE">
      <w:pPr>
        <w:rPr>
          <w:noProof/>
        </w:rPr>
      </w:pPr>
    </w:p>
    <w:p w:rsidR="00DF73BE" w:rsidRDefault="00A24219" w:rsidP="00A24219">
      <w:pPr>
        <w:pStyle w:val="Statut"/>
        <w:rPr>
          <w:noProof/>
        </w:rPr>
      </w:pPr>
      <w:r w:rsidRPr="00A24219">
        <w:t>Recommandation de</w:t>
      </w:r>
    </w:p>
    <w:p w:rsidR="00DF73BE" w:rsidRDefault="00A24219" w:rsidP="00A24219">
      <w:pPr>
        <w:pStyle w:val="Typedudocument"/>
        <w:rPr>
          <w:noProof/>
        </w:rPr>
      </w:pPr>
      <w:r w:rsidRPr="00A24219">
        <w:t>RECOMMANDATION DU CONSEIL</w:t>
      </w:r>
    </w:p>
    <w:p w:rsidR="00DF73BE" w:rsidRDefault="00A24219" w:rsidP="00A24219">
      <w:pPr>
        <w:pStyle w:val="Titreobjet"/>
        <w:rPr>
          <w:noProof/>
        </w:rPr>
      </w:pPr>
      <w:proofErr w:type="gramStart"/>
      <w:r w:rsidRPr="00A24219">
        <w:t>concernant</w:t>
      </w:r>
      <w:proofErr w:type="gramEnd"/>
      <w:r w:rsidRPr="00A24219">
        <w:t xml:space="preserve"> le programme national de réforme de la France pour 2015</w:t>
      </w:r>
      <w:r w:rsidRPr="00A24219">
        <w:br/>
      </w:r>
      <w:r w:rsidRPr="00A24219">
        <w:br/>
        <w:t xml:space="preserve">et portant avis du Conseil sur le programme de stabilité de la France pour 2015 </w:t>
      </w:r>
      <w:r w:rsidRPr="00A24219">
        <w:br/>
      </w:r>
    </w:p>
    <w:p w:rsidR="00DF73BE" w:rsidRDefault="00202208">
      <w:pPr>
        <w:pStyle w:val="Institutionquiagit"/>
        <w:rPr>
          <w:noProof/>
        </w:rPr>
      </w:pPr>
      <w:r>
        <w:rPr>
          <w:noProof/>
        </w:rPr>
        <w:t>LE CONSEIL DE L'UNION EUROPÉENNE,</w:t>
      </w:r>
    </w:p>
    <w:p w:rsidR="00DF73BE" w:rsidRDefault="00202208">
      <w:pPr>
        <w:rPr>
          <w:noProof/>
        </w:rPr>
      </w:pPr>
      <w:r>
        <w:rPr>
          <w:noProof/>
        </w:rPr>
        <w:t>vu le traité sur le fonctionnement de l'Union européenne, et notamment son article 121, paragraphe 2, et son article 148, paragra</w:t>
      </w:r>
      <w:r>
        <w:rPr>
          <w:noProof/>
        </w:rPr>
        <w:t>phe 4,</w:t>
      </w:r>
    </w:p>
    <w:p w:rsidR="00DF73BE" w:rsidRDefault="00202208">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w:t>
      </w:r>
      <w:r>
        <w:rPr>
          <w:noProof/>
        </w:rPr>
        <w:t>2,</w:t>
      </w:r>
    </w:p>
    <w:p w:rsidR="00DF73BE" w:rsidRDefault="00202208">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rsidR="00DF73BE" w:rsidRDefault="00202208">
      <w:pPr>
        <w:rPr>
          <w:noProof/>
        </w:rPr>
      </w:pPr>
      <w:r>
        <w:rPr>
          <w:noProof/>
        </w:rPr>
        <w:t>vu la recommandation de la Commission européenne</w:t>
      </w:r>
      <w:r>
        <w:rPr>
          <w:rStyle w:val="FootnoteReference"/>
          <w:noProof/>
        </w:rPr>
        <w:footnoteReference w:id="3"/>
      </w:r>
      <w:r>
        <w:rPr>
          <w:noProof/>
        </w:rPr>
        <w:t>,</w:t>
      </w:r>
    </w:p>
    <w:p w:rsidR="00DF73BE" w:rsidRDefault="00202208">
      <w:pPr>
        <w:rPr>
          <w:noProof/>
        </w:rPr>
      </w:pPr>
      <w:r>
        <w:rPr>
          <w:noProof/>
        </w:rPr>
        <w:t>vu les résolutions du Parlement européen</w:t>
      </w:r>
      <w:r>
        <w:rPr>
          <w:rStyle w:val="FootnoteReference"/>
          <w:noProof/>
        </w:rPr>
        <w:footnoteReference w:id="4"/>
      </w:r>
      <w:r>
        <w:rPr>
          <w:noProof/>
        </w:rPr>
        <w:t>,</w:t>
      </w:r>
    </w:p>
    <w:p w:rsidR="00DF73BE" w:rsidRDefault="00202208">
      <w:pPr>
        <w:outlineLvl w:val="0"/>
        <w:rPr>
          <w:noProof/>
        </w:rPr>
      </w:pPr>
      <w:r>
        <w:rPr>
          <w:noProof/>
        </w:rPr>
        <w:t>vu les conclusions du Conseil européen,</w:t>
      </w:r>
    </w:p>
    <w:p w:rsidR="00DF73BE" w:rsidRDefault="00202208">
      <w:pPr>
        <w:rPr>
          <w:noProof/>
        </w:rPr>
      </w:pPr>
      <w:r>
        <w:rPr>
          <w:noProof/>
        </w:rPr>
        <w:t>vu l'avis du comité de l'emploi,</w:t>
      </w:r>
    </w:p>
    <w:p w:rsidR="00DF73BE" w:rsidRDefault="00202208">
      <w:pPr>
        <w:rPr>
          <w:noProof/>
        </w:rPr>
      </w:pPr>
      <w:r>
        <w:rPr>
          <w:noProof/>
        </w:rPr>
        <w:t>vu l'avis du comité économique et financier,</w:t>
      </w:r>
    </w:p>
    <w:p w:rsidR="00DF73BE" w:rsidRDefault="00202208">
      <w:pPr>
        <w:rPr>
          <w:noProof/>
        </w:rPr>
      </w:pPr>
      <w:r>
        <w:rPr>
          <w:noProof/>
        </w:rPr>
        <w:t>vu l'avis du comité de la protection sociale,</w:t>
      </w:r>
    </w:p>
    <w:p w:rsidR="00DF73BE" w:rsidRDefault="00202208">
      <w:pPr>
        <w:rPr>
          <w:noProof/>
        </w:rPr>
      </w:pPr>
      <w:r>
        <w:rPr>
          <w:noProof/>
        </w:rPr>
        <w:t>vu l'avis du comité de politique économique,</w:t>
      </w:r>
    </w:p>
    <w:p w:rsidR="00DF73BE" w:rsidRDefault="00202208">
      <w:pPr>
        <w:rPr>
          <w:noProof/>
        </w:rPr>
      </w:pPr>
      <w:r>
        <w:rPr>
          <w:noProof/>
        </w:rPr>
        <w:t>considérant ce qui suit:</w:t>
      </w:r>
    </w:p>
    <w:p w:rsidR="00DF73BE" w:rsidRDefault="00202208">
      <w:pPr>
        <w:pStyle w:val="Point0number"/>
        <w:numPr>
          <w:ilvl w:val="0"/>
          <w:numId w:val="1"/>
        </w:numPr>
        <w:rPr>
          <w:noProof/>
        </w:rPr>
      </w:pPr>
      <w:r>
        <w:rPr>
          <w:noProof/>
        </w:rPr>
        <w:t>Le 26 mars 2010, le Conseil européen a approuvé la proposition de la Commission de lancer la stratégie Europe 2020, une nouvelle stratégie pour la croissance et l'emploi, fondée sur une coordination renforcée des politiques économi</w:t>
      </w:r>
      <w:r>
        <w:rPr>
          <w:noProof/>
        </w:rPr>
        <w:t>ques, qui porte avant tout sur les principaux domaines dans lesquels des mesures sont nécessaires pour doper le potentiel de croissance durable et de compétitivité de l'Europe.</w:t>
      </w:r>
    </w:p>
    <w:p w:rsidR="00DF73BE" w:rsidRDefault="00202208">
      <w:pPr>
        <w:pStyle w:val="Point0number"/>
        <w:numPr>
          <w:ilvl w:val="0"/>
          <w:numId w:val="12"/>
        </w:numPr>
        <w:rPr>
          <w:noProof/>
        </w:rPr>
      </w:pPr>
      <w:r>
        <w:rPr>
          <w:noProof/>
        </w:rPr>
        <w:t>Sur la base des propositions de la Commission, le Conseil a adopté, le 13 juill</w:t>
      </w:r>
      <w:r>
        <w:rPr>
          <w:noProof/>
        </w:rPr>
        <w:t xml:space="preserve">et 2010, une recommandation relative aux grandes orientations des politiques économiques des États membres et de l'Union (2010-2014) et, le 21 octobre 2010, </w:t>
      </w:r>
      <w:r>
        <w:rPr>
          <w:noProof/>
        </w:rPr>
        <w:lastRenderedPageBreak/>
        <w:t>une décision relative aux lignes directrices pour les politiques de l'emploi des États membres, qui</w:t>
      </w:r>
      <w:r>
        <w:rPr>
          <w:noProof/>
        </w:rPr>
        <w:t xml:space="preserve"> forment ensemble les «lignes directrices intégrées». Les États membres ont été invités à tenir compte de ces lignes directrices intégrées dans leurs politiques nationales en matière d'économie et d'emploi.</w:t>
      </w:r>
    </w:p>
    <w:p w:rsidR="00DF73BE" w:rsidRDefault="00202208">
      <w:pPr>
        <w:pStyle w:val="Point0number"/>
        <w:numPr>
          <w:ilvl w:val="0"/>
          <w:numId w:val="12"/>
        </w:numPr>
        <w:rPr>
          <w:noProof/>
        </w:rPr>
      </w:pPr>
      <w:r>
        <w:rPr>
          <w:noProof/>
        </w:rPr>
        <w:t>Le 8 juillet 2014, le Conseil a adopté une recomm</w:t>
      </w:r>
      <w:r>
        <w:rPr>
          <w:noProof/>
        </w:rPr>
        <w:t>andation relative au programme national de réforme de la France pour 2014 et a émis un avis sur la version actualisée du programme de stabilité de la France pour 2014. Le 28 novembre 2014, conformément au règlement (UE) nº 473/2013</w:t>
      </w:r>
      <w:r>
        <w:rPr>
          <w:rStyle w:val="FootnoteReference"/>
          <w:noProof/>
        </w:rPr>
        <w:footnoteReference w:id="5"/>
      </w:r>
      <w:r>
        <w:rPr>
          <w:noProof/>
        </w:rPr>
        <w:t>, la Commission a présen</w:t>
      </w:r>
      <w:r>
        <w:rPr>
          <w:noProof/>
        </w:rPr>
        <w:t>té son avis sur le projet de plan budgétaire de la France pour 2015</w:t>
      </w:r>
      <w:r>
        <w:rPr>
          <w:rStyle w:val="FootnoteReference"/>
          <w:noProof/>
        </w:rPr>
        <w:footnoteReference w:id="6"/>
      </w:r>
      <w:r>
        <w:rPr>
          <w:noProof/>
        </w:rPr>
        <w:t>.</w:t>
      </w:r>
    </w:p>
    <w:p w:rsidR="00DF73BE" w:rsidRDefault="00202208">
      <w:pPr>
        <w:pStyle w:val="Point0number"/>
        <w:numPr>
          <w:ilvl w:val="0"/>
          <w:numId w:val="1"/>
        </w:numPr>
        <w:rPr>
          <w:noProof/>
        </w:rPr>
      </w:pPr>
      <w:r>
        <w:rPr>
          <w:noProof/>
        </w:rPr>
        <w:t>Le 28 novembre 2014, la Commission a adopté l'examen annuel de la croissance</w:t>
      </w:r>
      <w:r>
        <w:rPr>
          <w:rStyle w:val="FootnoteReference"/>
          <w:noProof/>
        </w:rPr>
        <w:footnoteReference w:id="7"/>
      </w:r>
      <w:r>
        <w:rPr>
          <w:noProof/>
        </w:rPr>
        <w:t>, qui marque le lancement du semestre européen 2015 de coordination des politiques économiques. Le même jour,</w:t>
      </w:r>
      <w:r>
        <w:rPr>
          <w:noProof/>
        </w:rPr>
        <w:t xml:space="preserve"> la Commission a adopté, sur la base du règlement (UE) nº 1176/2011, le rapport sur le mécanisme d'alerte</w:t>
      </w:r>
      <w:r>
        <w:rPr>
          <w:rStyle w:val="FootnoteReference"/>
          <w:noProof/>
        </w:rPr>
        <w:footnoteReference w:id="8"/>
      </w:r>
      <w:r>
        <w:rPr>
          <w:noProof/>
        </w:rPr>
        <w:t>, dans lequel la France a été mentionnée parmi les États membres qui feraient l'objet d'un bilan approfondi.</w:t>
      </w:r>
    </w:p>
    <w:p w:rsidR="00DF73BE" w:rsidRDefault="00202208">
      <w:pPr>
        <w:pStyle w:val="Point0number"/>
        <w:numPr>
          <w:ilvl w:val="0"/>
          <w:numId w:val="1"/>
        </w:numPr>
        <w:rPr>
          <w:noProof/>
        </w:rPr>
      </w:pPr>
      <w:r>
        <w:rPr>
          <w:noProof/>
        </w:rPr>
        <w:t xml:space="preserve">Le 18 décembre 2014, le Conseil européen </w:t>
      </w:r>
      <w:r>
        <w:rPr>
          <w:noProof/>
        </w:rPr>
        <w:t>a approuvé les priorités concernant la stimulation de l'investissement, l'accélération des réformes structurelles et l'assainissement budgétaire responsable et propice à la croissance.</w:t>
      </w:r>
    </w:p>
    <w:p w:rsidR="00DF73BE" w:rsidRDefault="00202208">
      <w:pPr>
        <w:pStyle w:val="Point0number"/>
        <w:numPr>
          <w:ilvl w:val="0"/>
          <w:numId w:val="1"/>
        </w:numPr>
        <w:rPr>
          <w:noProof/>
        </w:rPr>
      </w:pPr>
      <w:r>
        <w:rPr>
          <w:noProof/>
        </w:rPr>
        <w:t>Le 26 février 2015, la Commission a publié son rapport 2015 pour la Fra</w:t>
      </w:r>
      <w:r>
        <w:rPr>
          <w:noProof/>
        </w:rPr>
        <w:t>nce</w:t>
      </w:r>
      <w:r>
        <w:rPr>
          <w:rStyle w:val="FootnoteReference"/>
          <w:noProof/>
        </w:rPr>
        <w:footnoteReference w:id="9"/>
      </w:r>
      <w:r>
        <w:rPr>
          <w:noProof/>
        </w:rPr>
        <w:t>. Elle y évaluait les progrès accomplis dans la mise en œuvre des recommandations par pays adoptées le 8 juillet 2014. Le rapport contient également les résultats du bilan approfondi effectué en vertu de l'article 5 du règlement (UE) nº 1176/2011. L'an</w:t>
      </w:r>
      <w:r>
        <w:rPr>
          <w:noProof/>
        </w:rPr>
        <w:t>alyse de la Commission l'amène à conclure que la France connaît des déséquilibres macroéconomiques excessifs, qui requièrent l'adoption de mesures décisives et un suivi spécifique. Plus particulièrement, dans un contexte de faible croissance et de faible i</w:t>
      </w:r>
      <w:r>
        <w:rPr>
          <w:noProof/>
        </w:rPr>
        <w:t>nflation, auquel s'ajoute une faible rentabilité des entreprises, et étant donné l'insuffisance de l'action engagée jusqu'à présent, les risques liés à la détérioration de la compétitivité-coûts et hors coûts ainsi qu'à l'endettement élevé et croissant, en</w:t>
      </w:r>
      <w:r>
        <w:rPr>
          <w:noProof/>
        </w:rPr>
        <w:t xml:space="preserve"> particulier la dette publique, ont sensiblement augmenté. Il est particulièrement important de prendre des mesures pour réduire le risque de retombées négatives sur l'économie française et, compte tenu de la taille de celle-ci, de répercussions négatives </w:t>
      </w:r>
      <w:r>
        <w:rPr>
          <w:noProof/>
        </w:rPr>
        <w:t>sur l'Union économique et monétaire.</w:t>
      </w:r>
    </w:p>
    <w:p w:rsidR="00DF73BE" w:rsidRDefault="00202208">
      <w:pPr>
        <w:pStyle w:val="Point0number"/>
        <w:numPr>
          <w:ilvl w:val="0"/>
          <w:numId w:val="12"/>
        </w:numPr>
        <w:rPr>
          <w:noProof/>
        </w:rPr>
      </w:pPr>
      <w:r>
        <w:rPr>
          <w:noProof/>
        </w:rPr>
        <w:t>Le 30 avril 2015, la France a présenté son programme national de réforme pour 2015 et son programme de stabilité pour 2015. Vu leur interdépendance, les deux programmes ont été évalués simultanément.</w:t>
      </w:r>
    </w:p>
    <w:p w:rsidR="00DF73BE" w:rsidRDefault="00202208">
      <w:pPr>
        <w:pStyle w:val="Point0number"/>
        <w:numPr>
          <w:ilvl w:val="0"/>
          <w:numId w:val="12"/>
        </w:numPr>
        <w:rPr>
          <w:noProof/>
        </w:rPr>
      </w:pPr>
      <w:r>
        <w:rPr>
          <w:noProof/>
        </w:rPr>
        <w:t>La France relève ac</w:t>
      </w:r>
      <w:r>
        <w:rPr>
          <w:noProof/>
        </w:rPr>
        <w:t>tuellement du volet correctif du pacte de stabilité et de croissance. Dans son programme de stabilité pour 2015, le gouvernement prévoit de corriger le déficit excessif en 2017, conformément à la recommandation du Conseil du 10 mars 2015, et d'atteindre l'</w:t>
      </w:r>
      <w:r>
        <w:rPr>
          <w:noProof/>
        </w:rPr>
        <w:t>objectif à moyen terme – un déficit structurel de 0,4 % du PIB – en 2018</w:t>
      </w:r>
      <w:r>
        <w:rPr>
          <w:rStyle w:val="FootnoteReference"/>
          <w:rFonts w:eastAsia="Times New Roman"/>
          <w:bCs/>
          <w:noProof/>
          <w:szCs w:val="24"/>
          <w:lang w:eastAsia="zh-CN"/>
        </w:rPr>
        <w:footnoteReference w:id="10"/>
      </w:r>
      <w:r>
        <w:rPr>
          <w:noProof/>
        </w:rPr>
        <w:t xml:space="preserve">. Si le gouvernement prévoit de respecter les objectifs de déficit fixés par le Conseil, l'effort budgétaire prévu pour 2016 et 2017 est inférieur au niveau </w:t>
      </w:r>
      <w:r>
        <w:rPr>
          <w:noProof/>
        </w:rPr>
        <w:lastRenderedPageBreak/>
        <w:t xml:space="preserve">recommandé. Dans son </w:t>
      </w:r>
      <w:r>
        <w:rPr>
          <w:noProof/>
        </w:rPr>
        <w:t xml:space="preserve">programme de stabilité pour 2015, le gouvernement s'attend à ce que le ratio de la dette publique au PIB culmine à 97 % en 2016, avant de décroître pour atteindre 95,5 % du PIB en 2018. Le scénario macroéconomique qui sous-tend ces projections budgétaires </w:t>
      </w:r>
      <w:r>
        <w:rPr>
          <w:noProof/>
        </w:rPr>
        <w:t xml:space="preserve">est plausible. Toutefois, les mesures envisagées à partir de 2016 pour atteindre les objectifs de déficit prévus n’ont pas été suffisamment précisées. Sur la base des prévisions du printemps 2015 de la Commission, le déficit nominal pour 2015 s'établira à </w:t>
      </w:r>
      <w:r>
        <w:rPr>
          <w:noProof/>
        </w:rPr>
        <w:t>3,8 % du PIB, ce qui signifie que l'objectif de 4 % sera respecté. Toutefois, l'effort budgétaire attendu pour cette année-là sera plus faible que celui recommandé par le Conseil.</w:t>
      </w:r>
      <w:r>
        <w:rPr>
          <w:rStyle w:val="FootnoteReference"/>
          <w:noProof/>
        </w:rPr>
        <w:footnoteReference w:id="11"/>
      </w:r>
      <w:r>
        <w:rPr>
          <w:noProof/>
        </w:rPr>
        <w:t xml:space="preserve"> En ce qui concerne 2016, la Commission prévoit, à politiques inchangées, qu</w:t>
      </w:r>
      <w:r>
        <w:rPr>
          <w:noProof/>
        </w:rPr>
        <w:t>e le déficit nominal atteindra 3,5 % du PIB, niveau supérieur à l'objectif recommandé de 3,4 % du PIB, et que l'effort budgétaire ne sera pas réalisé. Des mesures structurelles supplémentaires devront par conséquent être prises pour 2016. Se fondant sur so</w:t>
      </w:r>
      <w:r>
        <w:rPr>
          <w:noProof/>
        </w:rPr>
        <w:t xml:space="preserve">n évaluation du programme de stabilité et tenant compte des prévisions du printemps 2015 de la Commission, le Conseil estime qu'il existe un risque que la France ne respecte pas les dispositions du pacte de stabilité et de croissance. </w:t>
      </w:r>
    </w:p>
    <w:p w:rsidR="00DF73BE" w:rsidRDefault="00202208">
      <w:pPr>
        <w:pStyle w:val="Point0number"/>
        <w:numPr>
          <w:ilvl w:val="0"/>
          <w:numId w:val="12"/>
        </w:numPr>
        <w:rPr>
          <w:noProof/>
        </w:rPr>
      </w:pPr>
      <w:r>
        <w:rPr>
          <w:noProof/>
        </w:rPr>
        <w:t>Il sera essentiel d'</w:t>
      </w:r>
      <w:r>
        <w:rPr>
          <w:noProof/>
        </w:rPr>
        <w:t>intensifier les revues de dépenses et, pour que celles-ci produisent les résultats attendus, de recenser de larges domaines de réduction des dépenses. La France devrait veiller à ce que les objectifs de réduction des dépenses tiennent compte du taux d'infl</w:t>
      </w:r>
      <w:r>
        <w:rPr>
          <w:noProof/>
        </w:rPr>
        <w:t>ation proche de zéro. Dans le même temps, les économies résultant des coûts plus faibles que prévu de la dette publique, du fait de taux d'intérêt plus bas, devraient être consacrées à la réduction du déficit. Par ailleurs, il est impossible de dégager à c</w:t>
      </w:r>
      <w:r>
        <w:rPr>
          <w:noProof/>
        </w:rPr>
        <w:t>ourt terme d'importantes économies sans ralentir considérablement la croissance des dépenses de sécurité sociale, qui ont représenté 26 % du PIB en 2014, soit près de la moitié des dépenses totales du secteur public. Des économies de 11 milliards d'EUR sur</w:t>
      </w:r>
      <w:r>
        <w:rPr>
          <w:noProof/>
        </w:rPr>
        <w:t xml:space="preserve"> les dépenses de santé sont prévues pour 2015-2017, mais des efforts supplémentaires seront nécessaires pour limiter les hausses de dépenses dans ce domaine. Il est notamment possible de renforcer encore la mise en œuvre des politiques de maîtrise des coût</w:t>
      </w:r>
      <w:r>
        <w:rPr>
          <w:noProof/>
        </w:rPr>
        <w:t>s dans le domaine des prix des médicaments et des dépenses hospitalières. Le déficit du système de retraite pourrait continuer à se creuser dans les années à venir et les réformes des retraites menées précédemment ne suffiront pas à le combler. En particul</w:t>
      </w:r>
      <w:r>
        <w:rPr>
          <w:noProof/>
        </w:rPr>
        <w:t>ier, le déficit imputable aux régimes des agents de l'État et des salariés des entreprises publiques continue de peser sur le déficit global du système de retraite. De plus, la situation macroéconomique a une grande incidence sur la viabilité du système de</w:t>
      </w:r>
      <w:r>
        <w:rPr>
          <w:noProof/>
        </w:rPr>
        <w:t xml:space="preserve"> retraite, et notamment sur la situation des régimes de retraite complémentaire. Une action décisive doit être engagée pour rétablir la santé financière de ces derniers.</w:t>
      </w:r>
    </w:p>
    <w:p w:rsidR="00DF73BE" w:rsidRDefault="00202208">
      <w:pPr>
        <w:pStyle w:val="Point0number"/>
        <w:numPr>
          <w:ilvl w:val="0"/>
          <w:numId w:val="12"/>
        </w:numPr>
        <w:rPr>
          <w:noProof/>
        </w:rPr>
      </w:pPr>
      <w:r>
        <w:rPr>
          <w:noProof/>
        </w:rPr>
        <w:t>La France a entrepris de réformer ses collectivités locales en vue d'améliorer l'effic</w:t>
      </w:r>
      <w:r>
        <w:rPr>
          <w:noProof/>
        </w:rPr>
        <w:t xml:space="preserve">acité du système. Elle devrait continuer à mettre en œuvre la réduction prévue des dotations de l'État et renforcer le contrôle des dépenses des collectivités locales moyennant un plafonnement de l'augmentation annuelle des recettes fiscales de celles-ci, </w:t>
      </w:r>
      <w:r>
        <w:rPr>
          <w:noProof/>
        </w:rPr>
        <w:t>en tenant compte des plafonds qui s'appliquent déjà à un certain nombre d'impôts locaux. Des mesures sont également nécessaires pour maîtriser la hausse des dépenses de fonctionnement des collectivités locales.</w:t>
      </w:r>
    </w:p>
    <w:p w:rsidR="00DF73BE" w:rsidRDefault="00202208">
      <w:pPr>
        <w:pStyle w:val="Point0number"/>
        <w:numPr>
          <w:ilvl w:val="0"/>
          <w:numId w:val="12"/>
        </w:numPr>
        <w:rPr>
          <w:noProof/>
        </w:rPr>
      </w:pPr>
      <w:r>
        <w:rPr>
          <w:noProof/>
        </w:rPr>
        <w:t>Des mesures ont été prises pour réduire le co</w:t>
      </w:r>
      <w:r>
        <w:rPr>
          <w:noProof/>
        </w:rPr>
        <w:t xml:space="preserve">ût du travail et améliorer les marges bénéficiaires des entreprises, notamment le crédit d'impôt pour la compétitivité et l'emploi de 20 milliards d'EUR et l'allègement des cotisations patronales de </w:t>
      </w:r>
      <w:r>
        <w:rPr>
          <w:noProof/>
        </w:rPr>
        <w:lastRenderedPageBreak/>
        <w:t>10 milliards d'EUR supplémentaires prévu dans le cadre du</w:t>
      </w:r>
      <w:r>
        <w:rPr>
          <w:noProof/>
        </w:rPr>
        <w:t xml:space="preserve"> pacte de responsabilité et de solidarité. Ces deux mesures, qui représentent 1,5 % du PIB, devraient contribuer à combler l'écart entre la France et la moyenne de la zone euro concernant le coin fiscal sur le travail. Leur mise en œuvre devrait se poursui</w:t>
      </w:r>
      <w:r>
        <w:rPr>
          <w:noProof/>
        </w:rPr>
        <w:t>vre en 2016 mais, compte tenu de leur coût élevé pour les finances publiques, il est important d'évaluer leur efficacité au niveau des entreprises. Cette évaluation devrait particulièrement tenir compte des rigidités affectant le marché du travail et le ma</w:t>
      </w:r>
      <w:r>
        <w:rPr>
          <w:noProof/>
        </w:rPr>
        <w:t>rché des produits, et tout spécialement celles affectant les salaires. Le coût du salaire minimum reste élevé si on le compare à celui des autres États membres. Le salaire minimum continue d'évoluer d'une manière qui n'est pas propice à la compétitivité et</w:t>
      </w:r>
      <w:r>
        <w:rPr>
          <w:noProof/>
        </w:rPr>
        <w:t xml:space="preserve"> à la création d'emplois. De plus, dans un contexte d'inflation faible, son indexation automatique pourrait conduire à des hausses de salaires supérieures à ce qui est nécessaire pour préserver le pouvoir d'achat.</w:t>
      </w:r>
    </w:p>
    <w:p w:rsidR="00DF73BE" w:rsidRDefault="00202208">
      <w:pPr>
        <w:pStyle w:val="Point0number"/>
        <w:numPr>
          <w:ilvl w:val="0"/>
          <w:numId w:val="1"/>
        </w:numPr>
        <w:rPr>
          <w:noProof/>
        </w:rPr>
      </w:pPr>
      <w:r>
        <w:rPr>
          <w:noProof/>
        </w:rPr>
        <w:t>La France devrait prendre des mesures réso</w:t>
      </w:r>
      <w:r>
        <w:rPr>
          <w:noProof/>
        </w:rPr>
        <w:t>lues pour supprimer les seuils réglementaires prévus par le droit du travail et les réglementations comptables qui limitent la croissance de ses entreprises, au premier rang desquelles les PME. D'une manière générale, il est possible de renforcer la concur</w:t>
      </w:r>
      <w:r>
        <w:rPr>
          <w:noProof/>
        </w:rPr>
        <w:t>rence dans le secteur des services, et plus particulièrement dans les services professionnels, le commerce de détail et les industries de réseau. Un certain nombre de réglementations et de tarifs appliqués aux professions réglementées brident l'activité éc</w:t>
      </w:r>
      <w:r>
        <w:rPr>
          <w:noProof/>
        </w:rPr>
        <w:t xml:space="preserve">onomique. De nouvelles mesures visant à améliorer la concurrence dans les professions juridiques ont été prises au travers de la loi pour la croissance, l'activité et l'égalité des chances économiques dont la mise en œuvre sera cruciale pour s'assurer que </w:t>
      </w:r>
      <w:r>
        <w:rPr>
          <w:noProof/>
        </w:rPr>
        <w:t>les barrières soient levées en pratique. La France devrait également prendre des mesures pour éliminer les obstacles dans d'autres secteurs, et notamment dans le secteur de la santé. Le numerus clausus à l'accès aux professions de santé continue d'entraver</w:t>
      </w:r>
      <w:r>
        <w:rPr>
          <w:noProof/>
        </w:rPr>
        <w:t xml:space="preserve"> l'accès aux services et pourrait être réexaminé sans compromettre la qualité et la sécurité.</w:t>
      </w:r>
    </w:p>
    <w:p w:rsidR="00DF73BE" w:rsidRDefault="00202208">
      <w:pPr>
        <w:pStyle w:val="Point0number"/>
        <w:numPr>
          <w:ilvl w:val="0"/>
          <w:numId w:val="1"/>
        </w:numPr>
        <w:rPr>
          <w:noProof/>
        </w:rPr>
      </w:pPr>
      <w:r>
        <w:rPr>
          <w:noProof/>
        </w:rPr>
        <w:t>En 2014, la pression fiscale a atteint 45,8 % du PIB, ce qui est l'un des niveaux les plus élevés de l'Union européenne. Les taux d'imposition des sociétés sont é</w:t>
      </w:r>
      <w:r>
        <w:rPr>
          <w:noProof/>
        </w:rPr>
        <w:t>levés et pèsent négativement sur l'investissement des entreprises françaises. Le taux d'imposition effectif des entreprises s'élève en moyenne à 38,3 %, soit l'un des niveaux les plus élevés de l'Union européenne. Outre la suppression annoncée de la contri</w:t>
      </w:r>
      <w:r>
        <w:rPr>
          <w:noProof/>
        </w:rPr>
        <w:t>bution sociale de solidarité des sociétés (C3S) et la réduction du taux nominal de l'impôt sur les sociétés à 28 % prévue pour 2020, la France devrait accentuer ses efforts sur le court terme pour rendre la fiscalité des entreprises plus propice à la crois</w:t>
      </w:r>
      <w:r>
        <w:rPr>
          <w:noProof/>
        </w:rPr>
        <w:t>sance et à l'investissement. Des mesures, notamment la suppression des impôts inefficaces, sont nécessaires pour simplifier le système fiscal. Ainsi, la suppression de plus d'une centaine d'impôts dont le produit est nul ou faible pourrait simplifier les p</w:t>
      </w:r>
      <w:r>
        <w:rPr>
          <w:noProof/>
        </w:rPr>
        <w:t>rocédures pour les entreprises et les ménages.</w:t>
      </w:r>
    </w:p>
    <w:p w:rsidR="00DF73BE" w:rsidRDefault="00202208">
      <w:pPr>
        <w:pStyle w:val="Point0number"/>
        <w:numPr>
          <w:ilvl w:val="0"/>
          <w:numId w:val="1"/>
        </w:numPr>
        <w:rPr>
          <w:noProof/>
        </w:rPr>
      </w:pPr>
      <w:r>
        <w:rPr>
          <w:noProof/>
        </w:rPr>
        <w:t>Le taux de chômage est resté élevé en 2014 et le chômage de longue durée s'est aggravé, conséquence d'une faible croissance économique. Le chômage, dont le taux global s'est élevé à 10,2 % en 2014, contre 10,3</w:t>
      </w:r>
      <w:r>
        <w:rPr>
          <w:noProof/>
        </w:rPr>
        <w:t> % en 2013 et 7,5 % en 2008, touche tout particulièrement les jeunes, les travailleurs plus âgés et les travailleurs peu qualifiés. La France souffre d'une segmentation de son marché du travail, qui se caractérise par une part croissante de contrats à duré</w:t>
      </w:r>
      <w:r>
        <w:rPr>
          <w:noProof/>
        </w:rPr>
        <w:t>e déterminée dans les nouvelles embauches. Les mesures prises pour réduire le degré de segmentation du marché du travail, en particulier le relèvement des cotisations sociales sur les contrats de très courte durée, n'ont pas permis d'infléchir la tendance.</w:t>
      </w:r>
      <w:r>
        <w:rPr>
          <w:noProof/>
        </w:rPr>
        <w:t xml:space="preserve"> Réviser le cadre juridique </w:t>
      </w:r>
      <w:r>
        <w:rPr>
          <w:noProof/>
        </w:rPr>
        <w:lastRenderedPageBreak/>
        <w:t>régissant les contrats de travail pourrait aider à réduire la segmentation. Les réformes menées récemment n'ont donné aux employeurs que peu de possibilités pour déroger aux accords de branche. Cela limite la capacité des entrep</w:t>
      </w:r>
      <w:r>
        <w:rPr>
          <w:noProof/>
        </w:rPr>
        <w:t>rises à moduler leurs effectifs en fonction de leurs besoins. Il conviendrait d'accorder aux branches et aux entreprises la possibilité de déterminer de façon flexible, au cas par cas et après négociations avec les partenaires sociaux, s'il y a lieu de dér</w:t>
      </w:r>
      <w:r>
        <w:rPr>
          <w:noProof/>
        </w:rPr>
        <w:t>oger à la durée légale du travail de 35 heures par semaine. La loi portant création des accords de maintien de l'emploi n'a pas produit les résultats escomptés. Très peu d'entreprises ont fait usage des nouveaux dispositifs permettant un assouplissement de</w:t>
      </w:r>
      <w:r>
        <w:rPr>
          <w:noProof/>
        </w:rPr>
        <w:t>s conditions de travail dans le cadre d'accords d'entreprise. Ce dispositif devrait être revu afin de donner plus de latitude aux entreprises pour adapter les salaires et le temps de travail à leur situation économique.</w:t>
      </w:r>
    </w:p>
    <w:p w:rsidR="00DF73BE" w:rsidRDefault="00202208">
      <w:pPr>
        <w:pStyle w:val="Point0number"/>
        <w:numPr>
          <w:ilvl w:val="0"/>
          <w:numId w:val="1"/>
        </w:numPr>
        <w:rPr>
          <w:noProof/>
        </w:rPr>
      </w:pPr>
      <w:r>
        <w:rPr>
          <w:noProof/>
        </w:rPr>
        <w:t>La dégradation persistante de la sit</w:t>
      </w:r>
      <w:r>
        <w:rPr>
          <w:noProof/>
        </w:rPr>
        <w:t>uation sur le marché du travail a affecté le système d'assurance chômage, au point de remettre en cause la viabilité du modèle. La nouvelle convention d'assurance chômage, qui est entrée en vigueur le 1</w:t>
      </w:r>
      <w:r>
        <w:rPr>
          <w:noProof/>
          <w:vertAlign w:val="superscript"/>
        </w:rPr>
        <w:t>er</w:t>
      </w:r>
      <w:r>
        <w:rPr>
          <w:noProof/>
        </w:rPr>
        <w:t> juillet 2014, est insuffisante pour réduire le défi</w:t>
      </w:r>
      <w:r>
        <w:rPr>
          <w:noProof/>
        </w:rPr>
        <w:t>cit. Les différentes mesures mises en place ont permis d'économiser 0,3 milliard d'EUR en 2014. D'après les estimations, elles réduiront le déficit de 0,8 milliard d'EUR supplémentaire en 2015, le faisant passer de 5,2 milliards d'EUR à 4,4 milliards d'EUR</w:t>
      </w:r>
      <w:r>
        <w:rPr>
          <w:noProof/>
        </w:rPr>
        <w:t>, et la dette du système augmenterait encore pour s'élever à 25,9 milliards d'EUR. Des mesures structurelles sont nécessaires pour garantir la viabilité du système. Les conditions d'éligibilité, la dégressivité des allocations et les taux de remplacement p</w:t>
      </w:r>
      <w:r>
        <w:rPr>
          <w:noProof/>
        </w:rPr>
        <w:t>our les salaires les plus élevés devraient être réexaminés.</w:t>
      </w:r>
    </w:p>
    <w:p w:rsidR="00DF73BE" w:rsidRDefault="00202208">
      <w:pPr>
        <w:pStyle w:val="Point0number"/>
        <w:numPr>
          <w:ilvl w:val="0"/>
          <w:numId w:val="12"/>
        </w:numPr>
        <w:rPr>
          <w:noProof/>
        </w:rPr>
      </w:pPr>
      <w:r>
        <w:rPr>
          <w:noProof/>
        </w:rPr>
        <w:t>Dans le cadre du semestre européen, la Commission a procédé à une analyse complète de la politique économique de la France, qu'elle a publiée dans son rapport 2015 sur le pays. Elle a également év</w:t>
      </w:r>
      <w:r>
        <w:rPr>
          <w:noProof/>
        </w:rPr>
        <w:t>alué le programme de stabilité et le programme national de réforme, ainsi que les suites données aux recommandations adressées à la France les années précédentes. Elle a tenu compte non seulement de leur bien-fondé dans l'optique d'une politique budgétaire</w:t>
      </w:r>
      <w:r>
        <w:rPr>
          <w:noProof/>
        </w:rPr>
        <w:t xml:space="preserve"> et socio-économique viable en France, mais aussi de leur conformité avec les règles et orientations de l'Union européenne, eu égard à la nécessité de renforcer la gouvernance économique globale de l'Union par la contribution de cette dernière aux futures </w:t>
      </w:r>
      <w:r>
        <w:rPr>
          <w:noProof/>
        </w:rPr>
        <w:t xml:space="preserve">décisions nationales. Les recommandations </w:t>
      </w:r>
      <w:bookmarkStart w:id="1" w:name="temp"/>
      <w:bookmarkEnd w:id="1"/>
      <w:r>
        <w:rPr>
          <w:noProof/>
        </w:rPr>
        <w:t>figurant aux points 1 à 6 ci-après reflètent ses recommandations dans le cadre du semestre européen.</w:t>
      </w:r>
    </w:p>
    <w:p w:rsidR="00DF73BE" w:rsidRDefault="00202208">
      <w:pPr>
        <w:pStyle w:val="Point0number"/>
        <w:numPr>
          <w:ilvl w:val="0"/>
          <w:numId w:val="12"/>
        </w:numPr>
        <w:rPr>
          <w:noProof/>
        </w:rPr>
      </w:pPr>
      <w:r>
        <w:rPr>
          <w:noProof/>
        </w:rPr>
        <w:t>Eu égard à cette évaluation, le Conseil a examiné le programme de stabilité de la France et la recommandation fig</w:t>
      </w:r>
      <w:r>
        <w:rPr>
          <w:noProof/>
        </w:rPr>
        <w:t>urant au point 1 ci-dessous, en particulier, reflète son avis</w:t>
      </w:r>
      <w:r>
        <w:rPr>
          <w:rStyle w:val="FootnoteReference"/>
          <w:noProof/>
        </w:rPr>
        <w:footnoteReference w:id="12"/>
      </w:r>
      <w:r>
        <w:rPr>
          <w:noProof/>
        </w:rPr>
        <w:t>.</w:t>
      </w:r>
    </w:p>
    <w:p w:rsidR="00DF73BE" w:rsidRDefault="00202208">
      <w:pPr>
        <w:pStyle w:val="Point0number"/>
        <w:numPr>
          <w:ilvl w:val="0"/>
          <w:numId w:val="12"/>
        </w:numPr>
        <w:rPr>
          <w:noProof/>
        </w:rPr>
      </w:pPr>
      <w:r>
        <w:rPr>
          <w:noProof/>
        </w:rPr>
        <w:t>À la lumière des résultats du bilan approfondi de la Commission et de cette évaluation, le Conseil a examiné le programme national de réforme de la France et son programme de stabilité. Ses re</w:t>
      </w:r>
      <w:r>
        <w:rPr>
          <w:noProof/>
        </w:rPr>
        <w:t>commandations formulées en vertu de l'article 6 du règlement (UE) nº 1176/2011 se reflètent dans les recommandations figurant aux points (1) à (6) ci-dessous.</w:t>
      </w:r>
    </w:p>
    <w:p w:rsidR="00DF73BE" w:rsidRDefault="00202208">
      <w:pPr>
        <w:pStyle w:val="Point0number"/>
        <w:numPr>
          <w:ilvl w:val="0"/>
          <w:numId w:val="12"/>
        </w:numPr>
        <w:rPr>
          <w:noProof/>
        </w:rPr>
      </w:pPr>
      <w:r>
        <w:rPr>
          <w:noProof/>
        </w:rPr>
        <w:t>Dans le cadre du semestre européen, la Commission a également procédé à une analyse de la politiq</w:t>
      </w:r>
      <w:r>
        <w:rPr>
          <w:noProof/>
        </w:rPr>
        <w:t>ue économique de la zone euro dans son ensemble. Sur la base des résultats de cette analyse, le Conseil a émis des recommandations spécifiques aux États membres dont la monnaie est l'euro. La France devrait également veiller à mettre en œuvre intégralement</w:t>
      </w:r>
      <w:r>
        <w:rPr>
          <w:noProof/>
        </w:rPr>
        <w:t xml:space="preserve"> et en temps utile ces recommandations,</w:t>
      </w:r>
    </w:p>
    <w:p w:rsidR="00DF73BE" w:rsidRDefault="00202208">
      <w:pPr>
        <w:pStyle w:val="Formuledadoption"/>
        <w:rPr>
          <w:noProof/>
        </w:rPr>
      </w:pPr>
      <w:r>
        <w:rPr>
          <w:noProof/>
        </w:rPr>
        <w:lastRenderedPageBreak/>
        <w:t>RECOMMANDE que la France s'attache, au cours de la période 2015-2016:</w:t>
      </w:r>
    </w:p>
    <w:p w:rsidR="00DF73BE" w:rsidRDefault="00202208">
      <w:pPr>
        <w:pStyle w:val="ManualNumPar1"/>
        <w:rPr>
          <w:noProof/>
        </w:rPr>
      </w:pPr>
      <w:r>
        <w:t>1.</w:t>
      </w:r>
      <w:r>
        <w:tab/>
      </w:r>
      <w:r>
        <w:rPr>
          <w:noProof/>
        </w:rPr>
        <w:t xml:space="preserve">à engager une action suivie d'effets au titre de la procédure concernant les déficits excessifs et à assurer une correction durable du déficit </w:t>
      </w:r>
      <w:r>
        <w:rPr>
          <w:noProof/>
        </w:rPr>
        <w:t xml:space="preserve">excessif en 2017 au plus tard par un renforcement de sa stratégie budgétaire, en prenant les mesures nécessaires pour toutes les années et en consacrant toutes les recettes imprévues à la réduction du déficit; à préciser les réductions de dépenses prévues </w:t>
      </w:r>
      <w:r>
        <w:rPr>
          <w:noProof/>
        </w:rPr>
        <w:t>pour ces années et à fournir une évaluation indépendante de l'impact des principales mesures;</w:t>
      </w:r>
    </w:p>
    <w:p w:rsidR="00DF73BE" w:rsidRDefault="00202208">
      <w:pPr>
        <w:pStyle w:val="ManualNumPar1"/>
        <w:rPr>
          <w:noProof/>
        </w:rPr>
      </w:pPr>
      <w:r>
        <w:t>2.</w:t>
      </w:r>
      <w:r>
        <w:tab/>
      </w:r>
      <w:r>
        <w:rPr>
          <w:noProof/>
        </w:rPr>
        <w:t>à accentuer les efforts visant à rendre efficace la revue des dépenses et à recenser les possibilités d'économies dans tous les sous-secteurs des administratio</w:t>
      </w:r>
      <w:r>
        <w:rPr>
          <w:noProof/>
        </w:rPr>
        <w:t xml:space="preserve">ns publiques, et notamment aux niveaux de la sécurité sociale et des collectivités locales; à prendre des mesures pour limiter l'augmentation des dépenses de fonctionnement des collectivités locales; à prendre des mesures supplémentaires d'ici à mars 2016 </w:t>
      </w:r>
      <w:r>
        <w:rPr>
          <w:noProof/>
        </w:rPr>
        <w:t>pour ramener le système de retraite à l'équilibre, notamment en s'assurant que la situation financière des régimes de retraite complémentaire soit viable à long terme;</w:t>
      </w:r>
    </w:p>
    <w:p w:rsidR="00DF73BE" w:rsidRDefault="00202208">
      <w:pPr>
        <w:pStyle w:val="ManualNumPar1"/>
        <w:rPr>
          <w:noProof/>
        </w:rPr>
      </w:pPr>
      <w:r>
        <w:t>3.</w:t>
      </w:r>
      <w:r>
        <w:tab/>
      </w:r>
      <w:r>
        <w:rPr>
          <w:noProof/>
        </w:rPr>
        <w:t>à maintenir les réductions du coût du travail découlant du crédit d'impôt pour la com</w:t>
      </w:r>
      <w:r>
        <w:rPr>
          <w:noProof/>
        </w:rPr>
        <w:t>pétitivité et l'emploi et du pacte de responsabilité et de solidarité, notamment en les mettant en œuvre comme prévu en 2016; à évaluer l'efficacité de ces dispositifs en tenant compte des rigidités du marché du travail et du marché des produits; à réforme</w:t>
      </w:r>
      <w:r>
        <w:rPr>
          <w:noProof/>
        </w:rPr>
        <w:t>r, en concertation avec les partenaires sociaux et conformément aux pratiques nationales, le système de formation des salaires pour que ceux-ci évoluent au même rythme que la productivité; à veiller à ce que les évolutions du salaire minimum soient compati</w:t>
      </w:r>
      <w:r>
        <w:rPr>
          <w:noProof/>
        </w:rPr>
        <w:t>bles avec les objectifs de promotion de l'emploi et de la compétitivité;</w:t>
      </w:r>
    </w:p>
    <w:p w:rsidR="00DF73BE" w:rsidRDefault="00202208">
      <w:pPr>
        <w:pStyle w:val="ManualNumPar1"/>
        <w:rPr>
          <w:noProof/>
        </w:rPr>
      </w:pPr>
      <w:r>
        <w:t>4.</w:t>
      </w:r>
      <w:r>
        <w:tab/>
      </w:r>
      <w:r>
        <w:rPr>
          <w:noProof/>
        </w:rPr>
        <w:t>d'ici à la fin de 2015, à éliminer les obstacles réglementaires à la croissance des entreprises, notamment en révisant les critères de taille fixés dans la réglementation pour évit</w:t>
      </w:r>
      <w:r>
        <w:rPr>
          <w:noProof/>
        </w:rPr>
        <w:t>er les effets de seuil; à éliminer les restrictions d'accès aux professions réglementées et à l'exercice de celles-ci, notamment en ce qui concerne les professions de santé à partir de 2015;</w:t>
      </w:r>
    </w:p>
    <w:p w:rsidR="00DF73BE" w:rsidRDefault="00202208">
      <w:pPr>
        <w:pStyle w:val="ManualNumPar1"/>
        <w:rPr>
          <w:noProof/>
        </w:rPr>
      </w:pPr>
      <w:r>
        <w:t>5.</w:t>
      </w:r>
      <w:r>
        <w:tab/>
      </w:r>
      <w:r>
        <w:rPr>
          <w:noProof/>
        </w:rPr>
        <w:t>à simplifier et à améliorer l'efficacité du système fiscal, no</w:t>
      </w:r>
      <w:r>
        <w:rPr>
          <w:noProof/>
        </w:rPr>
        <w:t>tamment en supprimant les dépenses fiscales inefficaces; afin de promouvoir l'investissement, à prendre des mesures visant à réduire les impôts sur la production et le taux nominal de l'impôt sur les sociétés, tout en élargissant la base d'imposition sur l</w:t>
      </w:r>
      <w:r>
        <w:rPr>
          <w:noProof/>
        </w:rPr>
        <w:t>a consommation; à prendre des mesures à partir de 2015 en vue de supprimer les impôts inefficaces dont le produit est nul ou faible;</w:t>
      </w:r>
    </w:p>
    <w:p w:rsidR="00DF73BE" w:rsidRDefault="00202208">
      <w:pPr>
        <w:pStyle w:val="ManualNumPar1"/>
        <w:rPr>
          <w:noProof/>
        </w:rPr>
      </w:pPr>
      <w:r>
        <w:t>6.</w:t>
      </w:r>
      <w:r>
        <w:tab/>
      </w:r>
      <w:r>
        <w:rPr>
          <w:noProof/>
        </w:rPr>
        <w:t xml:space="preserve">à réformer le droit du travail afin d'inciter davantage les employeurs à embaucher en contrats à durée indéterminée; à </w:t>
      </w:r>
      <w:r>
        <w:rPr>
          <w:noProof/>
        </w:rPr>
        <w:t>faciliter, aux niveaux des entreprises et des branches, les dérogations aux dispositions juridiques générales, notamment en ce qui concerne l'organisation du temps de travail; à réformer la loi portant création des accords de maintien de l'emploi d'ici à l</w:t>
      </w:r>
      <w:r>
        <w:rPr>
          <w:noProof/>
        </w:rPr>
        <w:t>a fin de 2015 en vue d'accroître leur utilisation par les entreprises; à entreprendre une réforme du système d'assurance chômage afin d'en rétablir la viabilité budgétaire et d'encourager davantage le retour au travail.</w:t>
      </w:r>
    </w:p>
    <w:p w:rsidR="00DF73BE" w:rsidRDefault="00A24219" w:rsidP="00A24219">
      <w:pPr>
        <w:pStyle w:val="Fait"/>
        <w:rPr>
          <w:noProof/>
        </w:rPr>
      </w:pPr>
      <w:r w:rsidRPr="00A24219">
        <w:t>Fait à Bruxelles, le</w:t>
      </w:r>
    </w:p>
    <w:p w:rsidR="00DF73BE" w:rsidRDefault="00202208">
      <w:pPr>
        <w:pStyle w:val="Institutionquisigne"/>
        <w:rPr>
          <w:noProof/>
        </w:rPr>
      </w:pPr>
      <w:r>
        <w:rPr>
          <w:noProof/>
        </w:rPr>
        <w:tab/>
        <w:t>Par le Conseil</w:t>
      </w:r>
    </w:p>
    <w:p w:rsidR="00DF73BE" w:rsidRDefault="00202208">
      <w:pPr>
        <w:pStyle w:val="Personnequisigne"/>
        <w:rPr>
          <w:noProof/>
        </w:rPr>
      </w:pPr>
      <w:r>
        <w:rPr>
          <w:noProof/>
        </w:rPr>
        <w:tab/>
        <w:t>Le président</w:t>
      </w:r>
    </w:p>
    <w:sectPr w:rsidR="00DF73BE" w:rsidSect="00A24219">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BE" w:rsidRDefault="00202208">
      <w:pPr>
        <w:spacing w:before="0" w:after="0"/>
      </w:pPr>
      <w:r>
        <w:separator/>
      </w:r>
    </w:p>
  </w:endnote>
  <w:endnote w:type="continuationSeparator" w:id="0">
    <w:p w:rsidR="00DF73BE" w:rsidRDefault="002022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08" w:rsidRDefault="00202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19" w:rsidRPr="00202208" w:rsidRDefault="00202208" w:rsidP="00202208">
    <w:pPr>
      <w:pStyle w:val="Footer"/>
      <w:rPr>
        <w:rFonts w:ascii="Arial" w:hAnsi="Arial" w:cs="Arial"/>
        <w:b/>
        <w:sz w:val="48"/>
      </w:rPr>
    </w:pPr>
    <w:r w:rsidRPr="00202208">
      <w:rPr>
        <w:rFonts w:ascii="Arial" w:hAnsi="Arial" w:cs="Arial"/>
        <w:b/>
        <w:sz w:val="48"/>
      </w:rPr>
      <w:t>FR</w:t>
    </w:r>
    <w:r w:rsidRPr="00202208">
      <w:rPr>
        <w:rFonts w:ascii="Arial" w:hAnsi="Arial" w:cs="Arial"/>
        <w:b/>
        <w:sz w:val="48"/>
      </w:rPr>
      <w:tab/>
    </w:r>
    <w:r w:rsidRPr="00202208">
      <w:rPr>
        <w:rFonts w:ascii="Arial" w:hAnsi="Arial" w:cs="Arial"/>
        <w:b/>
        <w:sz w:val="48"/>
      </w:rPr>
      <w:tab/>
    </w:r>
    <w:fldSimple w:instr=" DOCVARIABLE &quot;LW_Confidence&quot; \* MERGEFORMAT ">
      <w:r>
        <w:t xml:space="preserve"> </w:t>
      </w:r>
    </w:fldSimple>
    <w:r w:rsidRPr="00202208">
      <w:tab/>
    </w:r>
    <w:proofErr w:type="spellStart"/>
    <w:r w:rsidRPr="0020220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08" w:rsidRDefault="00202208" w:rsidP="002022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19" w:rsidRPr="00202208" w:rsidRDefault="00202208" w:rsidP="00202208">
    <w:pPr>
      <w:pStyle w:val="Footer"/>
      <w:rPr>
        <w:rFonts w:ascii="Arial" w:hAnsi="Arial" w:cs="Arial"/>
        <w:b/>
        <w:sz w:val="48"/>
      </w:rPr>
    </w:pPr>
    <w:r w:rsidRPr="00202208">
      <w:rPr>
        <w:rFonts w:ascii="Arial" w:hAnsi="Arial" w:cs="Arial"/>
        <w:b/>
        <w:sz w:val="48"/>
      </w:rPr>
      <w:t>FR</w:t>
    </w:r>
    <w:r w:rsidRPr="00202208">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202208">
      <w:tab/>
    </w:r>
    <w:r w:rsidRPr="0020220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19" w:rsidRPr="00A24219" w:rsidRDefault="00A24219" w:rsidP="00202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BE" w:rsidRDefault="00202208">
      <w:pPr>
        <w:spacing w:before="0" w:after="0"/>
      </w:pPr>
      <w:r>
        <w:separator/>
      </w:r>
    </w:p>
  </w:footnote>
  <w:footnote w:type="continuationSeparator" w:id="0">
    <w:p w:rsidR="00DF73BE" w:rsidRDefault="00202208">
      <w:pPr>
        <w:spacing w:before="0" w:after="0"/>
      </w:pPr>
      <w:r>
        <w:continuationSeparator/>
      </w:r>
    </w:p>
  </w:footnote>
  <w:footnote w:id="1">
    <w:p w:rsidR="00DF73BE" w:rsidRDefault="00202208">
      <w:pPr>
        <w:pStyle w:val="FootnoteText"/>
        <w:rPr>
          <w:lang w:val="nb-NO"/>
        </w:rPr>
      </w:pPr>
      <w:r>
        <w:rPr>
          <w:rStyle w:val="FootnoteReference"/>
        </w:rPr>
        <w:footnoteRef/>
      </w:r>
      <w:r>
        <w:rPr>
          <w:lang w:val="nb-NO"/>
        </w:rPr>
        <w:tab/>
        <w:t>JO L 209 du 2.8.1997, p. 1.</w:t>
      </w:r>
    </w:p>
  </w:footnote>
  <w:footnote w:id="2">
    <w:p w:rsidR="00DF73BE" w:rsidRDefault="00202208">
      <w:pPr>
        <w:pStyle w:val="FootnoteText"/>
        <w:rPr>
          <w:lang w:val="nb-NO"/>
        </w:rPr>
      </w:pPr>
      <w:r>
        <w:rPr>
          <w:rStyle w:val="FootnoteReference"/>
        </w:rPr>
        <w:footnoteRef/>
      </w:r>
      <w:r>
        <w:rPr>
          <w:lang w:val="nb-NO"/>
        </w:rPr>
        <w:tab/>
        <w:t>JO L 306 du 23.11.2011, p. 25.</w:t>
      </w:r>
    </w:p>
  </w:footnote>
  <w:footnote w:id="3">
    <w:p w:rsidR="00DF73BE" w:rsidRDefault="00202208">
      <w:pPr>
        <w:pStyle w:val="FootnoteText"/>
        <w:rPr>
          <w:lang w:val="nb-NO"/>
        </w:rPr>
      </w:pPr>
      <w:r>
        <w:rPr>
          <w:rStyle w:val="FootnoteReference"/>
        </w:rPr>
        <w:footnoteRef/>
      </w:r>
      <w:r>
        <w:rPr>
          <w:lang w:val="nb-NO"/>
        </w:rPr>
        <w:tab/>
        <w:t>COM(2015) 260.</w:t>
      </w:r>
    </w:p>
  </w:footnote>
  <w:footnote w:id="4">
    <w:p w:rsidR="00DF73BE" w:rsidRDefault="00202208">
      <w:pPr>
        <w:pStyle w:val="FootnoteText"/>
        <w:rPr>
          <w:lang w:val="nb-NO"/>
        </w:rPr>
      </w:pPr>
      <w:r>
        <w:rPr>
          <w:rStyle w:val="FootnoteReference"/>
        </w:rPr>
        <w:footnoteRef/>
      </w:r>
      <w:r>
        <w:rPr>
          <w:lang w:val="nb-NO"/>
        </w:rPr>
        <w:tab/>
        <w:t>P8_TA(2015)0067, P8_TA(2015)0068, P8_TA(2015)0069.</w:t>
      </w:r>
    </w:p>
  </w:footnote>
  <w:footnote w:id="5">
    <w:p w:rsidR="00DF73BE" w:rsidRDefault="00202208">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w:t>
      </w:r>
      <w:r>
        <w:rPr>
          <w:lang w:val="pt-PT"/>
        </w:rPr>
        <w:t>27.5.2013, p. 11.</w:t>
      </w:r>
    </w:p>
  </w:footnote>
  <w:footnote w:id="6">
    <w:p w:rsidR="00DF73BE" w:rsidRDefault="00202208">
      <w:pPr>
        <w:pStyle w:val="FootnoteText"/>
        <w:rPr>
          <w:lang w:val="pt-PT"/>
        </w:rPr>
      </w:pPr>
      <w:r>
        <w:rPr>
          <w:rStyle w:val="FootnoteReference"/>
        </w:rPr>
        <w:footnoteRef/>
      </w:r>
      <w:r>
        <w:rPr>
          <w:lang w:val="pt-PT"/>
        </w:rPr>
        <w:tab/>
      </w:r>
      <w:proofErr w:type="gramStart"/>
      <w:r>
        <w:rPr>
          <w:lang w:val="pt-PT"/>
        </w:rPr>
        <w:t>C(2014</w:t>
      </w:r>
      <w:proofErr w:type="gramEnd"/>
      <w:r>
        <w:rPr>
          <w:lang w:val="pt-PT"/>
        </w:rPr>
        <w:t>) 8805 final.</w:t>
      </w:r>
    </w:p>
  </w:footnote>
  <w:footnote w:id="7">
    <w:p w:rsidR="00DF73BE" w:rsidRDefault="00202208">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8">
    <w:p w:rsidR="00DF73BE" w:rsidRDefault="00202208">
      <w:pPr>
        <w:pStyle w:val="FootnoteText"/>
      </w:pPr>
      <w:r>
        <w:rPr>
          <w:rStyle w:val="FootnoteReference"/>
        </w:rPr>
        <w:footnoteRef/>
      </w:r>
      <w:r>
        <w:tab/>
        <w:t>COM(2014) 904.</w:t>
      </w:r>
    </w:p>
  </w:footnote>
  <w:footnote w:id="9">
    <w:p w:rsidR="00DF73BE" w:rsidRDefault="00202208">
      <w:pPr>
        <w:pStyle w:val="FootnoteText"/>
      </w:pPr>
      <w:r>
        <w:rPr>
          <w:rStyle w:val="FootnoteReference"/>
        </w:rPr>
        <w:footnoteRef/>
      </w:r>
      <w:r>
        <w:tab/>
        <w:t>SWD(2015) 29 final.</w:t>
      </w:r>
    </w:p>
  </w:footnote>
  <w:footnote w:id="10">
    <w:p w:rsidR="00DF73BE" w:rsidRDefault="00202208">
      <w:pPr>
        <w:pStyle w:val="FootnoteText"/>
      </w:pPr>
      <w:r>
        <w:rPr>
          <w:rStyle w:val="FootnoteReference"/>
        </w:rPr>
        <w:footnoteRef/>
      </w:r>
      <w:r>
        <w:tab/>
        <w:t>Le gouvernement a ramené l'objectif à moyen terme à un déficit structurel de 0,4 % du PIB, alors qu'il était de 0,25 % du PIB dans le programme de stabilité p</w:t>
      </w:r>
      <w:r>
        <w:t>récédent. Il devrait être atteint un an plus tard que prévu dans le programme de stabilité de l’an dernier.</w:t>
      </w:r>
    </w:p>
  </w:footnote>
  <w:footnote w:id="11">
    <w:p w:rsidR="00DF73BE" w:rsidRDefault="00202208">
      <w:pPr>
        <w:pStyle w:val="FootnoteText"/>
      </w:pPr>
      <w:r>
        <w:rPr>
          <w:rStyle w:val="FootnoteReference"/>
        </w:rPr>
        <w:footnoteRef/>
      </w:r>
      <w:r>
        <w:tab/>
        <w:t>L'évaluation de l'action suivie d'effets engagée au titre de la procédure concernant les déficits excessifs sera effectuée après le 10 juin 2015.</w:t>
      </w:r>
    </w:p>
  </w:footnote>
  <w:footnote w:id="12">
    <w:p w:rsidR="00DF73BE" w:rsidRDefault="00202208">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08" w:rsidRDefault="00202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08" w:rsidRDefault="00202208" w:rsidP="00202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08" w:rsidRDefault="00202208" w:rsidP="00202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DA69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D69B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A495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DADF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A8EE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7ABD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B20E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26C8E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num>
  <w:num w:numId="12">
    <w:abstractNumId w:val="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15: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E60439B6CB6A4AC1B9C4725F0BD8B040"/>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0"/>
    <w:docVar w:name="LW_REF.INTERNE" w:val="&lt;UNUSED&gt;"/>
    <w:docVar w:name="LW_SOUS.TITRE.OBJ.CP" w:val="&lt;UNUSED&gt;"/>
    <w:docVar w:name="LW_STATUT.CP" w:val="Recommandation de"/>
    <w:docVar w:name="LW_SUPERTITRE" w:val="&lt;UNUSED&gt;"/>
    <w:docVar w:name="LW_TITRE.OBJ.CP" w:val="concernant le programme national de réforme de la France pour 2015_x000b__x000b_et portant avis du Conseil sur le programme de stabilité de la France pour 2015 _x000b_"/>
    <w:docVar w:name="LW_TYPE.DOC.CP" w:val="RECOMMANDATION DU CONSEIL"/>
  </w:docVars>
  <w:rsids>
    <w:rsidRoot w:val="00DF73BE"/>
    <w:rsid w:val="00202208"/>
    <w:rsid w:val="00A24219"/>
    <w:rsid w:val="00D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A24219"/>
    <w:pPr>
      <w:tabs>
        <w:tab w:val="center" w:pos="4535"/>
        <w:tab w:val="right" w:pos="9071"/>
      </w:tabs>
      <w:spacing w:before="0"/>
    </w:pPr>
  </w:style>
  <w:style w:type="character" w:customStyle="1" w:styleId="HeaderChar">
    <w:name w:val="Header Char"/>
    <w:basedOn w:val="DefaultParagraphFont"/>
    <w:link w:val="Header"/>
    <w:uiPriority w:val="99"/>
    <w:rsid w:val="00A2421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2421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A24219"/>
    <w:pPr>
      <w:tabs>
        <w:tab w:val="center" w:pos="4535"/>
        <w:tab w:val="right" w:pos="9071"/>
      </w:tabs>
      <w:spacing w:before="0"/>
    </w:pPr>
  </w:style>
  <w:style w:type="character" w:customStyle="1" w:styleId="HeaderChar">
    <w:name w:val="Header Char"/>
    <w:basedOn w:val="DefaultParagraphFont"/>
    <w:link w:val="Header"/>
    <w:uiPriority w:val="99"/>
    <w:rsid w:val="00A2421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2421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CCB7-BE31-4D66-BBBE-DA37BEB2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3087</Words>
  <Characters>16566</Characters>
  <Application>Microsoft Office Word</Application>
  <DocSecurity>0</DocSecurity>
  <Lines>263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2015-05-13T07:54:00Z</dcterms:created>
  <dcterms:modified xsi:type="dcterms:W3CDTF">2015-05-13T12:45:00Z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LWCR Document">
    <vt:lpwstr>True</vt:lpwstr>
  </property>
  <property fmtid="{D5CDD505-2E9C-101B-9397-08002B2CF9AE}" pid="6" name="LWCR Version">
    <vt:lpwstr>1.6.413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02)</vt:lpwstr>
  </property>
</Properties>
</file>