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03CE391BFE4BAEB6640C696FC2B31E"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В Регламент (ЕС) 2015/104 на Съвета бяха установени за 2015 г.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 Обикновено тези възможности за риболов се изменят неколкократно по време на периода, в който са в сила. </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 xml:space="preserve">Налагането на ограничения на улова за определени видове риболовни уреди и въвеждането на затворена зона бяха подробно обсъдени с държавите членки. Те бяха помолени да посочат конкретни дейности по риболов на лаврак и да определят по какъв начин биха могли да намалят улова на лаврак и смъртността при своите риболовни дейности. </w:t>
      </w:r>
    </w:p>
    <w:p>
      <w:pPr>
        <w:rPr>
          <w:noProof/>
        </w:rPr>
      </w:pPr>
      <w:r>
        <w:rPr>
          <w:noProof/>
        </w:rPr>
        <w:t>В отговор Франция и Обединеното кралство посочиха редица ограничения на улова и въздействието им върху различни риболовни дейности, свързани с риболова на лаврак.</w:t>
      </w:r>
    </w:p>
    <w:p>
      <w:pPr>
        <w:pStyle w:val="ManualHeading1"/>
        <w:rPr>
          <w:noProof/>
        </w:rPr>
      </w:pPr>
      <w:r>
        <w:rPr>
          <w:noProof/>
        </w:rPr>
        <w:t>3.</w:t>
      </w:r>
      <w:r>
        <w:rPr>
          <w:noProof/>
        </w:rPr>
        <w:tab/>
        <w:t>ПРАВНИ ЕЛЕМЕНТИ НА ПРЕДЛОЖЕНИЕТО</w:t>
      </w:r>
    </w:p>
    <w:p>
      <w:pPr>
        <w:rPr>
          <w:noProof/>
        </w:rPr>
      </w:pPr>
      <w:r>
        <w:rPr>
          <w:noProof/>
        </w:rPr>
        <w:t>Целта на предложените изменения е Регламент (ЕС) 2015/104 да бъде изменен, както е описано по-долу.</w:t>
      </w:r>
    </w:p>
    <w:p>
      <w:pPr>
        <w:rPr>
          <w:noProof/>
        </w:rPr>
      </w:pPr>
      <w:r>
        <w:rPr>
          <w:noProof/>
        </w:rPr>
        <w:t>През юни 2014 г. Международният съвет за изследване на морето (ICES) публикува научно становище за този запас, чиято численост отбелязва рязък спад от 2012 г. насам. От своя страна Научният, технически и икономически комитет по рибарство (НТИКР) е на мнение, че действащите национални мерки за опазване на запасите от лаврак са се оказали като цяло неефективни. Лавракът е късносъзряващ и бавнорастящ вид. Смъртността от риболов за този запас понастоящем надхвърля четири пъти равнището на максималния устойчив улов. Ситуацията със запасите от лаврак в Келтско море, Ламанша, Ирландско море и южната част на Северно море (участъци IVb, c и VIIa, d—h на ICES) продължава да бъде критична; за да се насърчи и защити попълването, трябва да се намали във възможно най-висока степен уловът на тези запаси.</w:t>
      </w:r>
    </w:p>
    <w:p>
      <w:pPr>
        <w:rPr>
          <w:noProof/>
        </w:rPr>
      </w:pPr>
      <w:r>
        <w:rPr>
          <w:noProof/>
        </w:rPr>
        <w:t>Още през януари 2015 г. бяха въведени спешни мерки въз основа на член 12 от Регламент (ЕС) № 1380/2013 на Европейския парламент и на Съвета относно общата политика в областта на рибарството, с цел непосредствена защита за струпванията от екземпляри, които хвърлят хайвер. Посоченият регламент предвижда временна защита; Комисията ясно заяви, че спешните мерки представляват първа част от необходимите през 2015 г. мерки за управление в три части и че си сътрудничи с държавите членки за доразвиването им. Първото изменение на Регламент (ЕС) 2015/104 относно възможностите за риболов вече бе прието, като с него бяха въведени ограничения на улова за любителския риболов, което представлява втората част от мерките за управление на лаврак.</w:t>
      </w:r>
    </w:p>
    <w:p>
      <w:pPr>
        <w:rPr>
          <w:noProof/>
        </w:rPr>
      </w:pPr>
      <w:r>
        <w:rPr>
          <w:noProof/>
        </w:rPr>
        <w:t>Настоящото предложение е третата част от тези мерки и то е било обсъдено с държавите членки, които имат риболовен интерес по отношение на този запас. Мерките се отнасят до въвеждането на месечни ограничения на улова за отделни риболовни дейности и до забрана в подкрепа на мерките за опазване, предприети вече от Ирландия, тъй като ирландското национално законодателство забранява търговската експлоатация на лаврак от ирландските кораби. Въвеждането на подобна забрана и разпростирането ѝ до всички кораби на ЕС с дейност в тази зона би се отразило благоприятно на запаса; това ще избегне развитието на допълнителен целеви риболов и ще предотврати преместване на риболова в тази зона. Поради това се предлага да се въведе забрана в участъци VIIa—c, g и j—k на ICES, като същевременно се разрешава ограничен риболов в териториалните води на Обединеното кралство, за да се отговори на нуждите на флотовете за дребномащабен риболов. Риболовът следва да бъде намален и в участъци IVb, c и VIId, е, f и h на ICES чрез въвеждането на месечни ограничения на улова.</w:t>
      </w:r>
    </w:p>
    <w:p>
      <w:pPr>
        <w:rPr>
          <w:noProof/>
        </w:rPr>
      </w:pPr>
      <w:r>
        <w:rPr>
          <w:noProof/>
        </w:rPr>
        <w:t xml:space="preserve">Лавракът се лови в рамките на различни видове целеви риболов и прилов. Счита се, че едно ограничение на улова ще окаже въздействие основно върху целевия риболов на лаврак, така че рибарите ще могат да приспособят своите риболовни дейности, за да намалят улова. Ограниченията на улова бяха определени по начин, който позволява разтоварването на прилов.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2015/0108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2015/104 по отношение на някои възможности за риболов</w:t>
      </w:r>
    </w:p>
    <w:p>
      <w:pPr>
        <w:pStyle w:val="Institutionquiagit"/>
        <w:rPr>
          <w:noProof/>
        </w:rPr>
      </w:pPr>
      <w:r>
        <w:rPr>
          <w:noProof/>
        </w:rPr>
        <w:t>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3 от него,</w:t>
      </w:r>
    </w:p>
    <w:p>
      <w:pPr>
        <w:rPr>
          <w:noProof/>
        </w:rPr>
      </w:pPr>
      <w:r>
        <w:rPr>
          <w:noProof/>
        </w:rPr>
        <w:t>като взеха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През юни 2014 г. Международният съвет за изследване на морето (ICES) публикува научно становище за запаса от лаврак в североизточната част на Атлантическия океан и потвърди, че от 2012 г. насам се наблюдава бързо влошаване на състоянието му. Същевременно Научният, технически и икономически комитет по рибарство (НТИКР) разгледа въведените национални мерки, насочени към защитата на запаса от лаврак, и принципно ги определи като неефективни. Лавракът е късносъзряващ и бавнорастящ вид. Смъртността от риболов при лаврака в североизточната част на Атлантическия океан понастоящем надхвърля четири пъти равнището, необходимо за осигуряването на максималния устойчив улов. </w:t>
      </w:r>
    </w:p>
    <w:p>
      <w:pPr>
        <w:pStyle w:val="ManualConsidrant"/>
        <w:rPr>
          <w:noProof/>
        </w:rPr>
      </w:pPr>
      <w:r>
        <w:t>(2)</w:t>
      </w:r>
      <w:r>
        <w:tab/>
      </w:r>
      <w:r>
        <w:rPr>
          <w:noProof/>
        </w:rPr>
        <w:t>С Регламент за изпълнение (ЕС) 2015/111 на Комисията</w:t>
      </w:r>
      <w:r>
        <w:rPr>
          <w:rStyle w:val="FootnoteReference"/>
          <w:noProof/>
        </w:rPr>
        <w:footnoteReference w:id="1"/>
      </w:r>
      <w:r>
        <w:rPr>
          <w:noProof/>
        </w:rPr>
        <w:t>, който се основава на член 12 от Регламент (ЕС) № 1380/2013 на Европейския парламент и на Съвета</w:t>
      </w:r>
      <w:r>
        <w:rPr>
          <w:rStyle w:val="FootnoteReference"/>
          <w:noProof/>
        </w:rPr>
        <w:footnoteReference w:id="2"/>
      </w:r>
      <w:r>
        <w:rPr>
          <w:noProof/>
        </w:rPr>
        <w:t>, Комисията прие спешни мерки за намаляване на смъртността от риболов, причинена от пелагични кораби за риболов на струпванията от екземпляри на лаврак, които хвърлят хайвер.</w:t>
      </w:r>
    </w:p>
    <w:p>
      <w:pPr>
        <w:pStyle w:val="ManualConsidrant"/>
        <w:rPr>
          <w:noProof/>
        </w:rPr>
      </w:pPr>
      <w:r>
        <w:t>(3)</w:t>
      </w:r>
      <w:r>
        <w:tab/>
      </w:r>
      <w:r>
        <w:rPr>
          <w:noProof/>
        </w:rPr>
        <w:t>Регламент (ЕС) № 2015/104 на Съвета</w:t>
      </w:r>
      <w:r>
        <w:rPr>
          <w:rStyle w:val="FootnoteReference"/>
          <w:noProof/>
        </w:rPr>
        <w:footnoteReference w:id="3"/>
      </w:r>
      <w:r>
        <w:rPr>
          <w:noProof/>
        </w:rPr>
        <w:t xml:space="preserve"> беше изменен с Регламент (ЕС) 2015/523 на Съвета</w:t>
      </w:r>
      <w:r>
        <w:rPr>
          <w:rStyle w:val="FootnoteReference"/>
          <w:noProof/>
        </w:rPr>
        <w:footnoteReference w:id="4"/>
      </w:r>
      <w:r>
        <w:rPr>
          <w:noProof/>
        </w:rPr>
        <w:t>, с цел да се намали въздействието на любителския риболов върху смъртността от риболов.</w:t>
      </w:r>
    </w:p>
    <w:p>
      <w:pPr>
        <w:pStyle w:val="ManualConsidrant"/>
        <w:rPr>
          <w:noProof/>
        </w:rPr>
      </w:pPr>
      <w:r>
        <w:t>(4)</w:t>
      </w:r>
      <w:r>
        <w:tab/>
      </w:r>
      <w:r>
        <w:rPr>
          <w:noProof/>
        </w:rPr>
        <w:t>Необходимо е по-нататъшно намаляване на улова, поради което следва да се намали уловът при целеви риболов, като се наложат месечни ограничения на улова в участъци IVb и IVc на ICES, както и в участъци VIId, VIIe, VIIf и VIIh на ICES. Месечни ограничения на улова следва да се прилагат и в териториалните води на Обединеното кралство в участъци VIIa и VIIg на ICES. Тази мярка следва да даде възможност на рибарите да приспособят риболовния си подход така, че да избягват лаврака, но с право да запазват известно количество от прилова.</w:t>
      </w:r>
    </w:p>
    <w:p>
      <w:pPr>
        <w:pStyle w:val="ManualConsidrant"/>
        <w:rPr>
          <w:noProof/>
        </w:rPr>
      </w:pPr>
      <w:r>
        <w:t>(5)</w:t>
      </w:r>
      <w:r>
        <w:tab/>
      </w:r>
      <w:r>
        <w:rPr>
          <w:noProof/>
        </w:rPr>
        <w:t>Предприетите от Ирландия мерки за опазване следва да бъдат запазени и разширени, така че да обхванат всички кораби на Съюза с дейност в участъци VIIb, VIIc, VIIj и VIIk на ICES. Същите мерки следва да се прилагат и в участъци VIIa и VIIg на ICES, освен във водите в рамките на 12 морски мили от изходните линии на територията на Обединеното кралство.</w:t>
      </w:r>
      <w:r>
        <w:rPr>
          <w:noProof/>
          <w:color w:val="000000"/>
        </w:rPr>
        <w:t xml:space="preserve"> </w:t>
      </w:r>
    </w:p>
    <w:p>
      <w:pPr>
        <w:pStyle w:val="ManualConsidrant"/>
        <w:rPr>
          <w:noProof/>
        </w:rPr>
      </w:pPr>
      <w:r>
        <w:t>(6)</w:t>
      </w:r>
      <w:r>
        <w:tab/>
      </w:r>
      <w:r>
        <w:rPr>
          <w:noProof/>
        </w:rPr>
        <w:t>Уловът на лаврак следва да се наблюдава всеки месец чрез събиране на данни от държавите членки.</w:t>
      </w:r>
    </w:p>
    <w:p>
      <w:pPr>
        <w:pStyle w:val="ManualConsidrant"/>
        <w:rPr>
          <w:noProof/>
        </w:rPr>
      </w:pPr>
      <w:r>
        <w:t>(7)</w:t>
      </w:r>
      <w:r>
        <w:tab/>
      </w:r>
      <w:r>
        <w:rPr>
          <w:noProof/>
        </w:rPr>
        <w:t>Поради това Регламент (ЕС) 2015/104 следва да бъде съответно изменен.</w:t>
      </w:r>
    </w:p>
    <w:p>
      <w:pPr>
        <w:pStyle w:val="ManualConsidrant"/>
        <w:rPr>
          <w:noProof/>
          <w:szCs w:val="24"/>
        </w:rPr>
      </w:pPr>
      <w:r>
        <w:t>(8)</w:t>
      </w:r>
      <w:r>
        <w:tab/>
      </w:r>
      <w:r>
        <w:rPr>
          <w:noProof/>
        </w:rPr>
        <w:t>Поради неотложния характер на ситуацията настоящият регламент следва да влезе в сила в деня след деня на публикуването му,</w:t>
      </w:r>
    </w:p>
    <w:p>
      <w:pPr>
        <w:pStyle w:val="Formuledadoption"/>
        <w:rPr>
          <w:noProof/>
        </w:rPr>
      </w:pPr>
      <w:r>
        <w:rPr>
          <w:noProof/>
        </w:rPr>
        <w:t>ПРИЕ НАСТОЯЩИЯ РЕГЛАМЕНТ:</w:t>
      </w:r>
    </w:p>
    <w:p>
      <w:pPr>
        <w:pStyle w:val="Titrearticle"/>
        <w:rPr>
          <w:noProof/>
        </w:rPr>
      </w:pPr>
      <w:r>
        <w:rPr>
          <w:noProof/>
        </w:rPr>
        <w:t>Член 1</w:t>
      </w:r>
      <w:r>
        <w:rPr>
          <w:noProof/>
        </w:rPr>
        <w:br/>
      </w:r>
    </w:p>
    <w:p>
      <w:pPr>
        <w:rPr>
          <w:noProof/>
        </w:rPr>
      </w:pPr>
      <w:r>
        <w:rPr>
          <w:noProof/>
        </w:rPr>
        <w:t xml:space="preserve">В Регламент (ЕС) 2015/104 се вмъква следният член 9а: </w:t>
      </w:r>
    </w:p>
    <w:p>
      <w:pPr>
        <w:pStyle w:val="Titrearticle"/>
        <w:spacing w:before="0" w:after="0"/>
        <w:rPr>
          <w:i w:val="0"/>
          <w:noProof/>
        </w:rPr>
      </w:pPr>
      <w:r>
        <w:rPr>
          <w:noProof/>
        </w:rPr>
        <w:t>„Член 9a</w:t>
      </w:r>
      <w:r>
        <w:rPr>
          <w:noProof/>
        </w:rPr>
        <w:br/>
      </w:r>
      <w:r>
        <w:rPr>
          <w:noProof/>
        </w:rPr>
        <w:br/>
        <w:t>Мерки относно лаврака</w:t>
      </w:r>
    </w:p>
    <w:p>
      <w:pPr>
        <w:pStyle w:val="Point1"/>
        <w:rPr>
          <w:noProof/>
        </w:rPr>
      </w:pPr>
      <w:r>
        <w:rPr>
          <w:noProof/>
        </w:rPr>
        <w:t>1.</w:t>
      </w:r>
      <w:r>
        <w:rPr>
          <w:noProof/>
        </w:rPr>
        <w:tab/>
        <w:t>На корабите на Съюза се забранява да ловят, задържат на борда, преместват, трансбордират и разтоварват на сушата количества лаврак, превишаващи определените в параграф 2 и уловени в:</w:t>
      </w:r>
    </w:p>
    <w:p>
      <w:pPr>
        <w:pStyle w:val="Point1"/>
        <w:ind w:firstLine="0"/>
        <w:rPr>
          <w:noProof/>
        </w:rPr>
      </w:pPr>
      <w:r>
        <w:rPr>
          <w:noProof/>
        </w:rPr>
        <w:t>а)</w:t>
      </w:r>
      <w:r>
        <w:rPr>
          <w:noProof/>
        </w:rPr>
        <w:tab/>
        <w:t>участъци IVb, IVc, VIId, VIIe, VIIf и VIIh на ICES;</w:t>
      </w:r>
    </w:p>
    <w:p>
      <w:pPr>
        <w:pStyle w:val="Point1"/>
        <w:ind w:firstLine="0"/>
        <w:rPr>
          <w:noProof/>
        </w:rPr>
      </w:pPr>
      <w:r>
        <w:rPr>
          <w:noProof/>
        </w:rPr>
        <w:t>б)</w:t>
      </w:r>
      <w:r>
        <w:rPr>
          <w:noProof/>
        </w:rPr>
        <w:tab/>
        <w:t xml:space="preserve">води в рамките на 12 морски мили от изходните линии на територията на Обединеното кралство в участъци VIIa и VIIg на ICES. </w:t>
      </w:r>
    </w:p>
    <w:p>
      <w:pPr>
        <w:pStyle w:val="Point1"/>
        <w:rPr>
          <w:noProof/>
        </w:rPr>
      </w:pPr>
      <w:r>
        <w:rPr>
          <w:noProof/>
        </w:rPr>
        <w:t>2.</w:t>
      </w:r>
      <w:r>
        <w:rPr>
          <w:noProof/>
        </w:rPr>
        <w:tab/>
        <w:t>За целите на параграф 1 се прилагат следните ограничения на улова:</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4216"/>
      </w:tblGrid>
      <w:tr>
        <w:tc>
          <w:tcPr>
            <w:tcW w:w="4644" w:type="dxa"/>
            <w:shd w:val="clear" w:color="auto" w:fill="auto"/>
          </w:tcPr>
          <w:p>
            <w:pPr>
              <w:pStyle w:val="Point0number"/>
              <w:numPr>
                <w:ilvl w:val="0"/>
                <w:numId w:val="0"/>
              </w:numPr>
              <w:jc w:val="center"/>
              <w:rPr>
                <w:noProof/>
              </w:rPr>
            </w:pPr>
            <w:r>
              <w:rPr>
                <w:noProof/>
              </w:rPr>
              <w:t>Вид уред</w:t>
            </w:r>
          </w:p>
        </w:tc>
        <w:tc>
          <w:tcPr>
            <w:tcW w:w="4645" w:type="dxa"/>
            <w:shd w:val="clear" w:color="auto" w:fill="auto"/>
          </w:tcPr>
          <w:p>
            <w:pPr>
              <w:pStyle w:val="Point0number"/>
              <w:numPr>
                <w:ilvl w:val="0"/>
                <w:numId w:val="0"/>
              </w:numPr>
              <w:jc w:val="center"/>
              <w:rPr>
                <w:noProof/>
              </w:rPr>
            </w:pPr>
            <w:r>
              <w:rPr>
                <w:noProof/>
              </w:rPr>
              <w:t>Максимално разрешено количество улов на лаврак на риболовен съд за календарен месец (в kg)</w:t>
            </w:r>
          </w:p>
        </w:tc>
      </w:tr>
      <w:tr>
        <w:tc>
          <w:tcPr>
            <w:tcW w:w="4644" w:type="dxa"/>
            <w:shd w:val="clear" w:color="auto" w:fill="auto"/>
          </w:tcPr>
          <w:p>
            <w:pPr>
              <w:pStyle w:val="Point0number"/>
              <w:numPr>
                <w:ilvl w:val="0"/>
                <w:numId w:val="0"/>
              </w:numPr>
              <w:jc w:val="center"/>
              <w:rPr>
                <w:noProof/>
              </w:rPr>
            </w:pPr>
            <w:r>
              <w:rPr>
                <w:noProof/>
              </w:rPr>
              <w:t>Пелагични тралове OTM или PTM</w:t>
            </w:r>
          </w:p>
        </w:tc>
        <w:tc>
          <w:tcPr>
            <w:tcW w:w="4645" w:type="dxa"/>
            <w:shd w:val="clear" w:color="auto" w:fill="auto"/>
          </w:tcPr>
          <w:p>
            <w:pPr>
              <w:pStyle w:val="Point0number"/>
              <w:numPr>
                <w:ilvl w:val="0"/>
                <w:numId w:val="0"/>
              </w:numPr>
              <w:jc w:val="center"/>
              <w:rPr>
                <w:noProof/>
              </w:rPr>
            </w:pPr>
            <w:r>
              <w:rPr>
                <w:noProof/>
              </w:rPr>
              <w:t>1500</w:t>
            </w:r>
          </w:p>
        </w:tc>
      </w:tr>
      <w:tr>
        <w:tc>
          <w:tcPr>
            <w:tcW w:w="4644" w:type="dxa"/>
            <w:shd w:val="clear" w:color="auto" w:fill="auto"/>
          </w:tcPr>
          <w:p>
            <w:pPr>
              <w:pStyle w:val="Point0number"/>
              <w:numPr>
                <w:ilvl w:val="0"/>
                <w:numId w:val="0"/>
              </w:numPr>
              <w:jc w:val="center"/>
              <w:rPr>
                <w:noProof/>
              </w:rPr>
            </w:pPr>
            <w:r>
              <w:rPr>
                <w:noProof/>
              </w:rPr>
              <w:t>OTB, всички видове дънни тралове включително датски / шотландски грибове</w:t>
            </w:r>
          </w:p>
        </w:tc>
        <w:tc>
          <w:tcPr>
            <w:tcW w:w="4645" w:type="dxa"/>
            <w:shd w:val="clear" w:color="auto" w:fill="auto"/>
          </w:tcPr>
          <w:p>
            <w:pPr>
              <w:pStyle w:val="Point0number"/>
              <w:numPr>
                <w:ilvl w:val="0"/>
                <w:numId w:val="0"/>
              </w:numPr>
              <w:jc w:val="center"/>
              <w:rPr>
                <w:noProof/>
              </w:rPr>
            </w:pPr>
            <w:r>
              <w:rPr>
                <w:noProof/>
              </w:rPr>
              <w:t>1500</w:t>
            </w:r>
          </w:p>
        </w:tc>
      </w:tr>
      <w:tr>
        <w:tc>
          <w:tcPr>
            <w:tcW w:w="4644" w:type="dxa"/>
            <w:shd w:val="clear" w:color="auto" w:fill="auto"/>
          </w:tcPr>
          <w:p>
            <w:pPr>
              <w:pStyle w:val="Point0number"/>
              <w:numPr>
                <w:ilvl w:val="0"/>
                <w:numId w:val="0"/>
              </w:numPr>
              <w:jc w:val="center"/>
              <w:rPr>
                <w:noProof/>
              </w:rPr>
            </w:pPr>
            <w:r>
              <w:rPr>
                <w:noProof/>
              </w:rPr>
              <w:t>Всички хрилни мрежи, всички риболовни дейности с плаващи мрежи и неподвижни (тристенни хрилни) мрежи</w:t>
            </w:r>
          </w:p>
        </w:tc>
        <w:tc>
          <w:tcPr>
            <w:tcW w:w="4645" w:type="dxa"/>
            <w:shd w:val="clear" w:color="auto" w:fill="auto"/>
          </w:tcPr>
          <w:p>
            <w:pPr>
              <w:pStyle w:val="Point0number"/>
              <w:numPr>
                <w:ilvl w:val="0"/>
                <w:numId w:val="0"/>
              </w:numPr>
              <w:jc w:val="center"/>
              <w:rPr>
                <w:noProof/>
              </w:rPr>
            </w:pPr>
            <w:r>
              <w:rPr>
                <w:noProof/>
              </w:rPr>
              <w:t>1000</w:t>
            </w:r>
          </w:p>
        </w:tc>
      </w:tr>
      <w:tr>
        <w:tc>
          <w:tcPr>
            <w:tcW w:w="4644" w:type="dxa"/>
            <w:shd w:val="clear" w:color="auto" w:fill="auto"/>
          </w:tcPr>
          <w:p>
            <w:pPr>
              <w:pStyle w:val="Point0number"/>
              <w:numPr>
                <w:ilvl w:val="0"/>
                <w:numId w:val="0"/>
              </w:numPr>
              <w:jc w:val="center"/>
              <w:rPr>
                <w:noProof/>
              </w:rPr>
            </w:pPr>
            <w:r>
              <w:rPr>
                <w:noProof/>
              </w:rPr>
              <w:t>Всички кораби с парагади, всички риболовни дейности с парагади и въдици</w:t>
            </w:r>
          </w:p>
        </w:tc>
        <w:tc>
          <w:tcPr>
            <w:tcW w:w="4645" w:type="dxa"/>
            <w:shd w:val="clear" w:color="auto" w:fill="auto"/>
          </w:tcPr>
          <w:p>
            <w:pPr>
              <w:pStyle w:val="Point0number"/>
              <w:numPr>
                <w:ilvl w:val="0"/>
                <w:numId w:val="0"/>
              </w:numPr>
              <w:jc w:val="center"/>
              <w:rPr>
                <w:noProof/>
              </w:rPr>
            </w:pPr>
            <w:r>
              <w:rPr>
                <w:noProof/>
              </w:rPr>
              <w:t>1000</w:t>
            </w:r>
          </w:p>
        </w:tc>
      </w:tr>
      <w:tr>
        <w:tc>
          <w:tcPr>
            <w:tcW w:w="4644" w:type="dxa"/>
            <w:shd w:val="clear" w:color="auto" w:fill="auto"/>
          </w:tcPr>
          <w:p>
            <w:pPr>
              <w:pStyle w:val="Point0number"/>
              <w:numPr>
                <w:ilvl w:val="0"/>
                <w:numId w:val="0"/>
              </w:numPr>
              <w:jc w:val="center"/>
              <w:rPr>
                <w:noProof/>
              </w:rPr>
            </w:pPr>
            <w:r>
              <w:rPr>
                <w:noProof/>
              </w:rPr>
              <w:t>Гъргъри</w:t>
            </w:r>
          </w:p>
        </w:tc>
        <w:tc>
          <w:tcPr>
            <w:tcW w:w="4645" w:type="dxa"/>
            <w:shd w:val="clear" w:color="auto" w:fill="auto"/>
          </w:tcPr>
          <w:p>
            <w:pPr>
              <w:pStyle w:val="Point0number"/>
              <w:numPr>
                <w:ilvl w:val="0"/>
                <w:numId w:val="0"/>
              </w:numPr>
              <w:jc w:val="center"/>
              <w:rPr>
                <w:noProof/>
              </w:rPr>
            </w:pPr>
            <w:r>
              <w:rPr>
                <w:noProof/>
              </w:rPr>
              <w:t>3000</w:t>
            </w:r>
          </w:p>
        </w:tc>
      </w:tr>
    </w:tbl>
    <w:p>
      <w:pPr>
        <w:pStyle w:val="Point1"/>
        <w:rPr>
          <w:noProof/>
        </w:rPr>
      </w:pPr>
      <w:r>
        <w:rPr>
          <w:noProof/>
        </w:rPr>
        <w:t>3.</w:t>
      </w:r>
      <w:r>
        <w:rPr>
          <w:noProof/>
        </w:rPr>
        <w:tab/>
        <w:t>За кораби на Съюза, използващи повече от един риболовен уред в един и същи календарен месец, се прилага най-ниското количество, определено в параграф 2 за който и да било от риболовните уреди.</w:t>
      </w:r>
    </w:p>
    <w:p>
      <w:pPr>
        <w:pStyle w:val="Point1"/>
        <w:rPr>
          <w:noProof/>
        </w:rPr>
      </w:pPr>
      <w:r>
        <w:rPr>
          <w:noProof/>
        </w:rPr>
        <w:t>4.</w:t>
      </w:r>
      <w:r>
        <w:rPr>
          <w:noProof/>
        </w:rPr>
        <w:tab/>
        <w:t>Определените в параграф 2 разрешени количества не могат да се прехвърлят от един месец в друг, нито между корабите.</w:t>
      </w:r>
    </w:p>
    <w:p>
      <w:pPr>
        <w:pStyle w:val="Point1"/>
        <w:rPr>
          <w:noProof/>
        </w:rPr>
      </w:pPr>
      <w:r>
        <w:rPr>
          <w:noProof/>
        </w:rPr>
        <w:t>5.</w:t>
      </w:r>
      <w:r>
        <w:rPr>
          <w:noProof/>
        </w:rPr>
        <w:tab/>
        <w:t>На корабите на Съюза се забранява задържането на борда, трансбордирането, преместването и разтоварването на суша на лаврак, уловен в участъци VIIb, VIIc, VIIj и VIIk на ICES, както и във водите в участъци VIIa и VIIg на ICES, които са извън 12 морски мили от изходната линия на територията на Обединеното кралство.</w:t>
      </w:r>
    </w:p>
    <w:p>
      <w:pPr>
        <w:pStyle w:val="Point1"/>
        <w:rPr>
          <w:noProof/>
        </w:rPr>
      </w:pPr>
      <w:r>
        <w:rPr>
          <w:noProof/>
        </w:rPr>
        <w:t>6.</w:t>
      </w:r>
      <w:r>
        <w:rPr>
          <w:noProof/>
        </w:rPr>
        <w:tab/>
        <w:t>Не по-късно от 14 дни след края на всеки месец държавите членки предоставят на Комисията доклади за улова на лаврак за всеки кораб, като се посочва и видът на използвания уред.</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за изпълнение (ЕС) 2015/111 на Комисията от 26 януари 2015 година за установяване на мерки за облекчаване на сериозна заплаха за опазването на запасите от лаврак (Dicentrarchus labrax) в Келтско море, Ламанша, Ирландско море и южната част на Северно море (ОВ L 20, 27.1.2015 г., стр. 31).</w:t>
      </w:r>
    </w:p>
  </w:footnote>
  <w:footnote w:id="2">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pPr>
        <w:pStyle w:val="FootnoteText"/>
      </w:pPr>
      <w:r>
        <w:rPr>
          <w:rStyle w:val="FootnoteReference"/>
        </w:rPr>
        <w:footnoteRef/>
      </w:r>
      <w:r>
        <w:tab/>
        <w:t>Регламент (ЕС) 2015/104 на Съвета от 19 януари 2015 г. за определяне за 2015 г. на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 за изменение на Регламент (ЕС) № 43/2014 и за отмяна на Регламент (ЕС) № 779/2014(ОВ L 22, 28.1.2015 г., стр. 1).</w:t>
      </w:r>
    </w:p>
  </w:footnote>
  <w:footnote w:id="4">
    <w:p>
      <w:pPr>
        <w:pStyle w:val="FootnoteText"/>
        <w:rPr>
          <w:lang w:val="cs-CZ"/>
        </w:rPr>
      </w:pPr>
      <w:r>
        <w:rPr>
          <w:rStyle w:val="FootnoteReference"/>
        </w:rPr>
        <w:footnoteRef/>
      </w:r>
      <w:r>
        <w:tab/>
      </w:r>
      <w:r>
        <w:rPr>
          <w:rStyle w:val="Strong"/>
          <w:b w:val="0"/>
          <w:color w:val="444444"/>
        </w:rPr>
        <w:t>Регламент (ЕС) 2015/523 на Съвета от 25 март 2015 г. за изменение на регламенти (ЕС) № 43/2014, и (ЕС) 2015/104 по отношение на някои възможности за риболов (ОВ L 84, 28.3.2015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089E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40CB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C8AA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6053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928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828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085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D8EC58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8 16:08: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A803CE391BFE4BAEB6640C696FC2B31E"/>
    <w:docVar w:name="LW_CROSSREFERENCE" w:val="&lt;UNUSED&gt;"/>
    <w:docVar w:name="LW_DocType" w:val="COM"/>
    <w:docVar w:name="LW_EMISSION" w:val="20.5.2015"/>
    <w:docVar w:name="LW_EMISSION_ISODATE" w:val="2015-05-2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8"/>
    <w:docVar w:name="LW_REF.II.NEW.CP_YEAR" w:val="2015"/>
    <w:docVar w:name="LW_REF.INST.NEW" w:val="COM"/>
    <w:docVar w:name="LW_REF.INST.NEW_ADOPTED" w:val="final"/>
    <w:docVar w:name="LW_REF.INST.NEW_TEXT" w:val="(2015) 212"/>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5/104 \u1087?\u1086? \u1086?\u1090?\u1085?\u1086?\u1096?\u1077?\u1085?\u1080?\u1077? \u1085?\u1072? \u1085?\u1103?\u1082?\u1086?\u1080? \u1074?\u1098?\u1079?\u1084?\u1086?\u1078?\u1085?\u1086?\u1089?\u1090?\u1080? \u1079?\u1072? \u1088?\u1080?\u1073?\u1086?\u1083?\u1086?\u1074?"/>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D6E8-BAFD-4A75-B171-A961FD97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1399</Words>
  <Characters>7446</Characters>
  <Application>Microsoft Office Word</Application>
  <DocSecurity>0</DocSecurity>
  <Lines>165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2015-04-27T08:45:00Z</cp:lastPrinted>
  <dcterms:created xsi:type="dcterms:W3CDTF">2015-05-11T09:40:00Z</dcterms:created>
  <dcterms:modified xsi:type="dcterms:W3CDTF">2015-05-18T14:08:00Z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02)</vt:lpwstr>
  </property>
</Properties>
</file>