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41956508DE745FBAB3A97A3D59E3B79" style="width:450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240" w:line="240" w:lineRule="auto"/>
        <w:jc w:val="center"/>
        <w:rPr>
          <w:rFonts w:ascii="Times New Roman" w:eastAsia="Times New Roman" w:hAnsi="Times New Roman" w:cs="Times New Roman"/>
          <w:b/>
          <w:noProof/>
          <w:sz w:val="24"/>
          <w:szCs w:val="20"/>
        </w:rPr>
      </w:pPr>
      <w:bookmarkStart w:id="1" w:name="_GoBack"/>
      <w:bookmarkEnd w:id="1"/>
      <w:r>
        <w:rPr>
          <w:rFonts w:ascii="Times New Roman" w:eastAsia="Times New Roman" w:hAnsi="Times New Roman" w:cs="Times New Roman"/>
          <w:b/>
          <w:noProof/>
          <w:sz w:val="24"/>
          <w:szCs w:val="20"/>
        </w:rPr>
        <w:lastRenderedPageBreak/>
        <w:t>Report on the application of Council Directive 2004/113/EC implementing the principle of equal treatment between men and women in the access to and supply of goods and services</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0"/>
        </w:rPr>
      </w:pPr>
      <w:bookmarkStart w:id="2" w:name="_Toc397956015"/>
      <w:r>
        <w:rPr>
          <w:rFonts w:ascii="Times New Roman" w:eastAsia="Times New Roman" w:hAnsi="Times New Roman" w:cs="Times New Roman"/>
          <w:b/>
          <w:smallCaps/>
          <w:noProof/>
          <w:sz w:val="24"/>
          <w:szCs w:val="20"/>
        </w:rPr>
        <w:t>Introduction</w:t>
      </w:r>
      <w:bookmarkEnd w:id="2"/>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Equality between men and women is a fundamental principle of the European Union. Both the EU Treaties and the Charter of Fundamental rights of the European Union prohibit any discrimination on grounds of sex and require equality between men and women to be ensured in all areas.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Directive 2004/113/EC</w:t>
      </w:r>
      <w:r>
        <w:rPr>
          <w:rFonts w:ascii="Times New Roman" w:eastAsia="Times New Roman" w:hAnsi="Times New Roman" w:cs="Times New Roman"/>
          <w:noProof/>
          <w:sz w:val="20"/>
          <w:szCs w:val="20"/>
          <w:vertAlign w:val="superscript"/>
        </w:rPr>
        <w:footnoteReference w:id="1"/>
      </w:r>
      <w:r>
        <w:rPr>
          <w:rFonts w:ascii="Times New Roman" w:eastAsia="Times New Roman" w:hAnsi="Times New Roman" w:cs="Times New Roman"/>
          <w:noProof/>
          <w:sz w:val="24"/>
          <w:szCs w:val="20"/>
        </w:rPr>
        <w:t xml:space="preserve"> (‘the Directive’) extends the protection against sex discrimination beyond the traditional realm of the labour market to the areas of access to and supply of goods and services. This implements the obligation of equal treatment in most economic day-to-day transactions affecting the lives of citizens in the EU.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In its first report on the application of the Directive, the Commission aims to provide a state of play of the implementation on the ground.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Court of Justice of the European Union (CJEU) annulled Article 5(2) of the Directive in its 2011 Test Achats ruling</w:t>
      </w:r>
      <w:r>
        <w:rPr>
          <w:rFonts w:ascii="Times New Roman" w:eastAsia="Times New Roman" w:hAnsi="Times New Roman" w:cs="Times New Roman"/>
          <w:noProof/>
          <w:sz w:val="20"/>
          <w:szCs w:val="20"/>
          <w:vertAlign w:val="superscript"/>
        </w:rPr>
        <w:footnoteReference w:id="2"/>
      </w:r>
      <w:r>
        <w:rPr>
          <w:rFonts w:ascii="Times New Roman" w:eastAsia="Times New Roman" w:hAnsi="Times New Roman" w:cs="Times New Roman"/>
          <w:noProof/>
          <w:sz w:val="24"/>
          <w:szCs w:val="20"/>
        </w:rPr>
        <w:t>. The provision had permitted the use of sex-based actuarial factors in insurance contracts. The ruling obliged Member States to make unisex premiums and benefits mandatory by 21 December 2012. The Commission adopted guidelines concerning the consequences of the ruling in 2011</w:t>
      </w:r>
      <w:r>
        <w:rPr>
          <w:rFonts w:ascii="Times New Roman" w:eastAsia="Times New Roman" w:hAnsi="Times New Roman" w:cs="Times New Roman"/>
          <w:noProof/>
          <w:sz w:val="20"/>
          <w:szCs w:val="20"/>
          <w:vertAlign w:val="superscript"/>
        </w:rPr>
        <w:footnoteReference w:id="3"/>
      </w:r>
      <w:r>
        <w:rPr>
          <w:rFonts w:ascii="Times New Roman" w:eastAsia="Times New Roman" w:hAnsi="Times New Roman" w:cs="Times New Roman"/>
          <w:noProof/>
          <w:sz w:val="24"/>
          <w:szCs w:val="20"/>
        </w:rPr>
        <w:t>. This report follows up to the guidelines and covers the implementation of the ruling in Member States. It is, however, not limited to the area of financial services but comprehensively reviews the implementation of the Directive as a whole.</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All Member States provided the Commission with information contributing to the report. In addition, the Commission consulted national equality bodies and their European Network (Equinet), social partners, civil society organisations and the European Network of legal experts in the field of gender.</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0"/>
        </w:rPr>
      </w:pPr>
      <w:bookmarkStart w:id="3" w:name="_Toc397956016"/>
      <w:r>
        <w:rPr>
          <w:rFonts w:ascii="Times New Roman" w:eastAsia="Times New Roman" w:hAnsi="Times New Roman" w:cs="Times New Roman"/>
          <w:b/>
          <w:smallCaps/>
          <w:noProof/>
          <w:sz w:val="24"/>
          <w:szCs w:val="20"/>
        </w:rPr>
        <w:t>State of play of transposition and infringement procedures</w:t>
      </w:r>
      <w:bookmarkEnd w:id="3"/>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Directive 2004/113/EC has been transposed into national law in all 28 Member States.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Commission has checked the conformity of the national implementing laws with the Directive. The review of the national legislation and experiences with its application on the ground shows that there are still challenges relating to the implementation of the Directive concerning in particular the derogation provided in Article 4(5) which permits the provision of goods and services exclusively or primarily to members of one sex under certain conditions.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As a result of these assessments, questions were raised with 17 Member States. The information provided revealed that the transposition was sufficiently clear and compliant </w:t>
      </w:r>
      <w:r>
        <w:rPr>
          <w:rFonts w:ascii="Times New Roman" w:eastAsia="Times New Roman" w:hAnsi="Times New Roman" w:cs="Times New Roman"/>
          <w:noProof/>
          <w:sz w:val="24"/>
          <w:szCs w:val="20"/>
        </w:rPr>
        <w:lastRenderedPageBreak/>
        <w:t>or was amended in compliance with the Directive in 11 of those Member States. With 6 Member States, the intensive dialogue on sufficient implementation of the Directive continues</w:t>
      </w:r>
      <w:r>
        <w:rPr>
          <w:rFonts w:ascii="Times New Roman" w:eastAsia="Times New Roman" w:hAnsi="Times New Roman" w:cs="Times New Roman"/>
          <w:noProof/>
          <w:sz w:val="20"/>
          <w:szCs w:val="20"/>
          <w:vertAlign w:val="superscript"/>
        </w:rPr>
        <w:footnoteReference w:id="4"/>
      </w:r>
      <w:r>
        <w:rPr>
          <w:rFonts w:ascii="Times New Roman" w:eastAsia="Times New Roman" w:hAnsi="Times New Roman" w:cs="Times New Roman"/>
          <w:noProof/>
          <w:sz w:val="24"/>
          <w:szCs w:val="20"/>
        </w:rPr>
        <w:t xml:space="preserve">. The concerns are mainly about a restricted scope of application of the national legislation, for example through an overly restrictive understanding of the notion of goods and services that are available to the public and offered outside the area of private and family life or  through protection covering only consumers as recipients of services. Another recurrent issue is an overly broad scope of the possibility to justify unequal treatment on the basis of Article 4(5) of the Directive, which may lead to unjustified unequal treatment in the pricing of the same service (for example entry prices to discotheques or sports events or car rental fees). Some questions are related to insufficient protection on grounds of maternity and pregnancy in the provision of services or an insufficient scope of the right to compensation, for example due to the lack of an entitlement to compensation for immaterial damages.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Commission has received a number of complaints by citizens, the majority of which concern individual cases of alleged discriminations in transactions between private parties without any involvement of Member States. These cases are not about incorrect transposition or application of the Directive by a Member State. Remedies are only available under national law and through national courts in those situations. There are no infringement proceedings pending following a complaint revealing incorrect transposition or implementation of the Directive by Member States.</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0"/>
        </w:rPr>
      </w:pPr>
      <w:bookmarkStart w:id="4" w:name="_Toc397525456"/>
      <w:bookmarkStart w:id="5" w:name="_Toc397525509"/>
      <w:bookmarkStart w:id="6" w:name="_Toc397525562"/>
      <w:bookmarkStart w:id="7" w:name="_Toc397525713"/>
      <w:bookmarkStart w:id="8" w:name="_Toc397525788"/>
      <w:bookmarkStart w:id="9" w:name="_Toc397525844"/>
      <w:bookmarkStart w:id="10" w:name="_Toc397525457"/>
      <w:bookmarkStart w:id="11" w:name="_Toc397525510"/>
      <w:bookmarkStart w:id="12" w:name="_Toc397525563"/>
      <w:bookmarkStart w:id="13" w:name="_Toc397525714"/>
      <w:bookmarkStart w:id="14" w:name="_Toc397525789"/>
      <w:bookmarkStart w:id="15" w:name="_Toc397525845"/>
      <w:bookmarkStart w:id="16" w:name="_Toc397525458"/>
      <w:bookmarkStart w:id="17" w:name="_Toc397525511"/>
      <w:bookmarkStart w:id="18" w:name="_Toc397525564"/>
      <w:bookmarkStart w:id="19" w:name="_Toc397525715"/>
      <w:bookmarkStart w:id="20" w:name="_Toc397525790"/>
      <w:bookmarkStart w:id="21" w:name="_Toc397525846"/>
      <w:bookmarkStart w:id="22" w:name="_Toc397525460"/>
      <w:bookmarkStart w:id="23" w:name="_Toc397525513"/>
      <w:bookmarkStart w:id="24" w:name="_Toc397525566"/>
      <w:bookmarkStart w:id="25" w:name="_Toc397525717"/>
      <w:bookmarkStart w:id="26" w:name="_Toc397525792"/>
      <w:bookmarkStart w:id="27" w:name="_Toc397525848"/>
      <w:bookmarkStart w:id="28" w:name="_Toc397525461"/>
      <w:bookmarkStart w:id="29" w:name="_Toc397525514"/>
      <w:bookmarkStart w:id="30" w:name="_Toc397525567"/>
      <w:bookmarkStart w:id="31" w:name="_Toc397525718"/>
      <w:bookmarkStart w:id="32" w:name="_Toc397525793"/>
      <w:bookmarkStart w:id="33" w:name="_Toc397525849"/>
      <w:bookmarkStart w:id="34" w:name="_Toc397525463"/>
      <w:bookmarkStart w:id="35" w:name="_Toc397525516"/>
      <w:bookmarkStart w:id="36" w:name="_Toc397525569"/>
      <w:bookmarkStart w:id="37" w:name="_Toc397525720"/>
      <w:bookmarkStart w:id="38" w:name="_Toc397525795"/>
      <w:bookmarkStart w:id="39" w:name="_Toc397525851"/>
      <w:bookmarkStart w:id="40" w:name="_Toc39795601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ascii="Times New Roman" w:eastAsia="Times New Roman" w:hAnsi="Times New Roman" w:cs="Times New Roman"/>
          <w:b/>
          <w:smallCaps/>
          <w:noProof/>
          <w:sz w:val="24"/>
          <w:szCs w:val="20"/>
        </w:rPr>
        <w:t>Scope of application of the Directive</w:t>
      </w:r>
      <w:bookmarkEnd w:id="40"/>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As provided in its Article 3, the Directive is applicable to all persons who provide goods and services, which are available to the public and which are offered outside the area of private and family life. It covers both public and private sectors, including public bodies.</w:t>
      </w:r>
    </w:p>
    <w:p>
      <w:pPr>
        <w:keepNext/>
        <w:spacing w:after="240" w:line="240" w:lineRule="auto"/>
        <w:ind w:left="720"/>
        <w:jc w:val="both"/>
        <w:outlineLvl w:val="1"/>
        <w:rPr>
          <w:rFonts w:ascii="Times New Roman" w:eastAsia="Times New Roman" w:hAnsi="Times New Roman" w:cs="Times New Roman"/>
          <w:b/>
          <w:noProof/>
          <w:sz w:val="24"/>
          <w:szCs w:val="20"/>
        </w:rPr>
      </w:pPr>
      <w:bookmarkStart w:id="41" w:name="_Toc397956019"/>
      <w:r>
        <w:rPr>
          <w:rFonts w:ascii="Times New Roman" w:eastAsia="Times New Roman" w:hAnsi="Times New Roman" w:cs="Times New Roman"/>
          <w:b/>
          <w:noProof/>
          <w:sz w:val="24"/>
          <w:szCs w:val="20"/>
        </w:rPr>
        <w:t>3.1</w:t>
      </w:r>
      <w:r>
        <w:rPr>
          <w:rFonts w:ascii="Times New Roman" w:eastAsia="Times New Roman" w:hAnsi="Times New Roman" w:cs="Times New Roman"/>
          <w:b/>
          <w:noProof/>
          <w:sz w:val="24"/>
          <w:szCs w:val="20"/>
        </w:rPr>
        <w:tab/>
        <w:t>Notion of services</w:t>
      </w:r>
      <w:bookmarkEnd w:id="41"/>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As pointed out in recital 11 of the Directive, services are those within the meaning of Article 57 TFEU. In conformity with that provision and the relevant case-law of the CJEU, a service must constitute an economic activity, i.e. be normally provided against remuneration.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economic nature of the activity does not depend on the national legal status of the provider or the service in question. The Court has thus, for example, considered that activities performed by members of a religious or philosophic community</w:t>
      </w:r>
      <w:r>
        <w:rPr>
          <w:rFonts w:ascii="Times New Roman" w:eastAsia="Times New Roman" w:hAnsi="Times New Roman" w:cs="Times New Roman"/>
          <w:noProof/>
          <w:sz w:val="20"/>
          <w:szCs w:val="20"/>
          <w:vertAlign w:val="superscript"/>
        </w:rPr>
        <w:footnoteReference w:id="5"/>
      </w:r>
      <w:r>
        <w:rPr>
          <w:rFonts w:ascii="Times New Roman" w:eastAsia="Times New Roman" w:hAnsi="Times New Roman" w:cs="Times New Roman"/>
          <w:noProof/>
          <w:sz w:val="24"/>
          <w:szCs w:val="20"/>
        </w:rPr>
        <w:t xml:space="preserve"> could constitute an economic activity as could activities carried out by an amateur sport association</w:t>
      </w:r>
      <w:r>
        <w:rPr>
          <w:rFonts w:ascii="Times New Roman" w:eastAsia="Times New Roman" w:hAnsi="Times New Roman" w:cs="Times New Roman"/>
          <w:noProof/>
          <w:sz w:val="20"/>
          <w:szCs w:val="20"/>
          <w:vertAlign w:val="superscript"/>
        </w:rPr>
        <w:footnoteReference w:id="6"/>
      </w:r>
      <w:r>
        <w:rPr>
          <w:rFonts w:ascii="Times New Roman" w:eastAsia="Times New Roman" w:hAnsi="Times New Roman" w:cs="Times New Roman"/>
          <w:noProof/>
          <w:sz w:val="24"/>
          <w:szCs w:val="20"/>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It is well established by the case-law, in particular, in the field of health services that the service must not necessarily be paid by those for whom it is performed</w:t>
      </w:r>
      <w:r>
        <w:rPr>
          <w:rFonts w:ascii="Times New Roman" w:eastAsia="Times New Roman" w:hAnsi="Times New Roman" w:cs="Times New Roman"/>
          <w:noProof/>
          <w:sz w:val="20"/>
          <w:szCs w:val="20"/>
          <w:vertAlign w:val="superscript"/>
        </w:rPr>
        <w:footnoteReference w:id="7"/>
      </w:r>
      <w:r>
        <w:rPr>
          <w:rFonts w:ascii="Times New Roman" w:eastAsia="Times New Roman" w:hAnsi="Times New Roman" w:cs="Times New Roman"/>
          <w:noProof/>
          <w:sz w:val="24"/>
          <w:szCs w:val="20"/>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Therefore the Directive is applicable to all goods and services provided against remuneration (including notably health services</w:t>
      </w:r>
      <w:r>
        <w:rPr>
          <w:rFonts w:ascii="Times New Roman" w:eastAsia="Times New Roman" w:hAnsi="Times New Roman" w:cs="Times New Roman"/>
          <w:noProof/>
          <w:sz w:val="20"/>
          <w:szCs w:val="20"/>
          <w:vertAlign w:val="superscript"/>
        </w:rPr>
        <w:footnoteReference w:id="8"/>
      </w:r>
      <w:r>
        <w:rPr>
          <w:rFonts w:ascii="Times New Roman" w:eastAsia="Times New Roman" w:hAnsi="Times New Roman" w:cs="Times New Roman"/>
          <w:noProof/>
          <w:sz w:val="24"/>
          <w:szCs w:val="20"/>
        </w:rPr>
        <w:t xml:space="preserve">), except those explicitly excluded from </w:t>
      </w:r>
      <w:r>
        <w:rPr>
          <w:rFonts w:ascii="Times New Roman" w:eastAsia="Times New Roman" w:hAnsi="Times New Roman" w:cs="Times New Roman"/>
          <w:noProof/>
          <w:sz w:val="24"/>
          <w:szCs w:val="20"/>
        </w:rPr>
        <w:lastRenderedPageBreak/>
        <w:t>its scope, i.e. education services and the content of media and advertising. In addition, the public sector actions that entail exercise of public authority (e.g. by the police) without any element of provision of a ‘service’, fall outside the scope of the Directive.</w:t>
      </w:r>
    </w:p>
    <w:p>
      <w:pPr>
        <w:keepNext/>
        <w:spacing w:after="240" w:line="240" w:lineRule="auto"/>
        <w:ind w:left="720"/>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3.2</w:t>
      </w:r>
      <w:r>
        <w:rPr>
          <w:rFonts w:ascii="Times New Roman" w:eastAsia="Times New Roman" w:hAnsi="Times New Roman" w:cs="Times New Roman"/>
          <w:b/>
          <w:noProof/>
          <w:sz w:val="24"/>
          <w:szCs w:val="20"/>
        </w:rPr>
        <w:tab/>
        <w:t xml:space="preserve">Notion of goods and services available to the public and offered </w:t>
      </w:r>
      <w:r>
        <w:rPr>
          <w:rFonts w:ascii="Times New Roman" w:eastAsia="Times New Roman" w:hAnsi="Times New Roman" w:cs="Times New Roman"/>
          <w:b/>
          <w:noProof/>
          <w:sz w:val="24"/>
          <w:szCs w:val="20"/>
        </w:rPr>
        <w:tab/>
        <w:t>outside the area of private and family life</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Directive provides for equal treatment between women and men in the access to goods and services, while specifying that it concerns goods and services which are "available to the public" and "offered outside the area of private and family life" (Article 3(1)). </w:t>
      </w:r>
      <w:r>
        <w:rPr>
          <w:rFonts w:ascii="Calibri" w:eastAsia="Calibri" w:hAnsi="Calibri" w:cs="Times New Roman"/>
          <w:noProof/>
        </w:rPr>
        <w:t xml:space="preserve"> </w:t>
      </w:r>
      <w:r>
        <w:rPr>
          <w:rFonts w:ascii="Times New Roman" w:eastAsia="Times New Roman" w:hAnsi="Times New Roman" w:cs="Times New Roman"/>
          <w:noProof/>
          <w:sz w:val="24"/>
          <w:szCs w:val="20"/>
        </w:rPr>
        <w:t xml:space="preserve">Questions concerning the exact scope of the Directive might be raised and could notably play a role in Court rulings.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notion of services "available to the public" and "offered outside the area of private and family life" would, </w:t>
      </w:r>
      <w:r>
        <w:rPr>
          <w:rFonts w:ascii="Times New Roman" w:eastAsia="Times New Roman" w:hAnsi="Times New Roman" w:cs="Times New Roman"/>
          <w:i/>
          <w:noProof/>
          <w:sz w:val="24"/>
          <w:szCs w:val="20"/>
        </w:rPr>
        <w:t>a contrario</w:t>
      </w:r>
      <w:r>
        <w:rPr>
          <w:rFonts w:ascii="Times New Roman" w:eastAsia="Times New Roman" w:hAnsi="Times New Roman" w:cs="Times New Roman"/>
          <w:noProof/>
          <w:sz w:val="24"/>
          <w:szCs w:val="20"/>
        </w:rPr>
        <w:t>, exclude from the scope of the Directive activities within relationships that fall exclusively within the sphere of private and family life and are not available to the public. This is the case where the offer of good or service is not made in the public space (e.g. by an advertisement in a newspaper or on a publicly accessible website) but the good or service is offered to a limited circle of persons (family members, friends, colleagues or other acquaintances). In addition, this exclusion covers situations where the proximity to the personal sphere of the person offering goods or services influences the choice of the contractual partner more than ordinary economic considerations</w:t>
      </w:r>
      <w:r>
        <w:rPr>
          <w:rFonts w:ascii="Times New Roman" w:eastAsia="Times New Roman" w:hAnsi="Times New Roman" w:cs="Times New Roman"/>
          <w:noProof/>
          <w:sz w:val="20"/>
          <w:szCs w:val="20"/>
          <w:vertAlign w:val="superscript"/>
        </w:rPr>
        <w:footnoteReference w:id="9"/>
      </w:r>
      <w:r>
        <w:rPr>
          <w:rFonts w:ascii="Times New Roman" w:eastAsia="Times New Roman" w:hAnsi="Times New Roman" w:cs="Times New Roman"/>
          <w:noProof/>
          <w:sz w:val="24"/>
          <w:szCs w:val="20"/>
        </w:rPr>
        <w:t xml:space="preserve">.  </w:t>
      </w:r>
    </w:p>
    <w:p>
      <w:pPr>
        <w:spacing w:after="240" w:line="240" w:lineRule="auto"/>
        <w:jc w:val="both"/>
        <w:rPr>
          <w:rFonts w:ascii="Times New Roman" w:eastAsia="Times New Roman" w:hAnsi="Times New Roman" w:cs="Times New Roman"/>
          <w:b/>
          <w:noProof/>
          <w:sz w:val="24"/>
          <w:szCs w:val="20"/>
        </w:rPr>
      </w:pPr>
      <w:bookmarkStart w:id="42" w:name="_Toc397956020"/>
      <w:r>
        <w:rPr>
          <w:rFonts w:ascii="Times New Roman" w:eastAsia="Times New Roman" w:hAnsi="Times New Roman" w:cs="Times New Roman"/>
          <w:b/>
          <w:noProof/>
          <w:sz w:val="24"/>
          <w:szCs w:val="20"/>
        </w:rPr>
        <w:t>3.3</w:t>
      </w:r>
      <w:r>
        <w:rPr>
          <w:rFonts w:ascii="Times New Roman" w:eastAsia="Times New Roman" w:hAnsi="Times New Roman" w:cs="Times New Roman"/>
          <w:b/>
          <w:noProof/>
          <w:sz w:val="24"/>
          <w:szCs w:val="20"/>
        </w:rPr>
        <w:tab/>
        <w:t>Notion of sex discrimination – gender reassignment</w:t>
      </w:r>
      <w:bookmarkEnd w:id="42"/>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 conformity with the case law of the CJEU, the scope of the principle of equal treatment for men and women and the prohibition of sex discrimination also applies to discrimination arising from the gender reassignment of a person</w:t>
      </w:r>
      <w:r>
        <w:rPr>
          <w:rFonts w:ascii="Times New Roman" w:eastAsia="Times New Roman" w:hAnsi="Times New Roman" w:cs="Times New Roman"/>
          <w:noProof/>
          <w:sz w:val="20"/>
          <w:szCs w:val="20"/>
          <w:vertAlign w:val="superscript"/>
        </w:rPr>
        <w:footnoteReference w:id="10"/>
      </w:r>
      <w:r>
        <w:rPr>
          <w:rFonts w:ascii="Times New Roman" w:eastAsia="Times New Roman" w:hAnsi="Times New Roman" w:cs="Times New Roman"/>
          <w:noProof/>
          <w:sz w:val="24"/>
          <w:szCs w:val="20"/>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Only 5 Member States</w:t>
      </w:r>
      <w:r>
        <w:rPr>
          <w:rFonts w:ascii="Times New Roman" w:eastAsia="Times New Roman" w:hAnsi="Times New Roman" w:cs="Times New Roman"/>
          <w:noProof/>
          <w:sz w:val="20"/>
          <w:szCs w:val="20"/>
          <w:vertAlign w:val="superscript"/>
        </w:rPr>
        <w:footnoteReference w:id="11"/>
      </w:r>
      <w:r>
        <w:rPr>
          <w:rFonts w:ascii="Times New Roman" w:eastAsia="Times New Roman" w:hAnsi="Times New Roman" w:cs="Times New Roman"/>
          <w:noProof/>
          <w:sz w:val="24"/>
          <w:szCs w:val="20"/>
        </w:rPr>
        <w:t xml:space="preserve"> have explicitly included gender reassignment as a specific ground of discrimination in their legislation. The other Member States have not expressly covered gender reassignment but claim that the protection against discrimination in this area derives from the prohibition of sex discrimination in line with the CJEU case law. For example, in Cyprus, the Courts have already clarified that discrimination on the basis of gender reassignment falls under the notion of sex discrimination. In Ireland this has been clarified for discrimination in the employment area.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So far the CJEU has only ruled on gender reassignment. There is no case law concerning gender identity</w:t>
      </w:r>
      <w:r>
        <w:rPr>
          <w:rFonts w:ascii="Times New Roman" w:eastAsia="Times New Roman" w:hAnsi="Times New Roman" w:cs="Times New Roman"/>
          <w:noProof/>
          <w:sz w:val="20"/>
          <w:szCs w:val="20"/>
          <w:vertAlign w:val="superscript"/>
        </w:rPr>
        <w:footnoteReference w:id="12"/>
      </w:r>
      <w:r>
        <w:rPr>
          <w:rFonts w:ascii="Times New Roman" w:eastAsia="Times New Roman" w:hAnsi="Times New Roman" w:cs="Times New Roman"/>
          <w:noProof/>
          <w:sz w:val="24"/>
          <w:szCs w:val="20"/>
        </w:rPr>
        <w:t xml:space="preserve"> more generally speaking as covered by the protection against sex discrimination but the Commission considers that the approach should be materially similar. </w:t>
      </w:r>
    </w:p>
    <w:p>
      <w:pPr>
        <w:keepNext/>
        <w:spacing w:after="240" w:line="240" w:lineRule="auto"/>
        <w:ind w:left="720"/>
        <w:jc w:val="both"/>
        <w:outlineLvl w:val="1"/>
        <w:rPr>
          <w:rFonts w:ascii="Times New Roman" w:eastAsia="Times New Roman" w:hAnsi="Times New Roman" w:cs="Times New Roman"/>
          <w:b/>
          <w:noProof/>
          <w:sz w:val="24"/>
          <w:szCs w:val="20"/>
        </w:rPr>
      </w:pPr>
      <w:bookmarkStart w:id="43" w:name="_Toc397530938"/>
      <w:r>
        <w:rPr>
          <w:rFonts w:ascii="Times New Roman" w:eastAsia="Times New Roman" w:hAnsi="Times New Roman" w:cs="Times New Roman"/>
          <w:b/>
          <w:noProof/>
          <w:sz w:val="24"/>
          <w:szCs w:val="20"/>
        </w:rPr>
        <w:t>3.4</w:t>
      </w:r>
      <w:r>
        <w:rPr>
          <w:rFonts w:ascii="Times New Roman" w:eastAsia="Times New Roman" w:hAnsi="Times New Roman" w:cs="Times New Roman"/>
          <w:b/>
          <w:noProof/>
          <w:sz w:val="24"/>
          <w:szCs w:val="20"/>
        </w:rPr>
        <w:tab/>
        <w:t>Definition of harassment</w:t>
      </w:r>
      <w:bookmarkEnd w:id="43"/>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Article 4(3) of the Directive clarifies that harassment and sexual harassment as defined in Article 2 (c) and (d) constitute prohibited discrimination. </w:t>
      </w:r>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noProof/>
          <w:sz w:val="24"/>
          <w:szCs w:val="20"/>
        </w:rPr>
        <w:t>No specific difficulty in implementing the prohibition of harassment based on gender in the area of equal access to goods and services has been mentioned. However, questions have arisen in some Member States</w:t>
      </w:r>
      <w:r>
        <w:rPr>
          <w:rFonts w:ascii="Times New Roman" w:eastAsia="Times New Roman" w:hAnsi="Times New Roman" w:cs="Times New Roman"/>
          <w:noProof/>
          <w:sz w:val="20"/>
          <w:szCs w:val="20"/>
          <w:vertAlign w:val="superscript"/>
        </w:rPr>
        <w:footnoteReference w:id="13"/>
      </w:r>
      <w:r>
        <w:rPr>
          <w:rFonts w:ascii="Times New Roman" w:eastAsia="Times New Roman" w:hAnsi="Times New Roman" w:cs="Times New Roman"/>
          <w:noProof/>
          <w:sz w:val="24"/>
          <w:szCs w:val="20"/>
        </w:rPr>
        <w:t xml:space="preserve"> concerning the implementation on the ground in situations involving a third party harasser who is not the provider of goods or services and the issue of liability in such a situation. The question of the liability of a service provider for third party harassment could be relevant in particular where the core service is providing a platform for communication between clients in the use of which the harassment occurs, for example on the internet.</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Few complaints</w:t>
      </w:r>
      <w:r>
        <w:rPr>
          <w:rFonts w:ascii="Times New Roman" w:eastAsia="Times New Roman" w:hAnsi="Times New Roman" w:cs="Times New Roman"/>
          <w:noProof/>
          <w:sz w:val="20"/>
          <w:szCs w:val="20"/>
          <w:vertAlign w:val="superscript"/>
        </w:rPr>
        <w:footnoteReference w:id="14"/>
      </w:r>
      <w:r>
        <w:rPr>
          <w:rFonts w:ascii="Times New Roman" w:eastAsia="Times New Roman" w:hAnsi="Times New Roman" w:cs="Times New Roman"/>
          <w:noProof/>
          <w:sz w:val="24"/>
          <w:szCs w:val="20"/>
        </w:rPr>
        <w:t xml:space="preserve"> have been reported concerning harassment and sexual harassment in the area of equal access to goods and services. There is a scarcity of information because in some Member states no data is collected on this issue</w:t>
      </w:r>
      <w:r>
        <w:rPr>
          <w:rFonts w:ascii="Times New Roman" w:eastAsia="Times New Roman" w:hAnsi="Times New Roman" w:cs="Times New Roman"/>
          <w:noProof/>
          <w:sz w:val="20"/>
          <w:szCs w:val="20"/>
          <w:vertAlign w:val="superscript"/>
        </w:rPr>
        <w:footnoteReference w:id="15"/>
      </w:r>
      <w:r>
        <w:rPr>
          <w:rFonts w:ascii="Times New Roman" w:eastAsia="Times New Roman" w:hAnsi="Times New Roman" w:cs="Times New Roman"/>
          <w:noProof/>
          <w:sz w:val="24"/>
          <w:szCs w:val="20"/>
        </w:rPr>
        <w:t xml:space="preserve"> and in others no differentiation is made concerning the ground of discrimination</w:t>
      </w:r>
      <w:r>
        <w:rPr>
          <w:rFonts w:ascii="Times New Roman" w:eastAsia="Times New Roman" w:hAnsi="Times New Roman" w:cs="Times New Roman"/>
          <w:noProof/>
          <w:sz w:val="20"/>
          <w:szCs w:val="20"/>
          <w:vertAlign w:val="superscript"/>
        </w:rPr>
        <w:footnoteReference w:id="16"/>
      </w:r>
      <w:r>
        <w:rPr>
          <w:rFonts w:ascii="Times New Roman" w:eastAsia="Times New Roman" w:hAnsi="Times New Roman" w:cs="Times New Roman"/>
          <w:noProof/>
          <w:sz w:val="24"/>
          <w:szCs w:val="20"/>
        </w:rPr>
        <w:t>.</w:t>
      </w:r>
    </w:p>
    <w:p>
      <w:pPr>
        <w:keepNext/>
        <w:spacing w:after="240" w:line="240" w:lineRule="auto"/>
        <w:ind w:left="720"/>
        <w:jc w:val="both"/>
        <w:outlineLvl w:val="1"/>
        <w:rPr>
          <w:rFonts w:ascii="Times New Roman" w:eastAsia="Times New Roman" w:hAnsi="Times New Roman" w:cs="Times New Roman"/>
          <w:b/>
          <w:noProof/>
          <w:sz w:val="24"/>
          <w:szCs w:val="20"/>
        </w:rPr>
      </w:pPr>
      <w:bookmarkStart w:id="44" w:name="_Toc397525470"/>
      <w:bookmarkStart w:id="45" w:name="_Toc397525523"/>
      <w:bookmarkStart w:id="46" w:name="_Toc397525576"/>
      <w:bookmarkStart w:id="47" w:name="_Toc397525727"/>
      <w:bookmarkStart w:id="48" w:name="_Toc397525802"/>
      <w:bookmarkStart w:id="49" w:name="_Toc397525858"/>
      <w:bookmarkStart w:id="50" w:name="_Toc397525473"/>
      <w:bookmarkStart w:id="51" w:name="_Toc397525526"/>
      <w:bookmarkStart w:id="52" w:name="_Toc397525579"/>
      <w:bookmarkStart w:id="53" w:name="_Toc397525730"/>
      <w:bookmarkStart w:id="54" w:name="_Toc397525805"/>
      <w:bookmarkStart w:id="55" w:name="_Toc397525861"/>
      <w:bookmarkStart w:id="56" w:name="_Toc397956023"/>
      <w:bookmarkEnd w:id="44"/>
      <w:bookmarkEnd w:id="45"/>
      <w:bookmarkEnd w:id="46"/>
      <w:bookmarkEnd w:id="47"/>
      <w:bookmarkEnd w:id="48"/>
      <w:bookmarkEnd w:id="49"/>
      <w:bookmarkEnd w:id="50"/>
      <w:bookmarkEnd w:id="51"/>
      <w:bookmarkEnd w:id="52"/>
      <w:bookmarkEnd w:id="53"/>
      <w:bookmarkEnd w:id="54"/>
      <w:bookmarkEnd w:id="55"/>
      <w:r>
        <w:rPr>
          <w:rFonts w:ascii="Times New Roman" w:eastAsia="Times New Roman" w:hAnsi="Times New Roman" w:cs="Times New Roman"/>
          <w:b/>
          <w:noProof/>
          <w:sz w:val="24"/>
          <w:szCs w:val="20"/>
        </w:rPr>
        <w:t>3.5</w:t>
      </w:r>
      <w:r>
        <w:rPr>
          <w:rFonts w:ascii="Times New Roman" w:eastAsia="Times New Roman" w:hAnsi="Times New Roman" w:cs="Times New Roman"/>
          <w:b/>
          <w:noProof/>
          <w:sz w:val="24"/>
          <w:szCs w:val="20"/>
        </w:rPr>
        <w:tab/>
        <w:t>Protection of pregnant women and mothers</w:t>
      </w:r>
      <w:bookmarkEnd w:id="56"/>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Article 4(1) (a) expressly mentions less favourable treatment for reasons of pregnancy and maternity as prohibited sex discrimination. No specific difficulty in implementing the protection of pregnant and breastfeeding women has been signalled. However, the issue of the correct transposition of this provision is subject to intensive dialogue with the Member States concerned</w:t>
      </w:r>
      <w:r>
        <w:rPr>
          <w:rFonts w:ascii="Times New Roman" w:eastAsia="Times New Roman" w:hAnsi="Times New Roman" w:cs="Times New Roman"/>
          <w:noProof/>
          <w:sz w:val="20"/>
          <w:szCs w:val="20"/>
          <w:vertAlign w:val="superscript"/>
        </w:rPr>
        <w:footnoteReference w:id="17"/>
      </w:r>
      <w:r>
        <w:rPr>
          <w:rFonts w:ascii="Times New Roman" w:eastAsia="Times New Roman" w:hAnsi="Times New Roman" w:cs="Times New Roman"/>
          <w:noProof/>
          <w:sz w:val="24"/>
          <w:szCs w:val="20"/>
        </w:rPr>
        <w:t xml:space="preserve"> which. have either provided for explicit protection in the law or implicitly derive this protection from the general prohibition of sex discrimination.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There seem to be rather widespread practical problems concerning restrictions by service providers on the possibility to breastfeed on their premises. In some Member States restaurants prohibit breastfeeding in their premises</w:t>
      </w:r>
      <w:r>
        <w:rPr>
          <w:rFonts w:ascii="Times New Roman" w:eastAsia="Times New Roman" w:hAnsi="Times New Roman" w:cs="Times New Roman"/>
          <w:noProof/>
          <w:sz w:val="20"/>
          <w:szCs w:val="20"/>
          <w:vertAlign w:val="superscript"/>
        </w:rPr>
        <w:footnoteReference w:id="18"/>
      </w:r>
      <w:r>
        <w:rPr>
          <w:rFonts w:ascii="Times New Roman" w:eastAsia="Times New Roman" w:hAnsi="Times New Roman" w:cs="Times New Roman"/>
          <w:noProof/>
          <w:sz w:val="24"/>
          <w:szCs w:val="20"/>
        </w:rPr>
        <w:t>. In other Member States problems occur because of access to services with a baby carriage</w:t>
      </w:r>
      <w:r>
        <w:rPr>
          <w:rFonts w:ascii="Times New Roman" w:eastAsia="Times New Roman" w:hAnsi="Times New Roman" w:cs="Times New Roman"/>
          <w:noProof/>
          <w:sz w:val="20"/>
          <w:szCs w:val="20"/>
          <w:vertAlign w:val="superscript"/>
        </w:rPr>
        <w:footnoteReference w:id="19"/>
      </w:r>
      <w:r>
        <w:rPr>
          <w:rFonts w:ascii="Times New Roman" w:eastAsia="Times New Roman" w:hAnsi="Times New Roman" w:cs="Times New Roman"/>
          <w:noProof/>
          <w:sz w:val="24"/>
          <w:szCs w:val="20"/>
        </w:rPr>
        <w:t>. One Member State</w:t>
      </w:r>
      <w:r>
        <w:rPr>
          <w:rFonts w:ascii="Times New Roman" w:eastAsia="Times New Roman" w:hAnsi="Times New Roman" w:cs="Times New Roman"/>
          <w:noProof/>
          <w:sz w:val="20"/>
          <w:szCs w:val="20"/>
          <w:vertAlign w:val="superscript"/>
        </w:rPr>
        <w:footnoteReference w:id="20"/>
      </w:r>
      <w:r>
        <w:rPr>
          <w:rFonts w:ascii="Times New Roman" w:eastAsia="Times New Roman" w:hAnsi="Times New Roman" w:cs="Times New Roman"/>
          <w:noProof/>
          <w:sz w:val="24"/>
          <w:szCs w:val="20"/>
        </w:rPr>
        <w:t xml:space="preserve"> has published specific guidance on the issue of breastfeeding whilst providing or using a service.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To a lesser extent, difficulties were reported for pregnant women in the areas of financial services or housing. Lithuania mentions the refusal to provide credit services because of pregnancy and the related loss of </w:t>
      </w:r>
      <w:r>
        <w:rPr>
          <w:rFonts w:ascii="Times New Roman" w:eastAsia="Times New Roman" w:hAnsi="Times New Roman" w:cs="Times New Roman"/>
          <w:noProof/>
          <w:sz w:val="24"/>
          <w:szCs w:val="20"/>
        </w:rPr>
        <w:tab/>
        <w:t>income. Austria reports on the complaint of a pregnant student whose tenancy agreement with a church-run student hostel was terminated after she became pregnant.</w:t>
      </w:r>
    </w:p>
    <w:p>
      <w:pPr>
        <w:keepNext/>
        <w:numPr>
          <w:ilvl w:val="0"/>
          <w:numId w:val="1"/>
        </w:numPr>
        <w:tabs>
          <w:tab w:val="num" w:pos="480"/>
        </w:tabs>
        <w:spacing w:before="240" w:after="240" w:line="240" w:lineRule="auto"/>
        <w:jc w:val="both"/>
        <w:outlineLvl w:val="0"/>
        <w:rPr>
          <w:rFonts w:ascii="Times New Roman" w:eastAsia="Times New Roman" w:hAnsi="Times New Roman" w:cs="Times New Roman"/>
          <w:b/>
          <w:smallCaps/>
          <w:noProof/>
          <w:sz w:val="24"/>
          <w:szCs w:val="20"/>
        </w:rPr>
      </w:pPr>
      <w:bookmarkStart w:id="57" w:name="_Toc397956024"/>
      <w:r>
        <w:rPr>
          <w:rFonts w:ascii="Times New Roman" w:eastAsia="Times New Roman" w:hAnsi="Times New Roman" w:cs="Times New Roman"/>
          <w:b/>
          <w:smallCaps/>
          <w:noProof/>
          <w:sz w:val="24"/>
          <w:szCs w:val="20"/>
        </w:rPr>
        <w:t>Access to goods and services exclusively for members of one sex or on different terms for men and women</w:t>
      </w:r>
      <w:bookmarkEnd w:id="57"/>
    </w:p>
    <w:p>
      <w:pPr>
        <w:keepNext/>
        <w:spacing w:after="240" w:line="240" w:lineRule="auto"/>
        <w:ind w:left="720"/>
        <w:jc w:val="both"/>
        <w:outlineLvl w:val="1"/>
        <w:rPr>
          <w:rFonts w:ascii="Times New Roman" w:eastAsia="Times New Roman" w:hAnsi="Times New Roman" w:cs="Times New Roman"/>
          <w:b/>
          <w:noProof/>
          <w:sz w:val="24"/>
          <w:szCs w:val="20"/>
        </w:rPr>
      </w:pPr>
      <w:bookmarkStart w:id="58" w:name="_Toc397956025"/>
      <w:r>
        <w:rPr>
          <w:rFonts w:ascii="Times New Roman" w:eastAsia="Times New Roman" w:hAnsi="Times New Roman" w:cs="Times New Roman"/>
          <w:b/>
          <w:noProof/>
          <w:sz w:val="24"/>
          <w:szCs w:val="20"/>
        </w:rPr>
        <w:t>4.1</w:t>
      </w:r>
      <w:r>
        <w:rPr>
          <w:rFonts w:ascii="Times New Roman" w:eastAsia="Times New Roman" w:hAnsi="Times New Roman" w:cs="Times New Roman"/>
          <w:b/>
          <w:noProof/>
          <w:sz w:val="24"/>
          <w:szCs w:val="20"/>
        </w:rPr>
        <w:tab/>
        <w:t>Article 4(5) and its implementation</w:t>
      </w:r>
      <w:bookmarkEnd w:id="58"/>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Article 4(5) of the Directive provides that the Directive shall not preclude differences in treatment if the provision of goods and services exclusively or primarily to members of one sex is justified by a legitimate aim and the means of achieving it are appropriate and necessary. Recital 16 of the Directive clarifies the notion of legitimate aim by providing that such aim could be the protection of victims of sex-related violence (e.g. in single-sex shelters), reasons of privacy and decency, the promotion of gender equality or of the interests of men or women (e.g. single-sex voluntary bodies), the freedom of association (single-sex private clubs) and the organisation of (single-sex) sporting activities.</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correct implementation of this derogation appears to be one of the main issues of the implementation of the Directive concerning the transposition into national law as well as its interpretation in individual cases. The information provided by a number of Member States and stakeholders</w:t>
      </w:r>
      <w:r>
        <w:rPr>
          <w:rFonts w:ascii="Times New Roman" w:eastAsia="Times New Roman" w:hAnsi="Times New Roman" w:cs="Times New Roman"/>
          <w:noProof/>
          <w:sz w:val="20"/>
          <w:szCs w:val="20"/>
          <w:vertAlign w:val="superscript"/>
          <w:lang w:val="fr-BE"/>
        </w:rPr>
        <w:footnoteReference w:id="21"/>
      </w:r>
      <w:r>
        <w:rPr>
          <w:rFonts w:ascii="Times New Roman" w:eastAsia="Times New Roman" w:hAnsi="Times New Roman" w:cs="Times New Roman"/>
          <w:noProof/>
          <w:sz w:val="24"/>
          <w:szCs w:val="20"/>
        </w:rPr>
        <w:t xml:space="preserve"> suggests some difficulties in the interpretation and implementation on the ground of Article 4(5) with the consequence of legal uncertainty as there appear to be divergent approaches concerning the interpretation of this provision</w:t>
      </w:r>
      <w:r>
        <w:rPr>
          <w:rFonts w:ascii="Times New Roman" w:eastAsia="Times New Roman" w:hAnsi="Times New Roman" w:cs="Times New Roman"/>
          <w:noProof/>
          <w:sz w:val="20"/>
          <w:szCs w:val="20"/>
          <w:vertAlign w:val="superscript"/>
        </w:rPr>
        <w:footnoteReference w:id="22"/>
      </w:r>
      <w:r>
        <w:rPr>
          <w:rFonts w:ascii="Times New Roman" w:eastAsia="Times New Roman" w:hAnsi="Times New Roman" w:cs="Times New Roman"/>
          <w:noProof/>
          <w:sz w:val="24"/>
          <w:szCs w:val="20"/>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As an exception to the principle of equal treatment, the derogation must be construed narrowly</w:t>
      </w:r>
      <w:r>
        <w:rPr>
          <w:rFonts w:ascii="Times New Roman" w:eastAsia="Times New Roman" w:hAnsi="Times New Roman" w:cs="Times New Roman"/>
          <w:noProof/>
          <w:sz w:val="20"/>
          <w:szCs w:val="20"/>
          <w:vertAlign w:val="superscript"/>
        </w:rPr>
        <w:footnoteReference w:id="23"/>
      </w:r>
      <w:r>
        <w:rPr>
          <w:rFonts w:ascii="Times New Roman" w:eastAsia="Times New Roman" w:hAnsi="Times New Roman" w:cs="Times New Roman"/>
          <w:noProof/>
          <w:sz w:val="24"/>
          <w:szCs w:val="20"/>
        </w:rPr>
        <w:t xml:space="preserve">. It would appear to cover only situations in which the goods and services are available exclusively or primarily to members of one sex without providing for a possibility to offer goods and services to the general public. In case both sexes have access to the service or goods, different conditions for men and women apply.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relative lack of case law on this provision has been mentioned as the main difficulty in practice to assess on a case by case basis the justification and proportionality of a derogation based on Article 4(5)</w:t>
      </w:r>
      <w:r>
        <w:rPr>
          <w:rFonts w:ascii="Times New Roman" w:eastAsia="Times New Roman" w:hAnsi="Times New Roman" w:cs="Times New Roman"/>
          <w:noProof/>
          <w:sz w:val="20"/>
          <w:szCs w:val="20"/>
          <w:vertAlign w:val="superscript"/>
        </w:rPr>
        <w:footnoteReference w:id="24"/>
      </w:r>
      <w:r>
        <w:rPr>
          <w:rFonts w:ascii="Times New Roman" w:eastAsia="Times New Roman" w:hAnsi="Times New Roman" w:cs="Times New Roman"/>
          <w:noProof/>
          <w:sz w:val="24"/>
          <w:szCs w:val="20"/>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Problems seem to repeatedly arise in relation to the question whether the requirements for a legitimate objective under that provision are fulfilled</w:t>
      </w:r>
      <w:r>
        <w:rPr>
          <w:rFonts w:ascii="Times New Roman" w:eastAsia="Times New Roman" w:hAnsi="Times New Roman" w:cs="Times New Roman"/>
          <w:noProof/>
          <w:sz w:val="20"/>
          <w:szCs w:val="20"/>
          <w:vertAlign w:val="superscript"/>
        </w:rPr>
        <w:footnoteReference w:id="25"/>
      </w:r>
      <w:r>
        <w:rPr>
          <w:rFonts w:ascii="Times New Roman" w:eastAsia="Times New Roman" w:hAnsi="Times New Roman" w:cs="Times New Roman"/>
          <w:noProof/>
          <w:sz w:val="24"/>
          <w:szCs w:val="20"/>
        </w:rPr>
        <w:t>. Thus, for example, with regard to women-only gyms, fitness or beauty clubs, equality bodies seem to have reached different conclusions on whether the limitation of access to members of one sex only is allowed or not</w:t>
      </w:r>
      <w:r>
        <w:rPr>
          <w:rFonts w:ascii="Times New Roman" w:eastAsia="Times New Roman" w:hAnsi="Times New Roman" w:cs="Times New Roman"/>
          <w:noProof/>
          <w:sz w:val="20"/>
          <w:szCs w:val="20"/>
          <w:vertAlign w:val="superscript"/>
        </w:rPr>
        <w:footnoteReference w:id="26"/>
      </w:r>
      <w:r>
        <w:rPr>
          <w:rFonts w:ascii="Times New Roman" w:eastAsia="Times New Roman" w:hAnsi="Times New Roman" w:cs="Times New Roman"/>
          <w:noProof/>
          <w:sz w:val="24"/>
          <w:szCs w:val="20"/>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Furthermore, often suppliers of services accused of gender-based different treatment of men and women (generally in the form of different prices) try to rely on a justification on the basis of Article 4(5) although the service is not offered exclusively to members of one sex. This applies, for example, in cases where the goal is to reach a balanced number of members of each sex. Different interpretations seem to exist as to the admissibility of such practices. </w:t>
      </w:r>
    </w:p>
    <w:p>
      <w:pPr>
        <w:keepNext/>
        <w:numPr>
          <w:ilvl w:val="2"/>
          <w:numId w:val="0"/>
        </w:numPr>
        <w:tabs>
          <w:tab w:val="num" w:pos="1920"/>
        </w:tabs>
        <w:spacing w:after="240" w:line="240" w:lineRule="auto"/>
        <w:ind w:left="1920" w:hanging="840"/>
        <w:jc w:val="both"/>
        <w:outlineLvl w:val="2"/>
        <w:rPr>
          <w:rFonts w:ascii="Times New Roman" w:eastAsia="Times New Roman" w:hAnsi="Times New Roman" w:cs="Times New Roman"/>
          <w:i/>
          <w:noProof/>
          <w:sz w:val="24"/>
          <w:szCs w:val="20"/>
        </w:rPr>
      </w:pPr>
      <w:bookmarkStart w:id="59" w:name="_Toc397956026"/>
      <w:r>
        <w:rPr>
          <w:rFonts w:ascii="Times New Roman" w:eastAsia="Times New Roman" w:hAnsi="Times New Roman" w:cs="Times New Roman"/>
          <w:i/>
          <w:noProof/>
          <w:sz w:val="24"/>
          <w:szCs w:val="20"/>
        </w:rPr>
        <w:t>4.1.1</w:t>
      </w:r>
      <w:r>
        <w:rPr>
          <w:rFonts w:ascii="Times New Roman" w:eastAsia="Times New Roman" w:hAnsi="Times New Roman" w:cs="Times New Roman"/>
          <w:i/>
          <w:noProof/>
          <w:sz w:val="24"/>
          <w:szCs w:val="20"/>
        </w:rPr>
        <w:tab/>
        <w:t>Services provided to one sex only</w:t>
      </w:r>
      <w:bookmarkEnd w:id="59"/>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Some of the cases where services were only offered to members of one sex have been brought before the national courts</w:t>
      </w:r>
      <w:r>
        <w:rPr>
          <w:rFonts w:ascii="Times New Roman" w:eastAsia="Times New Roman" w:hAnsi="Times New Roman" w:cs="Times New Roman"/>
          <w:noProof/>
          <w:sz w:val="20"/>
          <w:szCs w:val="20"/>
          <w:vertAlign w:val="superscript"/>
        </w:rPr>
        <w:footnoteReference w:id="27"/>
      </w:r>
      <w:r>
        <w:rPr>
          <w:rFonts w:ascii="Times New Roman" w:eastAsia="Times New Roman" w:hAnsi="Times New Roman" w:cs="Times New Roman"/>
          <w:noProof/>
          <w:sz w:val="24"/>
          <w:szCs w:val="20"/>
        </w:rPr>
        <w:t>. For example, in Belgium, it was held unjustified to reserve the entry to a fitness centre to women exclusively. Similarly, in Denmark a Court considered it discriminatory that a hotel reserved one furnished floor to women only.</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 some sectors, even if a service is provided to both sexes in principle, service providers tend to sometimes temporarily reserve access to members of one sex in order to attain a balanced number of members of both sexes. This is notably the case in discotheques, clubs, fitness or spa centres. Some of these cases have been the subject of court rulings. For example, in Germany several courts ruled that it was not justified to temporarily reserve the entry to a club or the access to a fitness centre membership to women on the basis that the desired representation of women has not been reached yet.</w:t>
      </w:r>
      <w:r>
        <w:rPr>
          <w:rFonts w:ascii="Calibri" w:eastAsia="Calibri" w:hAnsi="Calibri" w:cs="Times New Roman"/>
          <w:noProof/>
        </w:rPr>
        <w:t xml:space="preserve"> </w:t>
      </w:r>
      <w:r>
        <w:rPr>
          <w:rFonts w:ascii="Times New Roman" w:eastAsia="Times New Roman" w:hAnsi="Times New Roman" w:cs="Times New Roman"/>
          <w:noProof/>
          <w:sz w:val="24"/>
          <w:szCs w:val="20"/>
        </w:rPr>
        <w:t>By contrast, the Czech equality body considers that different prices intended to balance the number of users may be justified.</w:t>
      </w:r>
    </w:p>
    <w:p>
      <w:pPr>
        <w:keepNext/>
        <w:numPr>
          <w:ilvl w:val="2"/>
          <w:numId w:val="0"/>
        </w:numPr>
        <w:tabs>
          <w:tab w:val="num" w:pos="1920"/>
        </w:tabs>
        <w:spacing w:after="240" w:line="240" w:lineRule="auto"/>
        <w:ind w:left="1920" w:hanging="840"/>
        <w:jc w:val="both"/>
        <w:outlineLvl w:val="2"/>
        <w:rPr>
          <w:rFonts w:ascii="Times New Roman" w:eastAsia="Times New Roman" w:hAnsi="Times New Roman" w:cs="Times New Roman"/>
          <w:i/>
          <w:noProof/>
          <w:sz w:val="24"/>
          <w:szCs w:val="20"/>
        </w:rPr>
      </w:pPr>
      <w:bookmarkStart w:id="60" w:name="_Toc397956027"/>
      <w:r>
        <w:rPr>
          <w:rFonts w:ascii="Times New Roman" w:eastAsia="Times New Roman" w:hAnsi="Times New Roman" w:cs="Times New Roman"/>
          <w:i/>
          <w:noProof/>
          <w:sz w:val="24"/>
          <w:szCs w:val="20"/>
        </w:rPr>
        <w:t>4.1.2</w:t>
      </w:r>
      <w:r>
        <w:rPr>
          <w:rFonts w:ascii="Times New Roman" w:eastAsia="Times New Roman" w:hAnsi="Times New Roman" w:cs="Times New Roman"/>
          <w:i/>
          <w:noProof/>
          <w:sz w:val="24"/>
          <w:szCs w:val="20"/>
        </w:rPr>
        <w:tab/>
        <w:t>Differential in prices for the same service</w:t>
      </w:r>
      <w:bookmarkEnd w:id="60"/>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Among the most commonly cited examples of unequal treatment is the differential pricing for the same services provided. This practice occurred notably in the leisure sector with different entry prices for men and women to discotheques (or free access granted to women), clubs and bars</w:t>
      </w:r>
      <w:r>
        <w:rPr>
          <w:rFonts w:ascii="Times New Roman" w:eastAsia="Times New Roman" w:hAnsi="Times New Roman" w:cs="Times New Roman"/>
          <w:noProof/>
          <w:sz w:val="20"/>
          <w:szCs w:val="20"/>
          <w:vertAlign w:val="superscript"/>
        </w:rPr>
        <w:footnoteReference w:id="28"/>
      </w:r>
      <w:r>
        <w:rPr>
          <w:rFonts w:ascii="Times New Roman" w:eastAsia="Times New Roman" w:hAnsi="Times New Roman" w:cs="Times New Roman"/>
          <w:noProof/>
          <w:sz w:val="24"/>
          <w:szCs w:val="20"/>
        </w:rPr>
        <w:t>, to Internet dating websites</w:t>
      </w:r>
      <w:r>
        <w:rPr>
          <w:rFonts w:ascii="Times New Roman" w:eastAsia="Times New Roman" w:hAnsi="Times New Roman" w:cs="Times New Roman"/>
          <w:noProof/>
          <w:sz w:val="20"/>
          <w:szCs w:val="20"/>
          <w:vertAlign w:val="superscript"/>
        </w:rPr>
        <w:footnoteReference w:id="29"/>
      </w:r>
      <w:r>
        <w:rPr>
          <w:rFonts w:ascii="Times New Roman" w:eastAsia="Times New Roman" w:hAnsi="Times New Roman" w:cs="Times New Roman"/>
          <w:noProof/>
          <w:sz w:val="24"/>
          <w:szCs w:val="20"/>
        </w:rPr>
        <w:t>, to sport events and spa and sauna activities</w:t>
      </w:r>
      <w:r>
        <w:rPr>
          <w:rFonts w:ascii="Times New Roman" w:eastAsia="Times New Roman" w:hAnsi="Times New Roman" w:cs="Times New Roman"/>
          <w:noProof/>
          <w:sz w:val="20"/>
          <w:szCs w:val="20"/>
          <w:vertAlign w:val="superscript"/>
        </w:rPr>
        <w:footnoteReference w:id="30"/>
      </w:r>
      <w:r>
        <w:rPr>
          <w:rFonts w:ascii="Times New Roman" w:eastAsia="Times New Roman" w:hAnsi="Times New Roman" w:cs="Times New Roman"/>
          <w:noProof/>
          <w:sz w:val="24"/>
          <w:szCs w:val="20"/>
        </w:rPr>
        <w:t>. The gender-based differentiation in the pricing of hairdressers’ services is also a frequent practice</w:t>
      </w:r>
      <w:r>
        <w:rPr>
          <w:rFonts w:ascii="Times New Roman" w:eastAsia="Times New Roman" w:hAnsi="Times New Roman" w:cs="Times New Roman"/>
          <w:noProof/>
          <w:sz w:val="20"/>
          <w:szCs w:val="20"/>
          <w:vertAlign w:val="superscript"/>
        </w:rPr>
        <w:footnoteReference w:id="31"/>
      </w:r>
      <w:r>
        <w:rPr>
          <w:rFonts w:ascii="Times New Roman" w:eastAsia="Times New Roman" w:hAnsi="Times New Roman" w:cs="Times New Roman"/>
          <w:noProof/>
          <w:sz w:val="24"/>
          <w:szCs w:val="20"/>
        </w:rPr>
        <w:t>.</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Some of these differences in prices have been the subject of court ruling to assess the necessity and proportionality on a case by case basis. For example, in Austria, a court held that the objective of extending the football fan base and promoting women football justified cheaper entry tickets for women. In Germany, a court ruled that the free use of a dating website for women was justified by the need to encourage women to register which would constitute an advantage for the men looking for a partner on the website.</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Austrian Constitutional Court ruled that a different age limit for men and women concerning the access of senior citizens to ticket discounts in public transport linked to the different statutory retirement ages for men and women in Austria constitutes discrimination and that the exemption corresponding to Article 4(5) does not apply to services offered to both sexes.</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Another recurring issue giving rise to complaints is the commercial practice of short-term special offers for members of one sex (e.g. Ladies Days), often on occasions like the international women’s day. Targeted debates are taking place in some Member States concerning the justification of this type of promotion. For example, in Finland, the Employment and Equality Committee of the Finnish Parliament proposes</w:t>
      </w:r>
      <w:r>
        <w:rPr>
          <w:rFonts w:ascii="Times New Roman" w:eastAsia="Times New Roman" w:hAnsi="Times New Roman" w:cs="Times New Roman"/>
          <w:noProof/>
          <w:sz w:val="24"/>
          <w:szCs w:val="20"/>
        </w:rPr>
        <w:tab/>
        <w:t>to only allow promotions targeted at either of the sexes alone in connection with rare and special occasions such as mother's day or father's day and only if the monetary value of the promotion is relatively minor.</w:t>
      </w:r>
    </w:p>
    <w:p>
      <w:pPr>
        <w:keepNext/>
        <w:spacing w:after="240" w:line="240" w:lineRule="auto"/>
        <w:ind w:left="720"/>
        <w:jc w:val="both"/>
        <w:outlineLvl w:val="1"/>
        <w:rPr>
          <w:rFonts w:ascii="Times New Roman" w:eastAsia="Times New Roman" w:hAnsi="Times New Roman" w:cs="Times New Roman"/>
          <w:b/>
          <w:noProof/>
          <w:sz w:val="24"/>
          <w:szCs w:val="20"/>
        </w:rPr>
      </w:pPr>
      <w:bookmarkStart w:id="61" w:name="_Toc397956028"/>
      <w:r>
        <w:rPr>
          <w:rFonts w:ascii="Times New Roman" w:eastAsia="Times New Roman" w:hAnsi="Times New Roman" w:cs="Times New Roman"/>
          <w:b/>
          <w:noProof/>
          <w:sz w:val="24"/>
          <w:szCs w:val="20"/>
        </w:rPr>
        <w:t>4.2</w:t>
      </w:r>
      <w:r>
        <w:rPr>
          <w:rFonts w:ascii="Times New Roman" w:eastAsia="Times New Roman" w:hAnsi="Times New Roman" w:cs="Times New Roman"/>
          <w:b/>
          <w:noProof/>
          <w:sz w:val="24"/>
          <w:szCs w:val="20"/>
        </w:rPr>
        <w:tab/>
        <w:t>Article 6 – Positive action</w:t>
      </w:r>
      <w:bookmarkEnd w:id="61"/>
    </w:p>
    <w:p>
      <w:pPr>
        <w:keepNext/>
        <w:spacing w:after="240" w:line="240" w:lineRule="auto"/>
        <w:jc w:val="both"/>
        <w:outlineLvl w:val="2"/>
        <w:rPr>
          <w:rFonts w:ascii="Times New Roman" w:eastAsia="Times New Roman" w:hAnsi="Times New Roman" w:cs="Times New Roman"/>
          <w:noProof/>
          <w:sz w:val="24"/>
          <w:szCs w:val="20"/>
        </w:rPr>
      </w:pPr>
      <w:bookmarkStart w:id="62" w:name="_Toc397956029"/>
      <w:r>
        <w:rPr>
          <w:rFonts w:ascii="Times New Roman" w:eastAsia="Times New Roman" w:hAnsi="Times New Roman" w:cs="Times New Roman"/>
          <w:noProof/>
          <w:sz w:val="24"/>
          <w:szCs w:val="20"/>
        </w:rPr>
        <w:t>According to Article 6 of the Directive, the principle of equal treatment shall not prevent any Member State from maintaining or adopting specific measures to prevent or compensate for disadvantages linked to sex with a view to ensuring full equality in practice between men and women.</w:t>
      </w:r>
      <w:bookmarkEnd w:id="62"/>
      <w:r>
        <w:rPr>
          <w:rFonts w:ascii="Times New Roman" w:eastAsia="Times New Roman" w:hAnsi="Times New Roman" w:cs="Times New Roman"/>
          <w:noProof/>
          <w:sz w:val="24"/>
          <w:szCs w:val="20"/>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Only some Member States reported on the existence of specific provisions on positive action allowing providers to differentiate between men and women in order to achieve a balance between both sexes in access to goods and services. For instance in Slovakia,</w:t>
      </w:r>
      <w:r>
        <w:rPr>
          <w:rFonts w:ascii="Calibri" w:eastAsia="Calibri" w:hAnsi="Calibri" w:cs="Times New Roman"/>
          <w:noProof/>
        </w:rPr>
        <w:t xml:space="preserve"> </w:t>
      </w:r>
      <w:r>
        <w:rPr>
          <w:rFonts w:ascii="Times New Roman" w:eastAsia="Times New Roman" w:hAnsi="Times New Roman" w:cs="Times New Roman"/>
          <w:noProof/>
          <w:sz w:val="24"/>
          <w:szCs w:val="20"/>
        </w:rPr>
        <w:t xml:space="preserve">public authorities or legal entities may adopt temporary positive actions to eliminate disadvantages related to reasons of gender or sex, </w:t>
      </w:r>
      <w:r>
        <w:rPr>
          <w:rFonts w:ascii="Times New Roman" w:eastAsia="Times New Roman" w:hAnsi="Times New Roman" w:cs="Times New Roman"/>
          <w:noProof/>
          <w:sz w:val="24"/>
          <w:szCs w:val="20"/>
        </w:rPr>
        <w:tab/>
        <w:t>notably, with the aim of ensuring equal opportunities in practice</w:t>
      </w:r>
      <w:r>
        <w:rPr>
          <w:rFonts w:ascii="Times New Roman" w:eastAsia="Times New Roman" w:hAnsi="Times New Roman" w:cs="Times New Roman"/>
          <w:noProof/>
          <w:sz w:val="20"/>
          <w:szCs w:val="20"/>
          <w:vertAlign w:val="superscript"/>
        </w:rPr>
        <w:footnoteReference w:id="32"/>
      </w:r>
      <w:r>
        <w:rPr>
          <w:rFonts w:ascii="Times New Roman" w:eastAsia="Times New Roman" w:hAnsi="Times New Roman" w:cs="Times New Roman"/>
          <w:noProof/>
          <w:sz w:val="24"/>
          <w:szCs w:val="20"/>
        </w:rPr>
        <w:t xml:space="preserve">. In United Kingdom, a general positive action provision allows providers to target or tailor the delivery of goods </w:t>
      </w:r>
      <w:r>
        <w:rPr>
          <w:rFonts w:ascii="Times New Roman" w:eastAsia="Times New Roman" w:hAnsi="Times New Roman" w:cs="Times New Roman"/>
          <w:noProof/>
          <w:sz w:val="24"/>
          <w:szCs w:val="20"/>
        </w:rPr>
        <w:tab/>
        <w:t>and services at people of a particular sex if there is evidence of disproportionately low uptake or participation</w:t>
      </w:r>
      <w:r>
        <w:rPr>
          <w:rFonts w:ascii="Times New Roman" w:eastAsia="Times New Roman" w:hAnsi="Times New Roman" w:cs="Times New Roman"/>
          <w:noProof/>
          <w:sz w:val="20"/>
          <w:szCs w:val="20"/>
          <w:vertAlign w:val="superscript"/>
        </w:rPr>
        <w:footnoteReference w:id="33"/>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It must be noted that, apart from the derogation provided in Article 4(5), Article 6 of the Directive is also sometimes used by service providers to justify the different treatment of men and women in the provision of goods and services. In the event of a narrow interpretation of Article 4(5), positive action could be the only possibility to justify different conditions in access to goods and services proposed to both sexes. This option however is always subject to a case by case assessment on the necessity and proportionality of the measures taken.</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Some national courts have already ruled on the application of Article 6 to such differential treatment. For example, in Austria, a lower court held that cheaper tickets for football matches for women constituted positive action within the meaning of the Equal Treatment Act to prevent or eliminate women’s disadvantages</w:t>
      </w:r>
      <w:r>
        <w:rPr>
          <w:rFonts w:ascii="Times New Roman" w:eastAsia="Times New Roman" w:hAnsi="Times New Roman" w:cs="Times New Roman"/>
          <w:noProof/>
          <w:sz w:val="20"/>
          <w:szCs w:val="20"/>
          <w:vertAlign w:val="superscript"/>
        </w:rPr>
        <w:footnoteReference w:id="34"/>
      </w:r>
      <w:r>
        <w:rPr>
          <w:rFonts w:ascii="Times New Roman" w:eastAsia="Times New Roman" w:hAnsi="Times New Roman" w:cs="Times New Roman"/>
          <w:noProof/>
          <w:sz w:val="24"/>
          <w:szCs w:val="20"/>
        </w:rPr>
        <w:t xml:space="preserve">. The CJEU has not yet ruled on the notion of positive action outside the specific area of access to employment. However, in the </w:t>
      </w:r>
      <w:r>
        <w:rPr>
          <w:rFonts w:ascii="Times New Roman" w:eastAsia="Times New Roman" w:hAnsi="Times New Roman" w:cs="Times New Roman"/>
          <w:i/>
          <w:noProof/>
          <w:sz w:val="24"/>
          <w:szCs w:val="20"/>
        </w:rPr>
        <w:t>Griesmar</w:t>
      </w:r>
      <w:r>
        <w:rPr>
          <w:rFonts w:ascii="Times New Roman" w:eastAsia="Times New Roman" w:hAnsi="Times New Roman" w:cs="Times New Roman"/>
          <w:noProof/>
          <w:sz w:val="24"/>
          <w:szCs w:val="20"/>
        </w:rPr>
        <w:t xml:space="preserve"> judgment</w:t>
      </w:r>
      <w:r>
        <w:rPr>
          <w:rFonts w:ascii="Times New Roman" w:eastAsia="Times New Roman" w:hAnsi="Times New Roman" w:cs="Times New Roman"/>
          <w:noProof/>
          <w:sz w:val="20"/>
          <w:szCs w:val="20"/>
          <w:vertAlign w:val="superscript"/>
        </w:rPr>
        <w:footnoteReference w:id="35"/>
      </w:r>
      <w:r>
        <w:rPr>
          <w:rFonts w:ascii="Times New Roman" w:eastAsia="Times New Roman" w:hAnsi="Times New Roman" w:cs="Times New Roman"/>
          <w:noProof/>
          <w:sz w:val="24"/>
          <w:szCs w:val="20"/>
        </w:rPr>
        <w:t xml:space="preserve">, it has held that more generous rules on the calculation of occupational pensions for women cannot be qualified as positive action in relation to the disadvantages for women due to interruptions in their careers because they do not prevent or eliminate those disadvantages. In the light of that interpretation, positive action may not be easily available in similar situations where there is not a clear and direct link between preferential treatment on the one hand and the disadvantages to be prevented or eliminated on the other hand. </w:t>
      </w:r>
    </w:p>
    <w:p>
      <w:pPr>
        <w:keepNext/>
        <w:numPr>
          <w:ilvl w:val="0"/>
          <w:numId w:val="1"/>
        </w:numPr>
        <w:tabs>
          <w:tab w:val="num" w:pos="480"/>
        </w:tabs>
        <w:spacing w:before="240" w:after="240" w:line="240" w:lineRule="auto"/>
        <w:jc w:val="both"/>
        <w:outlineLvl w:val="0"/>
        <w:rPr>
          <w:rFonts w:ascii="Times New Roman" w:eastAsia="Times New Roman" w:hAnsi="Times New Roman" w:cs="Times New Roman"/>
          <w:b/>
          <w:smallCaps/>
          <w:noProof/>
          <w:sz w:val="24"/>
          <w:szCs w:val="20"/>
        </w:rPr>
      </w:pPr>
      <w:bookmarkStart w:id="63" w:name="_Toc397956030"/>
      <w:r>
        <w:rPr>
          <w:rFonts w:ascii="Times New Roman" w:eastAsia="Times New Roman" w:hAnsi="Times New Roman" w:cs="Times New Roman"/>
          <w:b/>
          <w:smallCaps/>
          <w:noProof/>
          <w:sz w:val="24"/>
          <w:szCs w:val="20"/>
        </w:rPr>
        <w:t>Implementation of the Test- achats judgment</w:t>
      </w:r>
      <w:bookmarkEnd w:id="63"/>
      <w:r>
        <w:rPr>
          <w:rFonts w:ascii="Times New Roman" w:eastAsia="Times New Roman" w:hAnsi="Times New Roman" w:cs="Times New Roman"/>
          <w:b/>
          <w:smallCaps/>
          <w:noProof/>
          <w:sz w:val="24"/>
          <w:szCs w:val="20"/>
        </w:rPr>
        <w:t xml:space="preserve"> </w:t>
      </w:r>
    </w:p>
    <w:p>
      <w:pPr>
        <w:keepNext/>
        <w:spacing w:after="240" w:line="240" w:lineRule="auto"/>
        <w:ind w:left="720"/>
        <w:jc w:val="both"/>
        <w:outlineLvl w:val="1"/>
        <w:rPr>
          <w:rFonts w:ascii="Times New Roman" w:eastAsia="Times New Roman" w:hAnsi="Times New Roman" w:cs="Times New Roman"/>
          <w:b/>
          <w:noProof/>
          <w:sz w:val="24"/>
          <w:szCs w:val="20"/>
        </w:rPr>
      </w:pPr>
      <w:bookmarkStart w:id="64" w:name="_Toc397956031"/>
      <w:r>
        <w:rPr>
          <w:rFonts w:ascii="Times New Roman" w:eastAsia="Times New Roman" w:hAnsi="Times New Roman" w:cs="Times New Roman"/>
          <w:b/>
          <w:noProof/>
          <w:sz w:val="24"/>
          <w:szCs w:val="20"/>
        </w:rPr>
        <w:t>5.1</w:t>
      </w:r>
      <w:r>
        <w:rPr>
          <w:rFonts w:ascii="Times New Roman" w:eastAsia="Times New Roman" w:hAnsi="Times New Roman" w:cs="Times New Roman"/>
          <w:b/>
          <w:noProof/>
          <w:sz w:val="24"/>
          <w:szCs w:val="20"/>
        </w:rPr>
        <w:tab/>
        <w:t>Ruling</w:t>
      </w:r>
      <w:bookmarkEnd w:id="64"/>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In its </w:t>
      </w:r>
      <w:r>
        <w:rPr>
          <w:rFonts w:ascii="Times New Roman" w:eastAsia="Times New Roman" w:hAnsi="Times New Roman" w:cs="Times New Roman"/>
          <w:i/>
          <w:noProof/>
          <w:sz w:val="24"/>
          <w:szCs w:val="20"/>
        </w:rPr>
        <w:t>Test-Achats</w:t>
      </w:r>
      <w:r>
        <w:rPr>
          <w:rFonts w:ascii="Times New Roman" w:eastAsia="Times New Roman" w:hAnsi="Times New Roman" w:cs="Times New Roman"/>
          <w:noProof/>
          <w:sz w:val="24"/>
          <w:szCs w:val="20"/>
        </w:rPr>
        <w:t xml:space="preserve"> judgment, the CJEU invalidated Article 5(2) which permitted the maintenance of sex-based differentiations in the provision of insurance services provided that it was based on relevant and accurate actuarial and statistical data. The Court considered that by enabling Member States to maintain without temporal limitation an exemption from the unisex rule laid down in Article 5(1), Article 5(2) runs counter to achievement of the objective of equal treatment between men and women in relation to the calculation of insurance premiums and benefits, which is the purpose of the Directive in the insurance field. Article 5(2) is therefore incompatible with Articles 21 and 23 of the Charter of Fundamental Rights. The Court concluded that from 21 December 2012, the unisex rule had to apply without derogation in relation to the calculation of individuals' premiums and benefits in new contracts. </w:t>
      </w:r>
    </w:p>
    <w:p>
      <w:pPr>
        <w:keepNext/>
        <w:spacing w:after="240" w:line="240" w:lineRule="auto"/>
        <w:ind w:left="720"/>
        <w:jc w:val="both"/>
        <w:outlineLvl w:val="1"/>
        <w:rPr>
          <w:rFonts w:ascii="Times New Roman" w:eastAsia="Times New Roman" w:hAnsi="Times New Roman" w:cs="Times New Roman"/>
          <w:b/>
          <w:noProof/>
          <w:sz w:val="24"/>
          <w:szCs w:val="20"/>
        </w:rPr>
      </w:pPr>
      <w:bookmarkStart w:id="65" w:name="_Toc397956032"/>
      <w:r>
        <w:rPr>
          <w:rFonts w:ascii="Times New Roman" w:eastAsia="Times New Roman" w:hAnsi="Times New Roman" w:cs="Times New Roman"/>
          <w:b/>
          <w:noProof/>
          <w:sz w:val="24"/>
          <w:szCs w:val="20"/>
        </w:rPr>
        <w:t>5.2</w:t>
      </w:r>
      <w:r>
        <w:rPr>
          <w:rFonts w:ascii="Times New Roman" w:eastAsia="Times New Roman" w:hAnsi="Times New Roman" w:cs="Times New Roman"/>
          <w:b/>
          <w:noProof/>
          <w:sz w:val="24"/>
          <w:szCs w:val="20"/>
        </w:rPr>
        <w:tab/>
        <w:t>Implementation of the ruling</w:t>
      </w:r>
      <w:bookmarkEnd w:id="65"/>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27 Member States have already implemented the ruling into their legislation</w:t>
      </w:r>
      <w:r>
        <w:rPr>
          <w:rFonts w:ascii="Times New Roman" w:eastAsia="Times New Roman" w:hAnsi="Times New Roman" w:cs="Times New Roman"/>
          <w:noProof/>
          <w:sz w:val="20"/>
          <w:szCs w:val="20"/>
          <w:vertAlign w:val="superscript"/>
        </w:rPr>
        <w:footnoteReference w:id="36"/>
      </w:r>
      <w:r>
        <w:rPr>
          <w:rFonts w:ascii="Times New Roman" w:eastAsia="Times New Roman" w:hAnsi="Times New Roman" w:cs="Times New Roman"/>
          <w:noProof/>
          <w:sz w:val="24"/>
          <w:szCs w:val="20"/>
        </w:rPr>
        <w:t>. In all cases, the national legislation has been amended</w:t>
      </w:r>
      <w:r>
        <w:rPr>
          <w:rFonts w:ascii="Times New Roman" w:eastAsia="Times New Roman" w:hAnsi="Times New Roman" w:cs="Times New Roman"/>
          <w:noProof/>
          <w:sz w:val="20"/>
          <w:szCs w:val="20"/>
          <w:vertAlign w:val="superscript"/>
        </w:rPr>
        <w:footnoteReference w:id="37"/>
      </w:r>
      <w:r>
        <w:rPr>
          <w:rFonts w:ascii="Times New Roman" w:eastAsia="Times New Roman" w:hAnsi="Times New Roman" w:cs="Times New Roman"/>
          <w:noProof/>
          <w:sz w:val="24"/>
          <w:szCs w:val="20"/>
        </w:rPr>
        <w:t xml:space="preserve"> in a legally binding manner by adapting existing legislation on insurance</w:t>
      </w:r>
      <w:r>
        <w:rPr>
          <w:rFonts w:ascii="Times New Roman" w:eastAsia="Times New Roman" w:hAnsi="Times New Roman" w:cs="Times New Roman"/>
          <w:noProof/>
          <w:sz w:val="20"/>
          <w:szCs w:val="20"/>
          <w:vertAlign w:val="superscript"/>
        </w:rPr>
        <w:footnoteReference w:id="38"/>
      </w:r>
      <w:r>
        <w:rPr>
          <w:rFonts w:ascii="Times New Roman" w:eastAsia="Times New Roman" w:hAnsi="Times New Roman" w:cs="Times New Roman"/>
          <w:noProof/>
          <w:sz w:val="24"/>
          <w:szCs w:val="20"/>
        </w:rPr>
        <w:t>, equal treatment</w:t>
      </w:r>
      <w:r>
        <w:rPr>
          <w:rFonts w:ascii="Times New Roman" w:eastAsia="Times New Roman" w:hAnsi="Times New Roman" w:cs="Times New Roman"/>
          <w:noProof/>
          <w:sz w:val="20"/>
          <w:szCs w:val="20"/>
          <w:vertAlign w:val="superscript"/>
        </w:rPr>
        <w:footnoteReference w:id="39"/>
      </w:r>
      <w:r>
        <w:rPr>
          <w:rFonts w:ascii="Times New Roman" w:eastAsia="Times New Roman" w:hAnsi="Times New Roman" w:cs="Times New Roman"/>
          <w:noProof/>
          <w:sz w:val="24"/>
          <w:szCs w:val="20"/>
        </w:rPr>
        <w:t xml:space="preserve"> or in both areas</w:t>
      </w:r>
      <w:r>
        <w:rPr>
          <w:rFonts w:ascii="Times New Roman" w:eastAsia="Times New Roman" w:hAnsi="Times New Roman" w:cs="Times New Roman"/>
          <w:noProof/>
          <w:sz w:val="20"/>
          <w:szCs w:val="20"/>
          <w:vertAlign w:val="superscript"/>
        </w:rPr>
        <w:footnoteReference w:id="40"/>
      </w:r>
      <w:r>
        <w:rPr>
          <w:rFonts w:ascii="Times New Roman" w:eastAsia="Times New Roman" w:hAnsi="Times New Roman" w:cs="Times New Roman"/>
          <w:noProof/>
          <w:sz w:val="24"/>
          <w:szCs w:val="20"/>
        </w:rPr>
        <w:t>. Some Member States provided further guidance to facilitate the changes for the insurance sector.</w:t>
      </w:r>
      <w:r>
        <w:rPr>
          <w:rFonts w:ascii="Calibri" w:eastAsia="Calibri" w:hAnsi="Calibri" w:cs="Times New Roman"/>
          <w:noProof/>
        </w:rPr>
        <w:t xml:space="preserve"> </w:t>
      </w:r>
      <w:r>
        <w:rPr>
          <w:rFonts w:ascii="Times New Roman" w:eastAsia="Times New Roman" w:hAnsi="Times New Roman" w:cs="Times New Roman"/>
          <w:noProof/>
          <w:sz w:val="24"/>
          <w:szCs w:val="20"/>
        </w:rPr>
        <w:t xml:space="preserve">For example, in Austria, the financial market authorities (FMA) sent out a circular asking insurance </w:t>
      </w:r>
      <w:r>
        <w:rPr>
          <w:rFonts w:ascii="Times New Roman" w:eastAsia="Times New Roman" w:hAnsi="Times New Roman" w:cs="Times New Roman"/>
          <w:noProof/>
          <w:sz w:val="24"/>
          <w:szCs w:val="20"/>
        </w:rPr>
        <w:tab/>
        <w:t xml:space="preserve">companies to substantiate their unisex actuarial tables. In UK, guidance was issued by the Financial </w:t>
      </w:r>
      <w:r>
        <w:rPr>
          <w:rFonts w:ascii="Times New Roman" w:eastAsia="Times New Roman" w:hAnsi="Times New Roman" w:cs="Times New Roman"/>
          <w:noProof/>
          <w:sz w:val="24"/>
          <w:szCs w:val="20"/>
        </w:rPr>
        <w:tab/>
        <w:t xml:space="preserve">Services Authority (FSA).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majority of the Member States implemented the ruling within the deadline given by the CJEU</w:t>
      </w:r>
      <w:r>
        <w:rPr>
          <w:rFonts w:ascii="Times New Roman" w:eastAsia="Times New Roman" w:hAnsi="Times New Roman" w:cs="Times New Roman"/>
          <w:noProof/>
          <w:sz w:val="20"/>
          <w:szCs w:val="20"/>
          <w:vertAlign w:val="superscript"/>
        </w:rPr>
        <w:footnoteReference w:id="41"/>
      </w:r>
      <w:r>
        <w:rPr>
          <w:rFonts w:ascii="Times New Roman" w:eastAsia="Times New Roman" w:hAnsi="Times New Roman" w:cs="Times New Roman"/>
          <w:noProof/>
          <w:sz w:val="24"/>
          <w:szCs w:val="20"/>
        </w:rPr>
        <w:t>. In a few Member States, the legislation entered into force later</w:t>
      </w:r>
      <w:r>
        <w:rPr>
          <w:rFonts w:ascii="Times New Roman" w:eastAsia="Times New Roman" w:hAnsi="Times New Roman" w:cs="Times New Roman"/>
          <w:noProof/>
          <w:sz w:val="20"/>
          <w:szCs w:val="20"/>
          <w:vertAlign w:val="superscript"/>
        </w:rPr>
        <w:footnoteReference w:id="42"/>
      </w:r>
      <w:r>
        <w:rPr>
          <w:rFonts w:ascii="Times New Roman" w:eastAsia="Times New Roman" w:hAnsi="Times New Roman" w:cs="Times New Roman"/>
          <w:noProof/>
          <w:sz w:val="24"/>
          <w:szCs w:val="20"/>
        </w:rPr>
        <w:t>. Member States seem to have received only very few complaints concerning a violation of the unisex principle by insurance companies. However, in the Netherlands, in a recent judgment, the equality body (2014-97 of August 2014) ruled that an insurer had unlawfully discriminated against a woman on grounds of her sex by granting her compensation after an accident calculated on the presumption/statistics that she would not work, as a woman, between the ages of 27 and 36 and that she would only work part-time. The same case was also judged by a Dutch Court. It came to the result that using actuarial statistics with regard to the victim's cultural background and gender does not run counter the principle of equality. The case is now pending before the Court of appeal.</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conformity of all laws notified with the </w:t>
      </w:r>
      <w:r>
        <w:rPr>
          <w:rFonts w:ascii="Times New Roman" w:eastAsia="Times New Roman" w:hAnsi="Times New Roman" w:cs="Times New Roman"/>
          <w:i/>
          <w:noProof/>
          <w:sz w:val="24"/>
          <w:szCs w:val="20"/>
        </w:rPr>
        <w:t>Test-Achats</w:t>
      </w:r>
      <w:r>
        <w:rPr>
          <w:rFonts w:ascii="Times New Roman" w:eastAsia="Times New Roman" w:hAnsi="Times New Roman" w:cs="Times New Roman"/>
          <w:noProof/>
          <w:sz w:val="24"/>
          <w:szCs w:val="20"/>
        </w:rPr>
        <w:t xml:space="preserve"> ruling has been checked by the Commission. As a result of these assessments, questions have been raised with some Member States. On the basis of the replies received, the Commission may start infringement proceedings in case of non-conformity of the national legislation with the ruling.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One Member State reported that the implementation of the ruling is ongoing but legislation not yet adopted</w:t>
      </w:r>
      <w:r>
        <w:rPr>
          <w:rFonts w:ascii="Times New Roman" w:eastAsia="Times New Roman" w:hAnsi="Times New Roman" w:cs="Times New Roman"/>
          <w:noProof/>
          <w:sz w:val="20"/>
          <w:szCs w:val="20"/>
          <w:vertAlign w:val="superscript"/>
        </w:rPr>
        <w:footnoteReference w:id="43"/>
      </w:r>
      <w:r>
        <w:rPr>
          <w:rFonts w:ascii="Times New Roman" w:eastAsia="Times New Roman" w:hAnsi="Times New Roman" w:cs="Times New Roman"/>
          <w:noProof/>
          <w:sz w:val="24"/>
          <w:szCs w:val="20"/>
        </w:rPr>
        <w:t>. The Commission is monitoring the situation in this Member State closely and will engage dialogue in case of failure to adopt the necessary implementing measures.</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case law of the CJEU is not directly applicable in the EFTA countries</w:t>
      </w:r>
      <w:r>
        <w:rPr>
          <w:rFonts w:ascii="Times New Roman" w:eastAsia="Times New Roman" w:hAnsi="Times New Roman" w:cs="Times New Roman"/>
          <w:noProof/>
          <w:sz w:val="20"/>
          <w:szCs w:val="20"/>
          <w:vertAlign w:val="superscript"/>
        </w:rPr>
        <w:footnoteReference w:id="44"/>
      </w:r>
      <w:r>
        <w:rPr>
          <w:rFonts w:ascii="Times New Roman" w:eastAsia="Times New Roman" w:hAnsi="Times New Roman" w:cs="Times New Roman"/>
          <w:noProof/>
          <w:sz w:val="24"/>
          <w:szCs w:val="20"/>
        </w:rPr>
        <w:t xml:space="preserve">. Therefore, to ensure the coherence of legislation, a procedure for the possible adaptation of Annex XVIII of the EEA Agreement to the </w:t>
      </w:r>
      <w:r>
        <w:rPr>
          <w:rFonts w:ascii="Times New Roman" w:eastAsia="Times New Roman" w:hAnsi="Times New Roman" w:cs="Times New Roman"/>
          <w:i/>
          <w:noProof/>
          <w:sz w:val="24"/>
          <w:szCs w:val="20"/>
        </w:rPr>
        <w:t>Test-Achats</w:t>
      </w:r>
      <w:r>
        <w:rPr>
          <w:rFonts w:ascii="Times New Roman" w:eastAsia="Times New Roman" w:hAnsi="Times New Roman" w:cs="Times New Roman"/>
          <w:noProof/>
          <w:sz w:val="24"/>
          <w:szCs w:val="20"/>
        </w:rPr>
        <w:t xml:space="preserve"> ruling has been initiated on 30 January 2014</w:t>
      </w:r>
      <w:r>
        <w:rPr>
          <w:rFonts w:ascii="Times New Roman" w:eastAsia="Times New Roman" w:hAnsi="Times New Roman" w:cs="Times New Roman"/>
          <w:noProof/>
          <w:sz w:val="20"/>
          <w:szCs w:val="20"/>
          <w:vertAlign w:val="superscript"/>
        </w:rPr>
        <w:footnoteReference w:id="45"/>
      </w:r>
      <w:r>
        <w:rPr>
          <w:rFonts w:ascii="Times New Roman" w:eastAsia="Times New Roman" w:hAnsi="Times New Roman" w:cs="Times New Roman"/>
          <w:noProof/>
          <w:sz w:val="24"/>
          <w:szCs w:val="20"/>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As set out in the Commission guidelines on </w:t>
      </w:r>
      <w:r>
        <w:rPr>
          <w:rFonts w:ascii="Times New Roman" w:eastAsia="Times New Roman" w:hAnsi="Times New Roman" w:cs="Times New Roman"/>
          <w:i/>
          <w:noProof/>
          <w:sz w:val="24"/>
          <w:szCs w:val="20"/>
        </w:rPr>
        <w:t>Test-Achats</w:t>
      </w:r>
      <w:r>
        <w:rPr>
          <w:rFonts w:ascii="Times New Roman" w:eastAsia="Times New Roman" w:hAnsi="Times New Roman" w:cs="Times New Roman"/>
          <w:noProof/>
          <w:sz w:val="24"/>
          <w:szCs w:val="20"/>
        </w:rPr>
        <w:t xml:space="preserve">, the ruling only concerns private insurance contracts falling within the scope of Directive 2004/113/EC. It has no direct legal implications for occupational pensions which are covered by Directive 2006/54/EC. Article 9(1) (h) of that Directive allows for the setting of different levels of benefits between men and women when justified by actuarial calculation factors.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Some Member States have nevertheless decided to apply the unisex rule also to occupational pension schemes in order to ensure gender equality in all areas</w:t>
      </w:r>
      <w:r>
        <w:rPr>
          <w:rFonts w:ascii="Times New Roman" w:eastAsia="Times New Roman" w:hAnsi="Times New Roman" w:cs="Times New Roman"/>
          <w:noProof/>
          <w:sz w:val="20"/>
          <w:szCs w:val="20"/>
          <w:vertAlign w:val="superscript"/>
        </w:rPr>
        <w:footnoteReference w:id="46"/>
      </w:r>
      <w:r>
        <w:rPr>
          <w:rFonts w:ascii="Times New Roman" w:eastAsia="Times New Roman" w:hAnsi="Times New Roman" w:cs="Times New Roman"/>
          <w:noProof/>
          <w:sz w:val="24"/>
          <w:szCs w:val="20"/>
        </w:rPr>
        <w:t xml:space="preserve">. But the vast majority of the Member States have provided for the implementation of the unisex rule only as required by the ruling for private insurance contracts. In those Member States differences based on actuarial data concerning life expectancy are still admissible in occupational pensions. </w:t>
      </w:r>
    </w:p>
    <w:p>
      <w:pPr>
        <w:spacing w:after="240" w:line="240" w:lineRule="auto"/>
        <w:jc w:val="both"/>
        <w:rPr>
          <w:rFonts w:ascii="Times New Roman" w:eastAsia="Times New Roman" w:hAnsi="Times New Roman" w:cs="Times New Roman"/>
          <w:noProof/>
          <w:sz w:val="24"/>
          <w:szCs w:val="20"/>
        </w:rPr>
      </w:pPr>
    </w:p>
    <w:p>
      <w:pPr>
        <w:keepNext/>
        <w:spacing w:after="240" w:line="240" w:lineRule="auto"/>
        <w:ind w:left="720"/>
        <w:jc w:val="both"/>
        <w:outlineLvl w:val="1"/>
        <w:rPr>
          <w:rFonts w:ascii="Times New Roman" w:eastAsia="Times New Roman" w:hAnsi="Times New Roman" w:cs="Times New Roman"/>
          <w:b/>
          <w:noProof/>
          <w:sz w:val="24"/>
          <w:szCs w:val="20"/>
        </w:rPr>
      </w:pPr>
      <w:bookmarkStart w:id="66" w:name="_Toc397956033"/>
      <w:r>
        <w:rPr>
          <w:rFonts w:ascii="Times New Roman" w:eastAsia="Times New Roman" w:hAnsi="Times New Roman" w:cs="Times New Roman"/>
          <w:b/>
          <w:noProof/>
          <w:sz w:val="24"/>
          <w:szCs w:val="20"/>
        </w:rPr>
        <w:t>5.3</w:t>
      </w:r>
      <w:r>
        <w:rPr>
          <w:rFonts w:ascii="Times New Roman" w:eastAsia="Times New Roman" w:hAnsi="Times New Roman" w:cs="Times New Roman"/>
          <w:b/>
          <w:noProof/>
          <w:sz w:val="24"/>
          <w:szCs w:val="20"/>
        </w:rPr>
        <w:tab/>
        <w:t>Economic impact of the ruling in the insurance market</w:t>
      </w:r>
      <w:bookmarkEnd w:id="66"/>
    </w:p>
    <w:p>
      <w:pPr>
        <w:tabs>
          <w:tab w:val="left" w:pos="2160"/>
        </w:tabs>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noProof/>
          <w:sz w:val="24"/>
          <w:szCs w:val="20"/>
        </w:rPr>
        <w:t xml:space="preserve">In the follow-up to the </w:t>
      </w:r>
      <w:r>
        <w:rPr>
          <w:rFonts w:ascii="Times New Roman" w:eastAsia="Times New Roman" w:hAnsi="Times New Roman" w:cs="Times New Roman"/>
          <w:i/>
          <w:noProof/>
          <w:sz w:val="24"/>
          <w:szCs w:val="20"/>
        </w:rPr>
        <w:t>Test-Achats</w:t>
      </w:r>
      <w:r>
        <w:rPr>
          <w:rFonts w:ascii="Times New Roman" w:eastAsia="Times New Roman" w:hAnsi="Times New Roman" w:cs="Times New Roman"/>
          <w:noProof/>
          <w:sz w:val="24"/>
          <w:szCs w:val="20"/>
        </w:rPr>
        <w:t xml:space="preserve"> ruling significant repercussions on price levels were predicted by parts of the insurance sector arguing that the loss of gender as an easy and reliable risk allocation factor would lead to an increase overall prices for insurance products</w:t>
      </w:r>
      <w:r>
        <w:rPr>
          <w:rFonts w:ascii="Times New Roman" w:eastAsia="Times New Roman" w:hAnsi="Times New Roman" w:cs="Times New Roman"/>
          <w:i/>
          <w:noProof/>
          <w:sz w:val="24"/>
          <w:szCs w:val="20"/>
        </w:rPr>
        <w:t xml:space="preserve">.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judgment and its implementation had some one-off costs for the insurance industry when they had to create unisex actuarial tables and to re-price and re-launch their products to make them gender neutral. These initial compliance costs were estimated at about € 14 million for Spain and at € 7.7 million for The Netherlands.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As regards the developments in insurance pricing it must be highlighted that there is no precise economic evidence of the impact the ruling had. It is difficult to provide reliable, quantifiable data and information on the impact of the shift to unisex pricing for a number of reasons.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lack of available data highlighted by some Member States and stakeholders</w:t>
      </w:r>
      <w:r>
        <w:rPr>
          <w:rFonts w:ascii="Times New Roman" w:eastAsia="Times New Roman" w:hAnsi="Times New Roman" w:cs="Times New Roman"/>
          <w:noProof/>
          <w:sz w:val="20"/>
          <w:szCs w:val="20"/>
          <w:vertAlign w:val="superscript"/>
        </w:rPr>
        <w:footnoteReference w:id="47"/>
      </w:r>
      <w:r>
        <w:rPr>
          <w:rFonts w:ascii="Times New Roman" w:eastAsia="Times New Roman" w:hAnsi="Times New Roman" w:cs="Times New Roman"/>
          <w:noProof/>
          <w:sz w:val="24"/>
          <w:szCs w:val="20"/>
        </w:rPr>
        <w:t xml:space="preserve"> is likely to be linked to the fact that the </w:t>
      </w:r>
      <w:r>
        <w:rPr>
          <w:rFonts w:ascii="Times New Roman" w:eastAsia="Times New Roman" w:hAnsi="Times New Roman" w:cs="Times New Roman"/>
          <w:i/>
          <w:noProof/>
          <w:sz w:val="24"/>
          <w:szCs w:val="20"/>
        </w:rPr>
        <w:t xml:space="preserve">Test-Achats </w:t>
      </w:r>
      <w:r>
        <w:rPr>
          <w:rFonts w:ascii="Times New Roman" w:eastAsia="Times New Roman" w:hAnsi="Times New Roman" w:cs="Times New Roman"/>
          <w:noProof/>
          <w:sz w:val="24"/>
          <w:szCs w:val="20"/>
        </w:rPr>
        <w:t>ruling only had to be implemented by 21 December 2012. The period that has lapsed since appears to be too short to allow the collection of economic evidence and data going beyond very short-term effects.</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Furthermore, it is very complex to distinguish the effects of different factors at stake in the evolution of the insurance market and to correctly estimate the specific influence of the unisex premium factor on price or product development. In most markets, insurers had to implement not only unisex premiums but a number of other legal and regulatory developments affecting price levels, both at national and EU level</w:t>
      </w:r>
      <w:r>
        <w:rPr>
          <w:rFonts w:ascii="Times New Roman" w:eastAsia="Times New Roman" w:hAnsi="Times New Roman" w:cs="Times New Roman"/>
          <w:noProof/>
          <w:sz w:val="20"/>
          <w:szCs w:val="20"/>
          <w:vertAlign w:val="superscript"/>
        </w:rPr>
        <w:footnoteReference w:id="48"/>
      </w:r>
      <w:r>
        <w:rPr>
          <w:rFonts w:ascii="Times New Roman" w:eastAsia="Times New Roman" w:hAnsi="Times New Roman" w:cs="Times New Roman"/>
          <w:noProof/>
          <w:sz w:val="24"/>
          <w:szCs w:val="20"/>
        </w:rPr>
        <w:t xml:space="preserve">.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Beyond legal requirements insurance companies may have changed product features to improve insurance products in the regular product cycle. They might have also implemented developments in risk factors assessments</w:t>
      </w:r>
      <w:r>
        <w:rPr>
          <w:rFonts w:ascii="Times New Roman" w:eastAsia="Times New Roman" w:hAnsi="Times New Roman" w:cs="Times New Roman"/>
          <w:noProof/>
          <w:sz w:val="20"/>
          <w:szCs w:val="20"/>
          <w:vertAlign w:val="superscript"/>
        </w:rPr>
        <w:footnoteReference w:id="49"/>
      </w:r>
      <w:r>
        <w:rPr>
          <w:rFonts w:ascii="Times New Roman" w:eastAsia="Times New Roman" w:hAnsi="Times New Roman" w:cs="Times New Roman"/>
          <w:noProof/>
          <w:sz w:val="24"/>
          <w:szCs w:val="20"/>
        </w:rPr>
        <w:t>, used new criteria to assess the products and differentiate premiums (e.g. the use of telematics - also known as ‘black box’ technology - by insurers in motor insurance</w:t>
      </w:r>
      <w:r>
        <w:rPr>
          <w:rFonts w:ascii="Times New Roman" w:eastAsia="Times New Roman" w:hAnsi="Times New Roman" w:cs="Times New Roman"/>
          <w:noProof/>
          <w:sz w:val="20"/>
          <w:szCs w:val="20"/>
          <w:vertAlign w:val="superscript"/>
        </w:rPr>
        <w:footnoteReference w:id="50"/>
      </w:r>
      <w:r>
        <w:rPr>
          <w:rFonts w:ascii="Times New Roman" w:eastAsia="Times New Roman" w:hAnsi="Times New Roman" w:cs="Times New Roman"/>
          <w:noProof/>
          <w:sz w:val="24"/>
          <w:szCs w:val="20"/>
        </w:rPr>
        <w:t xml:space="preserve">) or developed new products to attract targeted clients. For example, in Spain, some insurers have introduced new products benefitting mostly women thus trying to attract </w:t>
      </w:r>
      <w:r>
        <w:rPr>
          <w:rFonts w:ascii="Times New Roman" w:eastAsia="Times New Roman" w:hAnsi="Times New Roman" w:cs="Times New Roman"/>
          <w:noProof/>
          <w:sz w:val="24"/>
          <w:szCs w:val="20"/>
        </w:rPr>
        <w:tab/>
        <w:t xml:space="preserve">female clients. Other offers concern coverage against theft of bags inside the car or </w:t>
      </w:r>
      <w:r>
        <w:rPr>
          <w:rFonts w:ascii="Times New Roman" w:eastAsia="Times New Roman" w:hAnsi="Times New Roman" w:cs="Times New Roman"/>
          <w:noProof/>
          <w:sz w:val="24"/>
          <w:szCs w:val="20"/>
        </w:rPr>
        <w:tab/>
        <w:t>specific assistance to pregnant women in case of health problems while driving. All these changes may have had an influence on the price of products or on the cover provided.</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On the basis of the information available the impact of the introduction of the unisex principle on insurance pricing </w:t>
      </w:r>
      <w:r>
        <w:rPr>
          <w:rFonts w:ascii="Times New Roman" w:eastAsia="Times New Roman" w:hAnsi="Times New Roman" w:cs="Times New Roman"/>
          <w:noProof/>
          <w:sz w:val="24"/>
          <w:szCs w:val="24"/>
        </w:rPr>
        <w:t>appears to have been generally insignificant or moderate</w:t>
      </w:r>
      <w:r>
        <w:rPr>
          <w:rFonts w:ascii="Times New Roman" w:eastAsia="Times New Roman" w:hAnsi="Times New Roman" w:cs="Times New Roman"/>
          <w:noProof/>
          <w:sz w:val="24"/>
          <w:szCs w:val="24"/>
          <w:vertAlign w:val="superscript"/>
        </w:rPr>
        <w:footnoteReference w:id="51"/>
      </w:r>
      <w:r>
        <w:rPr>
          <w:rFonts w:ascii="Times New Roman" w:eastAsia="Times New Roman" w:hAnsi="Times New Roman" w:cs="Times New Roman"/>
          <w:noProof/>
          <w:sz w:val="24"/>
          <w:szCs w:val="24"/>
        </w:rPr>
        <w:t>. As expected and indeed inevitable the premiums have increased for women (and decreased for men) for certain insurances (such as motor insurance).</w:t>
      </w:r>
      <w:r>
        <w:rPr>
          <w:rFonts w:ascii="Calibri" w:eastAsia="Calibri" w:hAnsi="Calibri" w:cs="Times New Roman"/>
          <w:noProof/>
        </w:rPr>
        <w:t xml:space="preserve"> </w:t>
      </w:r>
      <w:r>
        <w:rPr>
          <w:rFonts w:ascii="Times New Roman" w:eastAsia="Times New Roman" w:hAnsi="Times New Roman" w:cs="Times New Roman"/>
          <w:noProof/>
          <w:sz w:val="24"/>
          <w:szCs w:val="24"/>
        </w:rPr>
        <w:t>According to Insurance Sweden, young women's motor insurance has become around 10% more expensive while young men who are over-represented in traffic accidents have obtained a corresponding reduction in their insurance premiums. In Italy, research carried out from July 2012 to January 2013 show that the premiums of middle-aged women expert drivers were 3% more expensive than those of men in the same situation before December 2012. The situation is quite different for young drivers: before December 2012 women paid 18% less than men for car insurance, and after that date, the increase of their premiums by up to 18% has corresponded to a decrease of men’s premiums by 10%.</w:t>
      </w:r>
      <w:r>
        <w:rPr>
          <w:rFonts w:ascii="Times New Roman" w:eastAsia="Times New Roman" w:hAnsi="Times New Roman" w:cs="Times New Roman"/>
          <w:noProof/>
          <w:sz w:val="24"/>
          <w:szCs w:val="20"/>
        </w:rPr>
        <w:t xml:space="preserve"> For other product lines there have been increases in premiums for men (and reductions for women). But on balance, although the picture does not appear to be identical across the board the impact on the market seems to have been rather neutral or very limited and in any event there appears to be no indication of unjustified price developments.</w:t>
      </w:r>
      <w:bookmarkStart w:id="67" w:name="_Toc397525491"/>
      <w:bookmarkStart w:id="68" w:name="_Toc397525544"/>
      <w:bookmarkStart w:id="69" w:name="_Toc397525597"/>
      <w:bookmarkStart w:id="70" w:name="_Toc397525748"/>
      <w:bookmarkStart w:id="71" w:name="_Toc397525823"/>
      <w:bookmarkStart w:id="72" w:name="_Toc397525878"/>
      <w:bookmarkEnd w:id="67"/>
      <w:bookmarkEnd w:id="68"/>
      <w:bookmarkEnd w:id="69"/>
      <w:bookmarkEnd w:id="70"/>
      <w:bookmarkEnd w:id="71"/>
      <w:bookmarkEnd w:id="72"/>
    </w:p>
    <w:p>
      <w:pPr>
        <w:keepNext/>
        <w:numPr>
          <w:ilvl w:val="0"/>
          <w:numId w:val="1"/>
        </w:numPr>
        <w:tabs>
          <w:tab w:val="num" w:pos="480"/>
        </w:tabs>
        <w:spacing w:before="240" w:after="240" w:line="240" w:lineRule="auto"/>
        <w:jc w:val="both"/>
        <w:outlineLvl w:val="0"/>
        <w:rPr>
          <w:rFonts w:ascii="Times New Roman" w:eastAsia="Times New Roman" w:hAnsi="Times New Roman" w:cs="Times New Roman"/>
          <w:b/>
          <w:smallCaps/>
          <w:noProof/>
          <w:sz w:val="24"/>
          <w:szCs w:val="20"/>
        </w:rPr>
      </w:pPr>
      <w:bookmarkStart w:id="73" w:name="_Toc397956034"/>
      <w:r>
        <w:rPr>
          <w:rFonts w:ascii="Times New Roman" w:eastAsia="Times New Roman" w:hAnsi="Times New Roman" w:cs="Times New Roman"/>
          <w:b/>
          <w:smallCaps/>
          <w:noProof/>
          <w:sz w:val="24"/>
          <w:szCs w:val="20"/>
        </w:rPr>
        <w:t>protection granted to the victims of discrimination</w:t>
      </w:r>
      <w:bookmarkEnd w:id="73"/>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There is access to redress through judicial proceedings and also through national equality bodies which are tasked, amongst others, to provide independent assistance to victims. These provisions are practically identical in the EU equal treatment and anti-discrimination acquis and the findings recently made in reports on other Directives</w:t>
      </w:r>
      <w:r>
        <w:rPr>
          <w:rFonts w:ascii="Times New Roman" w:eastAsia="Times New Roman" w:hAnsi="Times New Roman" w:cs="Times New Roman"/>
          <w:noProof/>
          <w:sz w:val="20"/>
          <w:szCs w:val="20"/>
          <w:vertAlign w:val="superscript"/>
        </w:rPr>
        <w:footnoteReference w:id="52"/>
      </w:r>
      <w:r>
        <w:rPr>
          <w:rFonts w:ascii="Times New Roman" w:eastAsia="Times New Roman" w:hAnsi="Times New Roman" w:cs="Times New Roman"/>
          <w:noProof/>
          <w:sz w:val="24"/>
          <w:szCs w:val="20"/>
        </w:rPr>
        <w:t xml:space="preserve"> in relation to key concepts such as access to justice, the burden of proof rule and the requirement of effective, proportionate and dissuasive sanctions equally apply here.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To combat discrimination and ensure equal treatment, Member States and stakeholders have recognised that equality bodies are essential to move from "the law on paper to the law in practice" and to ensure that the legal rights are actually applied on the ground. This is the reason why the Commission, in its communication on the EU Justice agenda for 2020, highlighted the key role that equality bodies can play in ensuring effective remedies to citizens</w:t>
      </w:r>
      <w:r>
        <w:rPr>
          <w:rFonts w:ascii="Times New Roman" w:eastAsia="Times New Roman" w:hAnsi="Times New Roman" w:cs="Times New Roman"/>
          <w:noProof/>
          <w:sz w:val="20"/>
          <w:szCs w:val="20"/>
          <w:vertAlign w:val="superscript"/>
        </w:rPr>
        <w:footnoteReference w:id="53"/>
      </w:r>
      <w:r>
        <w:rPr>
          <w:rFonts w:ascii="Times New Roman" w:eastAsia="Times New Roman" w:hAnsi="Times New Roman" w:cs="Times New Roman"/>
          <w:noProof/>
          <w:sz w:val="24"/>
          <w:szCs w:val="20"/>
        </w:rPr>
        <w:t>. The Commission will continue its work to ensure that equality bodies can actually and fully play this role, notably through the monitoring and enforcement of the applicable rules. It will also explore ways of clarifying the requirements concerning equality bodies under the Directive, particularly the key concepts of independence and effectiveness.</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Commission will promote best practices to improve the awareness of the citizens about their rights in order to guarantee the full application of the principle of equal treatment across the EU and to further enhance the protection of victims.</w:t>
      </w:r>
    </w:p>
    <w:p>
      <w:pPr>
        <w:keepNext/>
        <w:numPr>
          <w:ilvl w:val="0"/>
          <w:numId w:val="1"/>
        </w:numPr>
        <w:tabs>
          <w:tab w:val="num" w:pos="480"/>
        </w:tabs>
        <w:spacing w:before="240" w:after="240" w:line="240" w:lineRule="auto"/>
        <w:jc w:val="both"/>
        <w:outlineLvl w:val="0"/>
        <w:rPr>
          <w:rFonts w:ascii="Times New Roman" w:eastAsia="Times New Roman" w:hAnsi="Times New Roman" w:cs="Times New Roman"/>
          <w:b/>
          <w:smallCaps/>
          <w:noProof/>
          <w:sz w:val="24"/>
          <w:szCs w:val="20"/>
        </w:rPr>
      </w:pPr>
      <w:bookmarkStart w:id="74" w:name="_Toc397530961"/>
      <w:r>
        <w:rPr>
          <w:rFonts w:ascii="Times New Roman" w:eastAsia="Times New Roman" w:hAnsi="Times New Roman" w:cs="Times New Roman"/>
          <w:b/>
          <w:smallCaps/>
          <w:noProof/>
          <w:sz w:val="24"/>
          <w:szCs w:val="20"/>
        </w:rPr>
        <w:t>Conclusions and way forward</w:t>
      </w:r>
      <w:bookmarkEnd w:id="74"/>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In the specific area of financial services, the implementation of the </w:t>
      </w:r>
      <w:r>
        <w:rPr>
          <w:rFonts w:ascii="Times New Roman" w:eastAsia="Times New Roman" w:hAnsi="Times New Roman" w:cs="Times New Roman"/>
          <w:i/>
          <w:noProof/>
          <w:sz w:val="24"/>
          <w:szCs w:val="20"/>
        </w:rPr>
        <w:t>Test-Achats</w:t>
      </w:r>
      <w:r>
        <w:rPr>
          <w:rFonts w:ascii="Times New Roman" w:eastAsia="Times New Roman" w:hAnsi="Times New Roman" w:cs="Times New Roman"/>
          <w:noProof/>
          <w:sz w:val="24"/>
          <w:szCs w:val="20"/>
        </w:rPr>
        <w:t xml:space="preserve"> ruling in the insurance sector has been the most important challenge. All Member States have implemented the ruling or are implementing it. Some Member States have chosen to go beyond the ruling by applying the unisex rule to all types of insurance and pension, thus also to occupational social security funds which fall within the scope of Directive 2006/54/EC. In September 2014, the CJEU further held that differentiated benefits on the basis of gender-specific actuarial data are inadmissible in statutory social security pensions under Directive 79/7/EEC</w:t>
      </w:r>
      <w:r>
        <w:rPr>
          <w:rFonts w:ascii="Times New Roman" w:eastAsia="Times New Roman" w:hAnsi="Times New Roman" w:cs="Times New Roman"/>
          <w:noProof/>
          <w:sz w:val="20"/>
          <w:szCs w:val="20"/>
          <w:vertAlign w:val="superscript"/>
        </w:rPr>
        <w:footnoteReference w:id="54"/>
      </w:r>
      <w:r>
        <w:rPr>
          <w:rFonts w:ascii="Times New Roman" w:eastAsia="Times New Roman" w:hAnsi="Times New Roman" w:cs="Times New Roman"/>
          <w:noProof/>
          <w:sz w:val="24"/>
          <w:szCs w:val="20"/>
        </w:rPr>
        <w:t xml:space="preserve">. In the light of these developments, the Commission will assess the application of gender-differentiated conditions to occupational pensions under Directive 2006/54/EC and whether action should be taken to ensure the comprehensive application of the unisex rule in all pillars of the pension system, whether voluntary, occupational or statutory.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As regards impacts of the </w:t>
      </w:r>
      <w:r>
        <w:rPr>
          <w:rFonts w:ascii="Times New Roman" w:eastAsia="Times New Roman" w:hAnsi="Times New Roman" w:cs="Times New Roman"/>
          <w:i/>
          <w:noProof/>
          <w:sz w:val="24"/>
          <w:szCs w:val="20"/>
        </w:rPr>
        <w:t>Test-Achats</w:t>
      </w:r>
      <w:r>
        <w:rPr>
          <w:rFonts w:ascii="Times New Roman" w:eastAsia="Times New Roman" w:hAnsi="Times New Roman" w:cs="Times New Roman"/>
          <w:noProof/>
          <w:sz w:val="24"/>
          <w:szCs w:val="20"/>
        </w:rPr>
        <w:t xml:space="preserve"> judgment on price levels of insurances, it seems too early to come to final conclusions. However, evaluated on the basis of the small evidence available the impact seems very limited.</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Concerning the implementation of the Directive, all the Member States have taken measures to transpose the Directive into their domestic legal orders and to set up the procedures and bodies for its implementation. The Commission does not consider it necessary to propose amendments to the Directive at this stage but will prioritise addressing the remaining transposition issues with the Member States concerned, mainly in relation to the scope of the exception provided for in Article 4(5) of the Directive. </w:t>
      </w:r>
    </w:p>
    <w:p>
      <w:pPr>
        <w:spacing w:after="240" w:line="240" w:lineRule="auto"/>
        <w:jc w:val="both"/>
        <w:rPr>
          <w:rFonts w:ascii="Calibri" w:eastAsia="Calibri" w:hAnsi="Calibri" w:cs="Times New Roman"/>
          <w:noProof/>
        </w:rPr>
      </w:pPr>
      <w:r>
        <w:rPr>
          <w:rFonts w:ascii="Times New Roman" w:eastAsia="Times New Roman" w:hAnsi="Times New Roman" w:cs="Times New Roman"/>
          <w:noProof/>
          <w:sz w:val="24"/>
          <w:szCs w:val="20"/>
        </w:rPr>
        <w:t>Further enforcement work as well as case law at the national and EU level should lead to clarifications on some of the questions raised in this report. Thereafter, the main challenge will be for Member States to ensure that their administrative and judicial authorities and their equality bodies systematically provide full protection to victims on the ground. The Commission will continue its monitoring activities and support Member States in order to realise the full potential of the Directive.</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12</w:t>
    </w:r>
    <w:r>
      <w:rPr>
        <w:noProof/>
      </w:rP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1960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rPr>
      </w:pPr>
      <w:r>
        <w:rPr>
          <w:rStyle w:val="FootnoteReference"/>
        </w:rPr>
        <w:footnoteRef/>
      </w:r>
      <w:r>
        <w:tab/>
      </w:r>
      <w:r>
        <w:rPr>
          <w:rFonts w:ascii="Times New Roman" w:hAnsi="Times New Roman"/>
        </w:rPr>
        <w:t xml:space="preserve">Council Directive 2004/113/EC of 13 December 2004 implementing the principle of equal </w:t>
      </w:r>
      <w:r>
        <w:rPr>
          <w:rFonts w:ascii="Times New Roman" w:hAnsi="Times New Roman"/>
        </w:rPr>
        <w:tab/>
        <w:t xml:space="preserve">treatment between men and women in the access to and supply of goods and services, OJ L373, </w:t>
      </w:r>
      <w:r>
        <w:rPr>
          <w:rFonts w:ascii="Times New Roman" w:hAnsi="Times New Roman"/>
        </w:rPr>
        <w:tab/>
        <w:t>21.12.2004, p.37.</w:t>
      </w:r>
    </w:p>
  </w:footnote>
  <w:footnote w:id="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Judgment of 1 March 2011 in Case C-236/09, OJ C 130, 30.4.2011, p.4.</w:t>
      </w:r>
    </w:p>
  </w:footnote>
  <w:footnote w:id="3">
    <w:p>
      <w:pPr>
        <w:pStyle w:val="FootnoteText"/>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ab/>
      </w:r>
      <w:r>
        <w:rPr>
          <w:rFonts w:ascii="Times New Roman" w:hAnsi="Times New Roman"/>
        </w:rPr>
        <w:t xml:space="preserve">Communication from the Commission – Guidelines on the application of Council Directive </w:t>
      </w:r>
      <w:r>
        <w:rPr>
          <w:rFonts w:ascii="Times New Roman" w:hAnsi="Times New Roman"/>
        </w:rPr>
        <w:tab/>
        <w:t xml:space="preserve">2004/113/EC to insurance, in the light of the judgement of the Court of Justice of the European </w:t>
      </w:r>
      <w:r>
        <w:rPr>
          <w:rFonts w:ascii="Times New Roman" w:hAnsi="Times New Roman"/>
        </w:rPr>
        <w:tab/>
        <w:t xml:space="preserve">Union, in case C-236/09 (Test-Achats), C(2011 )9497 final, 22 December 2011, OJ C11, </w:t>
      </w:r>
      <w:r>
        <w:rPr>
          <w:rFonts w:ascii="Times New Roman" w:hAnsi="Times New Roman"/>
        </w:rPr>
        <w:tab/>
        <w:t>13.01.2012.</w:t>
      </w:r>
    </w:p>
  </w:footnote>
  <w:footnote w:id="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BE, DE, DK, LT, LV, PL.</w:t>
      </w:r>
    </w:p>
  </w:footnote>
  <w:footnote w:id="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Case C-196/87 </w:t>
      </w:r>
      <w:r>
        <w:rPr>
          <w:rFonts w:ascii="Times New Roman" w:hAnsi="Times New Roman"/>
          <w:i/>
        </w:rPr>
        <w:t>Steymann</w:t>
      </w:r>
      <w:r>
        <w:rPr>
          <w:rFonts w:ascii="Times New Roman" w:hAnsi="Times New Roman"/>
        </w:rPr>
        <w:t>, 5 October 1988, paras. 9 and12.</w:t>
      </w:r>
    </w:p>
  </w:footnote>
  <w:footnote w:id="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See for example Cases C-51/96 </w:t>
      </w:r>
      <w:r>
        <w:rPr>
          <w:rFonts w:ascii="Times New Roman" w:hAnsi="Times New Roman"/>
          <w:i/>
        </w:rPr>
        <w:t>Deliège</w:t>
      </w:r>
      <w:r>
        <w:rPr>
          <w:rFonts w:ascii="Times New Roman" w:hAnsi="Times New Roman"/>
        </w:rPr>
        <w:t xml:space="preserve"> and C-191/97, </w:t>
      </w:r>
      <w:r>
        <w:rPr>
          <w:rFonts w:ascii="Times New Roman" w:hAnsi="Times New Roman"/>
          <w:i/>
        </w:rPr>
        <w:t>Pacqué</w:t>
      </w:r>
      <w:r>
        <w:rPr>
          <w:rFonts w:ascii="Times New Roman" w:hAnsi="Times New Roman"/>
        </w:rPr>
        <w:t xml:space="preserve">, 11 April 2000, para.46.  </w:t>
      </w:r>
    </w:p>
  </w:footnote>
  <w:footnote w:id="7">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See for example, C-157/99 </w:t>
      </w:r>
      <w:r>
        <w:rPr>
          <w:rFonts w:ascii="Times New Roman" w:hAnsi="Times New Roman"/>
          <w:i/>
        </w:rPr>
        <w:t xml:space="preserve">Smits and Peerbooms, </w:t>
      </w:r>
      <w:r>
        <w:rPr>
          <w:rFonts w:ascii="Times New Roman" w:hAnsi="Times New Roman"/>
        </w:rPr>
        <w:t>12 July 2001, para.57.</w:t>
      </w:r>
    </w:p>
  </w:footnote>
  <w:footnote w:id="8">
    <w:p>
      <w:pPr>
        <w:pStyle w:val="FootnoteText"/>
        <w:jc w:val="both"/>
      </w:pPr>
      <w:r>
        <w:rPr>
          <w:rStyle w:val="FootnoteReference"/>
        </w:rPr>
        <w:footnoteRef/>
      </w:r>
      <w:r>
        <w:t xml:space="preserve"> </w:t>
      </w:r>
      <w:r>
        <w:tab/>
      </w:r>
      <w:r>
        <w:rPr>
          <w:rFonts w:ascii="Times New Roman" w:hAnsi="Times New Roman"/>
        </w:rPr>
        <w:t xml:space="preserve">However sex discrimination in statutory social security schemes falls within the scope of </w:t>
      </w:r>
      <w:r>
        <w:rPr>
          <w:rFonts w:ascii="Times New Roman" w:hAnsi="Times New Roman"/>
        </w:rPr>
        <w:tab/>
        <w:t>Directive 79/7/EEC.</w:t>
      </w:r>
    </w:p>
  </w:footnote>
  <w:footnote w:id="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E.g. where a person sublets a room in his or her own apartment. In such cases the exclusion would      </w:t>
      </w:r>
      <w:r>
        <w:rPr>
          <w:rFonts w:ascii="Times New Roman" w:hAnsi="Times New Roman"/>
        </w:rPr>
        <w:tab/>
        <w:t xml:space="preserve">appear to apply even if the room is offered publicly in a newspaper or on the internet. </w:t>
      </w:r>
    </w:p>
  </w:footnote>
  <w:footnote w:id="10">
    <w:p>
      <w:pPr>
        <w:pStyle w:val="FootnoteText"/>
        <w:jc w:val="both"/>
        <w:rPr>
          <w:rFonts w:ascii="Times New Roman" w:hAnsi="Times New Roman"/>
        </w:rPr>
      </w:pPr>
      <w:r>
        <w:rPr>
          <w:rStyle w:val="FootnoteReference"/>
          <w:sz w:val="18"/>
          <w:szCs w:val="18"/>
        </w:rPr>
        <w:footnoteRef/>
      </w:r>
      <w:r>
        <w:rPr>
          <w:sz w:val="18"/>
          <w:szCs w:val="18"/>
        </w:rPr>
        <w:tab/>
      </w:r>
      <w:r>
        <w:rPr>
          <w:rFonts w:ascii="Times New Roman" w:hAnsi="Times New Roman"/>
        </w:rPr>
        <w:t xml:space="preserve">See case C-13/94 </w:t>
      </w:r>
      <w:r>
        <w:rPr>
          <w:rFonts w:ascii="Times New Roman" w:hAnsi="Times New Roman"/>
          <w:i/>
        </w:rPr>
        <w:t>P v S and Cornwall County Council,</w:t>
      </w:r>
      <w:r>
        <w:rPr>
          <w:rFonts w:ascii="Times New Roman" w:hAnsi="Times New Roman"/>
        </w:rPr>
        <w:t xml:space="preserve"> 30 April 1996 and case C-423/04, </w:t>
      </w:r>
      <w:r>
        <w:rPr>
          <w:rFonts w:ascii="Times New Roman" w:hAnsi="Times New Roman"/>
        </w:rPr>
        <w:tab/>
      </w:r>
      <w:r>
        <w:rPr>
          <w:rFonts w:ascii="Times New Roman" w:hAnsi="Times New Roman"/>
          <w:i/>
        </w:rPr>
        <w:t xml:space="preserve">Richards v </w:t>
      </w:r>
      <w:r>
        <w:rPr>
          <w:rFonts w:ascii="Times New Roman" w:hAnsi="Times New Roman"/>
          <w:i/>
        </w:rPr>
        <w:tab/>
        <w:t xml:space="preserve">Secretary for Work and Pensions, </w:t>
      </w:r>
      <w:r>
        <w:rPr>
          <w:rFonts w:ascii="Times New Roman" w:hAnsi="Times New Roman"/>
        </w:rPr>
        <w:t>27 April 2006.</w:t>
      </w:r>
    </w:p>
  </w:footnote>
  <w:footnote w:id="1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BE, CZ, SE, SK, UK.</w:t>
      </w:r>
    </w:p>
  </w:footnote>
  <w:footnote w:id="12">
    <w:p>
      <w:pPr>
        <w:pStyle w:val="FootnoteText"/>
        <w:ind w:left="284" w:hanging="284"/>
        <w:jc w:val="both"/>
        <w:rPr>
          <w:rFonts w:ascii="Times New Roman" w:hAnsi="Times New Roman"/>
          <w:sz w:val="18"/>
          <w:szCs w:val="18"/>
        </w:rPr>
      </w:pPr>
      <w:r>
        <w:rPr>
          <w:rStyle w:val="FootnoteReference"/>
          <w:rFonts w:ascii="Times New Roman" w:hAnsi="Times New Roman"/>
        </w:rPr>
        <w:footnoteRef/>
      </w:r>
      <w:r>
        <w:rPr>
          <w:rFonts w:ascii="Times New Roman" w:hAnsi="Times New Roman"/>
        </w:rPr>
        <w:tab/>
      </w:r>
      <w:r>
        <w:rPr>
          <w:rFonts w:ascii="Times New Roman" w:hAnsi="Times New Roman"/>
        </w:rPr>
        <w:tab/>
        <w:t>For more information about gender identity see the 2011 report “</w:t>
      </w:r>
      <w:r>
        <w:rPr>
          <w:rFonts w:ascii="Times New Roman" w:hAnsi="Times New Roman"/>
          <w:i/>
        </w:rPr>
        <w:t xml:space="preserve">Discrimination on the grounds of </w:t>
      </w:r>
      <w:r>
        <w:rPr>
          <w:rFonts w:ascii="Times New Roman" w:hAnsi="Times New Roman"/>
          <w:i/>
        </w:rPr>
        <w:tab/>
        <w:t>sex, gender identity and gender expression</w:t>
      </w:r>
      <w:r>
        <w:rPr>
          <w:rFonts w:ascii="Times New Roman" w:hAnsi="Times New Roman"/>
        </w:rPr>
        <w:t>”, by the European network of legal experts in the non-</w:t>
      </w:r>
      <w:r>
        <w:rPr>
          <w:rFonts w:ascii="Times New Roman" w:hAnsi="Times New Roman"/>
        </w:rPr>
        <w:tab/>
        <w:t xml:space="preserve">discrimination field. This report is available at this address: </w:t>
      </w:r>
      <w:hyperlink r:id="rId1" w:history="1">
        <w:r>
          <w:rPr>
            <w:rStyle w:val="Hyperlink"/>
            <w:rFonts w:ascii="Times New Roman" w:hAnsi="Times New Roman"/>
            <w:sz w:val="18"/>
            <w:szCs w:val="18"/>
          </w:rPr>
          <w:t>http://bookshop.europa.eu/en/trans-and-</w:t>
        </w:r>
        <w:r>
          <w:rPr>
            <w:rStyle w:val="Hyperlink"/>
            <w:rFonts w:ascii="Times New Roman" w:hAnsi="Times New Roman"/>
            <w:sz w:val="18"/>
            <w:szCs w:val="18"/>
          </w:rPr>
          <w:tab/>
          <w:t>intersex-people-pbDS3212033/</w:t>
        </w:r>
      </w:hyperlink>
    </w:p>
  </w:footnote>
  <w:footnote w:id="13">
    <w:p>
      <w:pPr>
        <w:pStyle w:val="FootnoteText"/>
        <w:rPr>
          <w:rFonts w:ascii="Times New Roman" w:hAnsi="Times New Roman"/>
        </w:rPr>
      </w:pPr>
      <w:r>
        <w:rPr>
          <w:rStyle w:val="FootnoteReference"/>
        </w:rPr>
        <w:footnoteRef/>
      </w:r>
      <w:r>
        <w:t xml:space="preserve"> </w:t>
      </w:r>
      <w:r>
        <w:tab/>
      </w:r>
      <w:r>
        <w:rPr>
          <w:rFonts w:ascii="Times New Roman" w:hAnsi="Times New Roman"/>
        </w:rPr>
        <w:t>Notably AT</w:t>
      </w:r>
    </w:p>
  </w:footnote>
  <w:footnote w:id="14">
    <w:p>
      <w:pPr>
        <w:pStyle w:val="FootnoteText"/>
        <w:jc w:val="both"/>
        <w:rPr>
          <w:rFonts w:ascii="Times New Roman" w:hAnsi="Times New Roman"/>
        </w:rPr>
      </w:pPr>
      <w:r>
        <w:rPr>
          <w:rStyle w:val="FootnoteReference"/>
          <w:rFonts w:ascii="Times New Roman" w:hAnsi="Times New Roman"/>
          <w:sz w:val="18"/>
          <w:szCs w:val="18"/>
        </w:rPr>
        <w:footnoteRef/>
      </w:r>
      <w:r>
        <w:rPr>
          <w:rFonts w:ascii="Times New Roman" w:hAnsi="Times New Roman"/>
          <w:sz w:val="18"/>
          <w:szCs w:val="18"/>
        </w:rPr>
        <w:tab/>
      </w:r>
      <w:r>
        <w:rPr>
          <w:rFonts w:ascii="Times New Roman" w:hAnsi="Times New Roman"/>
        </w:rPr>
        <w:t xml:space="preserve">AT with around 50 complaints in 2012, BE with 1 or 2 every year (with some coming from </w:t>
      </w:r>
      <w:r>
        <w:rPr>
          <w:rFonts w:ascii="Times New Roman" w:hAnsi="Times New Roman"/>
        </w:rPr>
        <w:tab/>
        <w:t xml:space="preserve">transgender people), DK with 15 to 20 cases, SE with 5 cases between 2009 and 2013. FR </w:t>
      </w:r>
      <w:r>
        <w:rPr>
          <w:rFonts w:ascii="Times New Roman" w:hAnsi="Times New Roman"/>
        </w:rPr>
        <w:tab/>
        <w:t xml:space="preserve">reported the lack of distinct and specific data concerning harassment in the access to goods and </w:t>
      </w:r>
      <w:r>
        <w:rPr>
          <w:rFonts w:ascii="Times New Roman" w:hAnsi="Times New Roman"/>
        </w:rPr>
        <w:tab/>
        <w:t xml:space="preserve">services. </w:t>
      </w:r>
    </w:p>
  </w:footnote>
  <w:footnote w:id="1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CZ.</w:t>
      </w:r>
    </w:p>
  </w:footnote>
  <w:footnote w:id="1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BG.</w:t>
      </w:r>
    </w:p>
  </w:footnote>
  <w:footnote w:id="17">
    <w:p>
      <w:pPr>
        <w:pStyle w:val="FootnoteText"/>
        <w:rPr>
          <w:rFonts w:ascii="Times New Roman" w:hAnsi="Times New Roman"/>
        </w:rPr>
      </w:pPr>
      <w:r>
        <w:rPr>
          <w:rStyle w:val="FootnoteReference"/>
        </w:rPr>
        <w:footnoteRef/>
      </w:r>
      <w:r>
        <w:t xml:space="preserve"> </w:t>
      </w:r>
      <w:r>
        <w:tab/>
      </w:r>
      <w:r>
        <w:rPr>
          <w:rFonts w:ascii="Times New Roman" w:hAnsi="Times New Roman"/>
        </w:rPr>
        <w:t>LT and LV.</w:t>
      </w:r>
    </w:p>
  </w:footnote>
  <w:footnote w:id="18">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ab/>
      </w:r>
      <w:r>
        <w:rPr>
          <w:rFonts w:ascii="Times New Roman" w:hAnsi="Times New Roman"/>
        </w:rPr>
        <w:tab/>
        <w:t xml:space="preserve">E.g. in DK. Similar cases were reported for EE and </w:t>
      </w:r>
      <w:r>
        <w:rPr>
          <w:rFonts w:ascii="Times New Roman" w:hAnsi="Times New Roman"/>
        </w:rPr>
        <w:tab/>
        <w:t xml:space="preserve">HU in restaurants and for IE in cinemas and </w:t>
      </w:r>
      <w:r>
        <w:rPr>
          <w:rFonts w:ascii="Times New Roman" w:hAnsi="Times New Roman"/>
        </w:rPr>
        <w:tab/>
        <w:t xml:space="preserve">theatres. </w:t>
      </w:r>
    </w:p>
  </w:footnote>
  <w:footnote w:id="1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HU, LV.</w:t>
      </w:r>
    </w:p>
  </w:footnote>
  <w:footnote w:id="20">
    <w:p>
      <w:pPr>
        <w:pStyle w:val="FootnoteText"/>
        <w:jc w:val="both"/>
        <w:rPr>
          <w:sz w:val="18"/>
          <w:szCs w:val="18"/>
        </w:rPr>
      </w:pPr>
      <w:r>
        <w:rPr>
          <w:rStyle w:val="FootnoteReference"/>
          <w:rFonts w:ascii="Times New Roman" w:hAnsi="Times New Roman"/>
        </w:rPr>
        <w:footnoteRef/>
      </w:r>
      <w:r>
        <w:rPr>
          <w:rFonts w:ascii="Times New Roman" w:hAnsi="Times New Roman"/>
        </w:rPr>
        <w:tab/>
        <w:t>UK.</w:t>
      </w:r>
    </w:p>
  </w:footnote>
  <w:footnote w:id="21">
    <w:p>
      <w:pPr>
        <w:pStyle w:val="FootnoteText"/>
        <w:jc w:val="both"/>
        <w:rPr>
          <w:rFonts w:ascii="Times New Roman" w:hAnsi="Times New Roman"/>
        </w:rPr>
      </w:pPr>
      <w:r>
        <w:rPr>
          <w:rStyle w:val="FootnoteReference"/>
        </w:rPr>
        <w:footnoteRef/>
      </w:r>
      <w:r>
        <w:tab/>
      </w:r>
      <w:r>
        <w:rPr>
          <w:rFonts w:ascii="Times New Roman" w:hAnsi="Times New Roman"/>
        </w:rPr>
        <w:t>AT, BE, DK, Equinet.</w:t>
      </w:r>
    </w:p>
  </w:footnote>
  <w:footnote w:id="2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See the Equinet report in relation to the equality bodies in different Member States.</w:t>
      </w:r>
    </w:p>
  </w:footnote>
  <w:footnote w:id="23">
    <w:p>
      <w:pPr>
        <w:pStyle w:val="FootnoteText"/>
        <w:jc w:val="both"/>
        <w:rPr>
          <w:rFonts w:ascii="Times New Roman" w:hAnsi="Times New Roman"/>
          <w:lang w:val="it-IT"/>
        </w:rPr>
      </w:pPr>
      <w:r>
        <w:rPr>
          <w:rStyle w:val="FootnoteReference"/>
          <w:rFonts w:ascii="Times New Roman" w:hAnsi="Times New Roman"/>
        </w:rPr>
        <w:footnoteRef/>
      </w:r>
      <w:r>
        <w:rPr>
          <w:rFonts w:ascii="Times New Roman" w:hAnsi="Times New Roman"/>
          <w:lang w:val="it-IT"/>
        </w:rPr>
        <w:tab/>
        <w:t xml:space="preserve">see notably case C-451/03, </w:t>
      </w:r>
      <w:r>
        <w:rPr>
          <w:rFonts w:ascii="Times New Roman" w:hAnsi="Times New Roman"/>
          <w:i/>
          <w:lang w:val="it-IT"/>
        </w:rPr>
        <w:t>Servizi Ausiliari Dottori Commercialisti Srl</w:t>
      </w:r>
      <w:r>
        <w:rPr>
          <w:rFonts w:ascii="Times New Roman" w:hAnsi="Times New Roman"/>
          <w:lang w:val="it-IT"/>
        </w:rPr>
        <w:t xml:space="preserve">, 30 March 2006, </w:t>
      </w:r>
      <w:r>
        <w:rPr>
          <w:rFonts w:ascii="Times New Roman" w:hAnsi="Times New Roman"/>
          <w:lang w:val="it-IT"/>
        </w:rPr>
        <w:tab/>
        <w:t xml:space="preserve">para.45. </w:t>
      </w:r>
    </w:p>
  </w:footnote>
  <w:footnote w:id="2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BE, HU.</w:t>
      </w:r>
    </w:p>
  </w:footnote>
  <w:footnote w:id="2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Interestingly, some Member States, e.g. BE and NL, have chosen to exhaustively list the sectors </w:t>
      </w:r>
      <w:r>
        <w:rPr>
          <w:rFonts w:ascii="Times New Roman" w:hAnsi="Times New Roman"/>
        </w:rPr>
        <w:tab/>
        <w:t xml:space="preserve">which </w:t>
      </w:r>
      <w:r>
        <w:rPr>
          <w:rFonts w:ascii="Times New Roman" w:hAnsi="Times New Roman"/>
        </w:rPr>
        <w:tab/>
        <w:t>could benefit from this derogation in their legislation or provided for such a possibility.</w:t>
      </w:r>
    </w:p>
  </w:footnote>
  <w:footnote w:id="26">
    <w:p>
      <w:pPr>
        <w:pStyle w:val="FootnoteText"/>
        <w:jc w:val="both"/>
        <w:rPr>
          <w:rFonts w:ascii="Times New Roman" w:hAnsi="Times New Roman"/>
        </w:rPr>
      </w:pPr>
      <w:r>
        <w:rPr>
          <w:rStyle w:val="FootnoteReference"/>
          <w:rFonts w:ascii="Times New Roman" w:hAnsi="Times New Roman"/>
          <w:sz w:val="18"/>
          <w:szCs w:val="18"/>
        </w:rPr>
        <w:footnoteRef/>
      </w:r>
      <w:r>
        <w:rPr>
          <w:rFonts w:ascii="Times New Roman" w:hAnsi="Times New Roman"/>
          <w:sz w:val="18"/>
          <w:szCs w:val="18"/>
        </w:rPr>
        <w:tab/>
      </w:r>
      <w:r>
        <w:rPr>
          <w:rFonts w:ascii="Times New Roman" w:hAnsi="Times New Roman"/>
        </w:rPr>
        <w:t>See Equinet report.</w:t>
      </w:r>
    </w:p>
  </w:footnote>
  <w:footnote w:id="27">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One train compartment (CZ) or one floor of a hotel (DK) reserved for women.</w:t>
      </w:r>
    </w:p>
  </w:footnote>
  <w:footnote w:id="2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Reported by AT, BE, DK, LV, PL, SI.</w:t>
      </w:r>
    </w:p>
  </w:footnote>
  <w:footnote w:id="2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Reported by BE, DE, DK.</w:t>
      </w:r>
    </w:p>
  </w:footnote>
  <w:footnote w:id="3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Reported by MT, PL, SI.</w:t>
      </w:r>
    </w:p>
  </w:footnote>
  <w:footnote w:id="3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Reported by SI, DK.</w:t>
      </w:r>
    </w:p>
  </w:footnote>
  <w:footnote w:id="32">
    <w:p>
      <w:pPr>
        <w:pStyle w:val="FootnoteText"/>
        <w:jc w:val="both"/>
        <w:rPr>
          <w:rFonts w:ascii="Times New Roman" w:hAnsi="Times New Roman"/>
        </w:rPr>
      </w:pPr>
      <w:r>
        <w:rPr>
          <w:rStyle w:val="FootnoteReference"/>
        </w:rPr>
        <w:footnoteRef/>
      </w:r>
      <w:r>
        <w:t xml:space="preserve"> </w:t>
      </w:r>
      <w:r>
        <w:tab/>
      </w:r>
      <w:r>
        <w:rPr>
          <w:rFonts w:ascii="Times New Roman" w:hAnsi="Times New Roman"/>
        </w:rPr>
        <w:t xml:space="preserve">SK, Section 8a of the Antidiscrimination Act. </w:t>
      </w:r>
    </w:p>
  </w:footnote>
  <w:footnote w:id="3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Section 158 of the 2010 Act</w:t>
      </w:r>
    </w:p>
  </w:footnote>
  <w:footnote w:id="34">
    <w:p>
      <w:pPr>
        <w:pStyle w:val="FootnoteText"/>
        <w:jc w:val="both"/>
        <w:rPr>
          <w:rFonts w:ascii="Times New Roman" w:hAnsi="Times New Roman"/>
          <w:highlight w:val="yellow"/>
        </w:rPr>
      </w:pPr>
      <w:r>
        <w:rPr>
          <w:rStyle w:val="FootnoteReference"/>
          <w:rFonts w:ascii="Times New Roman" w:hAnsi="Times New Roman"/>
        </w:rPr>
        <w:footnoteRef/>
      </w:r>
      <w:r>
        <w:rPr>
          <w:rFonts w:ascii="Times New Roman" w:hAnsi="Times New Roman"/>
        </w:rPr>
        <w:tab/>
        <w:t xml:space="preserve">Leopoldstadt District Court (31 C 649/09z-9). See also above section 4.1 on German courts </w:t>
      </w:r>
      <w:r>
        <w:rPr>
          <w:rFonts w:ascii="Times New Roman" w:hAnsi="Times New Roman"/>
        </w:rPr>
        <w:tab/>
        <w:t xml:space="preserve">relying on Article 4(5) in a comparable situation. </w:t>
      </w:r>
    </w:p>
  </w:footnote>
  <w:footnote w:id="3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C-366/99, </w:t>
      </w:r>
      <w:r>
        <w:rPr>
          <w:rFonts w:ascii="Times New Roman" w:hAnsi="Times New Roman"/>
          <w:i/>
        </w:rPr>
        <w:t xml:space="preserve">Griesmar, </w:t>
      </w:r>
      <w:r>
        <w:rPr>
          <w:rFonts w:ascii="Times New Roman" w:hAnsi="Times New Roman"/>
        </w:rPr>
        <w:t>29 November 2001.</w:t>
      </w:r>
    </w:p>
  </w:footnote>
  <w:footnote w:id="36">
    <w:p>
      <w:pPr>
        <w:pStyle w:val="FootnoteText"/>
        <w:rPr>
          <w:rFonts w:ascii="Times New Roman" w:hAnsi="Times New Roman"/>
        </w:rPr>
      </w:pPr>
      <w:r>
        <w:rPr>
          <w:rStyle w:val="FootnoteReference"/>
        </w:rPr>
        <w:footnoteRef/>
      </w:r>
      <w:r>
        <w:tab/>
      </w:r>
      <w:r>
        <w:rPr>
          <w:rFonts w:ascii="Times New Roman" w:hAnsi="Times New Roman"/>
        </w:rPr>
        <w:t xml:space="preserve">In some Member States (e.g. DE, FR, IT, UK), the ruling and its implementation led to an intense </w:t>
      </w:r>
      <w:r>
        <w:rPr>
          <w:rFonts w:ascii="Times New Roman" w:hAnsi="Times New Roman"/>
        </w:rPr>
        <w:tab/>
        <w:t>debate and considerable media attention.</w:t>
      </w:r>
    </w:p>
  </w:footnote>
  <w:footnote w:id="3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 xml:space="preserve">See EIOPA report on the implementation of the Test Achats ruling, EIOPA-CCPFI-13/091, 6 </w:t>
      </w:r>
      <w:r>
        <w:rPr>
          <w:rFonts w:ascii="Times New Roman" w:hAnsi="Times New Roman"/>
        </w:rPr>
        <w:tab/>
        <w:t>February 2014.</w:t>
      </w:r>
    </w:p>
  </w:footnote>
  <w:footnote w:id="3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AT, BG, DE, EE, FI, FR, GR, HR, CZ, HU, LT, LV, PL, SI.</w:t>
      </w:r>
    </w:p>
  </w:footnote>
  <w:footnote w:id="39">
    <w:p>
      <w:pPr>
        <w:pStyle w:val="FootnoteText"/>
        <w:rPr>
          <w:rFonts w:ascii="Times New Roman" w:hAnsi="Times New Roman"/>
          <w:lang w:val="nl-NL"/>
        </w:rPr>
      </w:pPr>
      <w:r>
        <w:rPr>
          <w:rStyle w:val="FootnoteReference"/>
          <w:rFonts w:ascii="Times New Roman" w:hAnsi="Times New Roman"/>
        </w:rPr>
        <w:footnoteRef/>
      </w:r>
      <w:r>
        <w:rPr>
          <w:rFonts w:ascii="Times New Roman" w:hAnsi="Times New Roman"/>
          <w:lang w:val="nl-NL"/>
        </w:rPr>
        <w:tab/>
        <w:t>BE, CY, DK, IE, NL, SE, UK.</w:t>
      </w:r>
    </w:p>
  </w:footnote>
  <w:footnote w:id="40">
    <w:p>
      <w:pPr>
        <w:pStyle w:val="FootnoteText"/>
        <w:rPr>
          <w:rFonts w:ascii="Times New Roman" w:hAnsi="Times New Roman"/>
          <w:lang w:val="nl-NL"/>
        </w:rPr>
      </w:pPr>
      <w:r>
        <w:rPr>
          <w:rStyle w:val="FootnoteReference"/>
          <w:rFonts w:ascii="Times New Roman" w:hAnsi="Times New Roman"/>
        </w:rPr>
        <w:footnoteRef/>
      </w:r>
      <w:r>
        <w:rPr>
          <w:rFonts w:ascii="Times New Roman" w:hAnsi="Times New Roman"/>
          <w:lang w:val="nl-NL"/>
        </w:rPr>
        <w:tab/>
        <w:t>ES, MT, RO, SK.</w:t>
      </w:r>
    </w:p>
  </w:footnote>
  <w:footnote w:id="41">
    <w:p>
      <w:pPr>
        <w:pStyle w:val="FootnoteText"/>
        <w:rPr>
          <w:rFonts w:ascii="Times New Roman" w:hAnsi="Times New Roman"/>
          <w:lang w:val="nl-NL"/>
        </w:rPr>
      </w:pPr>
      <w:r>
        <w:rPr>
          <w:rStyle w:val="FootnoteReference"/>
          <w:rFonts w:ascii="Times New Roman" w:hAnsi="Times New Roman"/>
        </w:rPr>
        <w:footnoteRef/>
      </w:r>
      <w:r>
        <w:rPr>
          <w:rFonts w:ascii="Times New Roman" w:hAnsi="Times New Roman"/>
          <w:lang w:val="nl-NL"/>
        </w:rPr>
        <w:tab/>
        <w:t>AT, BE, DK, FI, FR, GR, IE, HU, LV, NL, MT, SE, SI and UK.</w:t>
      </w:r>
    </w:p>
  </w:footnote>
  <w:footnote w:id="42">
    <w:p>
      <w:pPr>
        <w:pStyle w:val="FootnoteText"/>
        <w:rPr>
          <w:rFonts w:ascii="Times New Roman" w:hAnsi="Times New Roman"/>
          <w:lang w:val="es-ES"/>
        </w:rPr>
      </w:pPr>
      <w:r>
        <w:rPr>
          <w:rStyle w:val="FootnoteReference"/>
          <w:rFonts w:ascii="Times New Roman" w:hAnsi="Times New Roman"/>
        </w:rPr>
        <w:footnoteRef/>
      </w:r>
      <w:r>
        <w:rPr>
          <w:rFonts w:ascii="Times New Roman" w:hAnsi="Times New Roman"/>
          <w:lang w:val="es-ES"/>
        </w:rPr>
        <w:tab/>
        <w:t>CY, CZ, DE, EE, ES, LT, PL, RO, SK.</w:t>
      </w:r>
    </w:p>
  </w:footnote>
  <w:footnote w:id="43">
    <w:p>
      <w:pPr>
        <w:pStyle w:val="FootnoteText"/>
        <w:jc w:val="both"/>
        <w:rPr>
          <w:rFonts w:ascii="Times New Roman" w:hAnsi="Times New Roman"/>
        </w:rPr>
      </w:pPr>
      <w:r>
        <w:rPr>
          <w:rStyle w:val="FootnoteReference"/>
          <w:sz w:val="18"/>
          <w:szCs w:val="18"/>
        </w:rPr>
        <w:footnoteRef/>
      </w:r>
      <w:r>
        <w:rPr>
          <w:sz w:val="18"/>
          <w:szCs w:val="18"/>
        </w:rPr>
        <w:tab/>
      </w:r>
      <w:r>
        <w:rPr>
          <w:rFonts w:ascii="Times New Roman" w:hAnsi="Times New Roman"/>
        </w:rPr>
        <w:t>LU.</w:t>
      </w:r>
    </w:p>
  </w:footnote>
  <w:footnote w:id="4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However, the EFTA Court shall pay due account to the principles laid down by the relevant </w:t>
      </w:r>
      <w:r>
        <w:rPr>
          <w:rFonts w:ascii="Times New Roman" w:hAnsi="Times New Roman"/>
        </w:rPr>
        <w:tab/>
        <w:t>rulings by the CJEU pursuant to Article 3(2) agreement Surveillance/EFTA Court.</w:t>
      </w:r>
    </w:p>
  </w:footnote>
  <w:footnote w:id="4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Norway has already adopted the necessary amendments have been adopted on 20 June 2014 with </w:t>
      </w:r>
      <w:r>
        <w:rPr>
          <w:rFonts w:ascii="Times New Roman" w:hAnsi="Times New Roman"/>
        </w:rPr>
        <w:tab/>
        <w:t>an entry into force on 1</w:t>
      </w:r>
      <w:r>
        <w:rPr>
          <w:rFonts w:ascii="Times New Roman" w:hAnsi="Times New Roman"/>
          <w:vertAlign w:val="superscript"/>
        </w:rPr>
        <w:t>st</w:t>
      </w:r>
      <w:r>
        <w:rPr>
          <w:rFonts w:ascii="Times New Roman" w:hAnsi="Times New Roman"/>
        </w:rPr>
        <w:t xml:space="preserve"> January 2015.</w:t>
      </w:r>
    </w:p>
  </w:footnote>
  <w:footnote w:id="4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BG, CY, CZ, DK, FR, LV, SE.</w:t>
      </w:r>
    </w:p>
  </w:footnote>
  <w:footnote w:id="47">
    <w:p>
      <w:pPr>
        <w:pStyle w:val="FootnoteText"/>
        <w:jc w:val="both"/>
        <w:rPr>
          <w:rFonts w:ascii="Times New Roman" w:hAnsi="Times New Roman"/>
        </w:rPr>
      </w:pPr>
      <w:r>
        <w:rPr>
          <w:rStyle w:val="FootnoteReference"/>
          <w:sz w:val="18"/>
          <w:szCs w:val="18"/>
        </w:rPr>
        <w:footnoteRef/>
      </w:r>
      <w:r>
        <w:rPr>
          <w:sz w:val="18"/>
          <w:szCs w:val="18"/>
        </w:rPr>
        <w:tab/>
      </w:r>
      <w:r>
        <w:rPr>
          <w:rFonts w:ascii="Times New Roman" w:hAnsi="Times New Roman"/>
        </w:rPr>
        <w:t xml:space="preserve">FR, LU, Insurance Europe, BIPAR, AAE. Some replies recalled also constraints on the systematic </w:t>
      </w:r>
      <w:r>
        <w:rPr>
          <w:rFonts w:ascii="Times New Roman" w:hAnsi="Times New Roman"/>
        </w:rPr>
        <w:tab/>
        <w:t>monitoring of insurance premiums under EU competition law.</w:t>
      </w:r>
    </w:p>
  </w:footnote>
  <w:footnote w:id="4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Such as Directive 2009/138/EC of the European Parliament and of the Council of 25 November </w:t>
      </w:r>
      <w:r>
        <w:rPr>
          <w:rFonts w:ascii="Times New Roman" w:hAnsi="Times New Roman"/>
        </w:rPr>
        <w:tab/>
        <w:t xml:space="preserve">2009 on the taking-up and pursuit of the business of Insurance and Reinsurance (Solvency II). </w:t>
      </w:r>
    </w:p>
  </w:footnote>
  <w:footnote w:id="4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Insurance Europe.</w:t>
      </w:r>
    </w:p>
  </w:footnote>
  <w:footnote w:id="5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As identified by EIOPA in its last consumers trend report, EIOPA-BoS-13/175 rev1, 15 December </w:t>
      </w:r>
      <w:r>
        <w:rPr>
          <w:rFonts w:ascii="Times New Roman" w:hAnsi="Times New Roman"/>
        </w:rPr>
        <w:tab/>
        <w:t>2013.</w:t>
      </w:r>
    </w:p>
  </w:footnote>
  <w:footnote w:id="5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FI, CZ, PL, LT, HR.</w:t>
      </w:r>
    </w:p>
  </w:footnote>
  <w:footnote w:id="5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See for example,  Report from the Commission to the European Parliament and the Council, Joint </w:t>
      </w:r>
      <w:r>
        <w:rPr>
          <w:rFonts w:ascii="Times New Roman" w:hAnsi="Times New Roman"/>
        </w:rPr>
        <w:tab/>
        <w:t xml:space="preserve">Report on the application of Council Directive 2000/43/EC of 29 June 2000 implementing the </w:t>
      </w:r>
      <w:r>
        <w:rPr>
          <w:rFonts w:ascii="Times New Roman" w:hAnsi="Times New Roman"/>
        </w:rPr>
        <w:tab/>
        <w:t xml:space="preserve">principle of equal treatment between persons irrespective of racial or ethnic origin (‘Racial </w:t>
      </w:r>
      <w:r>
        <w:rPr>
          <w:rFonts w:ascii="Times New Roman" w:hAnsi="Times New Roman"/>
        </w:rPr>
        <w:tab/>
        <w:t xml:space="preserve">Equality Directive’) and of Council Directive 2000/78/EC of 27 November 2000 establishing a </w:t>
      </w:r>
      <w:r>
        <w:rPr>
          <w:rFonts w:ascii="Times New Roman" w:hAnsi="Times New Roman"/>
        </w:rPr>
        <w:tab/>
        <w:t xml:space="preserve">general framework for equal treatment in employment and occupation (‘Employment Equality </w:t>
      </w:r>
      <w:r>
        <w:rPr>
          <w:rFonts w:ascii="Times New Roman" w:hAnsi="Times New Roman"/>
        </w:rPr>
        <w:tab/>
        <w:t>Directive’), 17 January 2014, COM(2014) 2 final.</w:t>
      </w:r>
    </w:p>
  </w:footnote>
  <w:footnote w:id="5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Communication from the Commission to the European Parliament, the Council, the European </w:t>
      </w:r>
      <w:r>
        <w:rPr>
          <w:rFonts w:ascii="Times New Roman" w:hAnsi="Times New Roman"/>
        </w:rPr>
        <w:tab/>
        <w:t xml:space="preserve">Economic and Social Committee and the Committee of the Regions, EU Justice Agenda for 2020 </w:t>
      </w:r>
      <w:r>
        <w:rPr>
          <w:rFonts w:ascii="Times New Roman" w:hAnsi="Times New Roman"/>
        </w:rPr>
        <w:tab/>
        <w:t>– Strengthening trust, mobility and growth within the Union, C(2014)144 final, 11 March 2014.</w:t>
      </w:r>
    </w:p>
  </w:footnote>
  <w:footnote w:id="54">
    <w:p>
      <w:pPr>
        <w:pStyle w:val="FootnoteText"/>
        <w:jc w:val="both"/>
        <w:rPr>
          <w:rFonts w:ascii="Times New Roman" w:hAnsi="Times New Roman"/>
          <w:sz w:val="18"/>
          <w:szCs w:val="18"/>
        </w:rPr>
      </w:pPr>
      <w:r>
        <w:rPr>
          <w:rStyle w:val="FootnoteReference"/>
        </w:rPr>
        <w:footnoteRef/>
      </w:r>
      <w:r>
        <w:tab/>
      </w:r>
      <w:r>
        <w:rPr>
          <w:rFonts w:ascii="Times New Roman" w:hAnsi="Times New Roman"/>
          <w:sz w:val="18"/>
          <w:szCs w:val="18"/>
        </w:rPr>
        <w:t xml:space="preserve">C-318/13, </w:t>
      </w:r>
      <w:r>
        <w:rPr>
          <w:rFonts w:ascii="Times New Roman" w:hAnsi="Times New Roman"/>
          <w:i/>
          <w:sz w:val="18"/>
          <w:szCs w:val="18"/>
        </w:rPr>
        <w:t>Proceedings brought by X</w:t>
      </w:r>
      <w:r>
        <w:rPr>
          <w:rFonts w:ascii="Times New Roman" w:hAnsi="Times New Roman"/>
          <w:sz w:val="18"/>
          <w:szCs w:val="18"/>
        </w:rPr>
        <w:t>, 3 September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24347"/>
    <w:multiLevelType w:val="hybridMultilevel"/>
    <w:tmpl w:val="92FEB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41956508DE745FBAB3A97A3D59E3B79"/>
    <w:docVar w:name="LW_CROSSREFERENCE" w:val="&lt;UNUSED&gt;"/>
    <w:docVar w:name="LW_DocType" w:val="NORMAL"/>
    <w:docVar w:name="LW_EMISSION" w:val="5.5.2015"/>
    <w:docVar w:name="LW_EMISSION_ISODATE" w:val="2015-05-05"/>
    <w:docVar w:name="LW_EMISSION_LOCATION" w:val="BRX"/>
    <w:docVar w:name="LW_EMISSION_PREFIX" w:val="Brussels, "/>
    <w:docVar w:name="LW_EMISSION_SUFFIX" w:val=" "/>
    <w:docVar w:name="LW_ID_DOCTYPE_NONLW" w:val="CP-007"/>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190"/>
    <w:docVar w:name="LW_REF.INTERNE" w:val="&lt;UNUSED&gt;"/>
    <w:docVar w:name="LW_SOUS.TITRE.OBJ.CP" w:val="&lt;UNUSED&gt;"/>
    <w:docVar w:name="LW_SUPERTITRE" w:val="&lt;UNUSED&gt;"/>
    <w:docVar w:name="LW_TITRE.OBJ.CP" w:val="Report on the application of Council Directive 2004/113/EC implementing the principle of equal treatment between men and women in the access to and supply of goods and services"/>
    <w:docVar w:name="LW_TYPE.DOC.CP" w:val="REPORT FROM THE COMMISSION TO THE EUROPEAN PARLIAMENT, THE COUNCIL AND THE EUROPEAN ECONOMIC AND SOCIAL COMMITTE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nece,Footnote Reference Superscript,Footnote Reference text,Footnote symbol,Voetnootverwijzing,footnote ref,FR,Fußnotenzeichen diss neu,Times 10 Point,Exposant 3 Point, Exposant 3 Point,Odwołanie przypisu,ftref,BVI fnr,F"/>
    <w:semiHidden/>
    <w:rPr>
      <w:sz w:val="20"/>
      <w:szCs w:val="20"/>
      <w:vertAlign w:val="superscript"/>
    </w:rPr>
  </w:style>
  <w:style w:type="character" w:styleId="CommentReference">
    <w:name w:val="annotation reference"/>
    <w:semiHidden/>
    <w:unhideWhenUsed/>
    <w:rPr>
      <w:sz w:val="16"/>
      <w:szCs w:val="16"/>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nece,Footnote Reference Superscript,Footnote Reference text,Footnote symbol,Voetnootverwijzing,footnote ref,FR,Fußnotenzeichen diss neu,Times 10 Point,Exposant 3 Point, Exposant 3 Point,Odwołanie przypisu,ftref,BVI fnr,F"/>
    <w:semiHidden/>
    <w:rPr>
      <w:sz w:val="20"/>
      <w:szCs w:val="20"/>
      <w:vertAlign w:val="superscript"/>
    </w:rPr>
  </w:style>
  <w:style w:type="character" w:styleId="CommentReference">
    <w:name w:val="annotation reference"/>
    <w:semiHidden/>
    <w:unhideWhenUsed/>
    <w:rPr>
      <w:sz w:val="16"/>
      <w:szCs w:val="16"/>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ookshop.europa.eu/en/trans-and-%09intersex-people-pbDS3212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B3AC1-EF85-45DF-9335-5A6E3AA6A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5007</Words>
  <Characters>26538</Characters>
  <Application>Microsoft Office Word</Application>
  <DocSecurity>0</DocSecurity>
  <Lines>408</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2015-03-19T14:31:00Z</cp:lastPrinted>
  <dcterms:created xsi:type="dcterms:W3CDTF">2015-03-19T16:22:00Z</dcterms:created>
  <dcterms:modified xsi:type="dcterms:W3CDTF">2015-05-04T13:40:00Z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