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6A453398C85412CA68599D493299F1D" style="width:450.75pt;height:393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spacing w:after="0"/>
        <w:rPr>
          <w:bCs/>
          <w:noProof/>
          <w:color w:val="000000"/>
        </w:rPr>
      </w:pPr>
      <w:r>
        <w:rPr>
          <w:noProof/>
          <w:color w:val="000000"/>
        </w:rPr>
        <w:t xml:space="preserve">През 2003 г. Световната здравна асамблея прие Рамковата конвенция за контрол на тютюна (РККТ), която е насочена към всеобхватно намаляване на свързаните с тютюна смъртност и заболявания по света. </w:t>
      </w:r>
      <w:r>
        <w:rPr>
          <w:noProof/>
        </w:rPr>
        <w:t>ЕС одобри сключването на РККТ с Решение 2004/513/EО на Съвета от 2 юни 2004 г (</w:t>
      </w:r>
      <w:r>
        <w:rPr>
          <w:rStyle w:val="FootnoteReference"/>
          <w:noProof/>
        </w:rPr>
        <w:footnoteReference w:id="1"/>
      </w:r>
      <w:r>
        <w:rPr>
          <w:noProof/>
        </w:rPr>
        <w:t>).</w:t>
      </w:r>
    </w:p>
    <w:p>
      <w:pPr>
        <w:rPr>
          <w:noProof/>
          <w:color w:val="000000"/>
        </w:rPr>
      </w:pPr>
      <w:r>
        <w:rPr>
          <w:noProof/>
        </w:rPr>
        <w:t>РККТ отчита в своя член 15, че премахването на незаконната търговия с тютюневи изделия, включително контрабандата, незаконното производство и подправянето, е съществен елемент на контрола върху тютюна, и задължава страните да приемат и прилагат ефективни мерки за премахване на незаконната търговия. Член 33 от РККТ предвижда възможността за Конференцията на страните да приема протоколи към Конвенцията. Въз основа на тези членове на втората си сесия през юни—юли 2007 г. Конференцията на страните (КС) по РККТ реши да създаде Междуправителствен орган за преговори (МОП), който да изготви и договори Протокол за премахване на незаконната търговия с тютюневи изделия (наричан по-долу „Протоколът“). МОП приключи успешно работата си и Конференцията на страните по РККТ прие Протокола на петото си заседание на 12 ноември 2012 г. в Сеул, Република Корея.</w:t>
      </w:r>
    </w:p>
    <w:p>
      <w:pPr>
        <w:rPr>
          <w:bCs/>
          <w:noProof/>
          <w:color w:val="000000"/>
        </w:rPr>
      </w:pPr>
      <w:r>
        <w:rPr>
          <w:noProof/>
          <w:color w:val="000000"/>
        </w:rPr>
        <w:t xml:space="preserve">Незаконната търговия с тютюневи изделия, по-конкретно контрабандата на цигари в ЕС и в рамките на ЕС, е престъпна дейност, причиняваща огромни загуби на приходи за ЕС и държавите членки по отношение на неплатени данъци и мита. Според изчисленията загубите на приходи за ЕС и държавите членки възлизат на повече от 10 млрд. евро годишно. Повечето държави — членки на ЕС, са засегнати от незаконната търговия с тютюневи изделия като точки на влизане или транзитно преминаване или като държави на местоназначение. Тъй като незаконните продукти са с произход предимно от държави извън ЕС, международното сътрудничество, основано и на ясни законодателни процедури, е от ключово значение за справяне с проблема с незаконната търговия. Протоколът към РККТ е международно споразумение, което развива и допълва член 15 от РККТ, и в момента представлява единствената многостранната регулаторна инициатива в тази област. Комисията участваше в преговорите по Протокола към РККТ от името на Европейския съюз. </w:t>
      </w:r>
    </w:p>
    <w:p>
      <w:pPr>
        <w:rPr>
          <w:bCs/>
          <w:noProof/>
          <w:color w:val="000000"/>
        </w:rPr>
      </w:pPr>
      <w:r>
        <w:rPr>
          <w:noProof/>
        </w:rPr>
        <w:t>ЕС подписа Протокола към РККТ на 20 декември 2013 г</w:t>
      </w:r>
      <w:r>
        <w:rPr>
          <w:rStyle w:val="FootnoteReference"/>
          <w:noProof/>
        </w:rPr>
        <w:footnoteReference w:id="2"/>
      </w:r>
      <w:r>
        <w:rPr>
          <w:noProof/>
        </w:rPr>
        <w:t>.</w:t>
      </w:r>
      <w:r>
        <w:rPr>
          <w:noProof/>
          <w:color w:val="000000"/>
        </w:rPr>
        <w:t xml:space="preserve"> Настоящото предложение се отнася до втората стъпка, с която ЕС ще установи на международно равнище съгласието си да бъде напълно обвързан с Протокола към РККТ. </w:t>
      </w:r>
    </w:p>
    <w:p>
      <w:pPr>
        <w:ind w:right="1"/>
        <w:rPr>
          <w:noProof/>
          <w:szCs w:val="20"/>
        </w:rPr>
      </w:pPr>
      <w:r>
        <w:rPr>
          <w:noProof/>
        </w:rPr>
        <w:t xml:space="preserve">Протоколът се състои от основни разпоредби относно контрола на веригата на доставки на тютюневи изделия и на оборудване за производство на тези изделия (част III: „Контрол на веригата на доставки“). По-специално, той изисква въвеждането на лицензиране, на еквивалентно одобрение или на система на контрол от компетентен орган по отношение на всяко физическо или юридическо лице, което участва в производството и във вноса и износа на тютюневи изделия и производствено оборудване (член 6 „Лицензиране“). Освен това Протоколът изисква всички физически и юридически лица, които участват във веригата на доставки на тютюн, тютюневи изделия и производствено оборудване, да извършват надлежна проверка по отношение </w:t>
      </w:r>
      <w:r>
        <w:rPr>
          <w:noProof/>
        </w:rPr>
        <w:lastRenderedPageBreak/>
        <w:t>на своите клиенти (член 7 „Надлежна проверка“). Той също предвижда в срок от пет години от датата на влизане в сила на Протокола да се създаде глобален режим за следене и проследяване, който да се състои от контролирани от страните национални и/или регионални системи за следене и проследяване на всички тютюневи изделия, произведени или внесени на тяхна територия (член 8 „Следене и проследяване“).</w:t>
      </w:r>
    </w:p>
    <w:p>
      <w:pPr>
        <w:tabs>
          <w:tab w:val="center" w:pos="4536"/>
        </w:tabs>
        <w:ind w:right="1"/>
        <w:rPr>
          <w:noProof/>
          <w:szCs w:val="20"/>
        </w:rPr>
      </w:pPr>
      <w:r>
        <w:rPr>
          <w:noProof/>
        </w:rPr>
        <w:t xml:space="preserve">Тези членове са допълнени с разпоредби относно отчетната документация и мерките за сигурност и превенция, включително мерките срещу изпирането на пари, както и относно докладването на подозрителни трансакции (членове 9 и 10). Допълнителни разпоредби се отнасят за продажбите по интернет и чрез телекомуникационни или други развиващи се технологии (член 11), за безмитните продажби на тютюневи изделия и за задължението за прилагане на ефективни мерки за контрол върху тютюна и тютюневите изделия в свободните зони, включително забраната за смесване на тютюневи изделия с други изделия при извозването им от свободна зона (член 12). </w:t>
      </w:r>
    </w:p>
    <w:p>
      <w:pPr>
        <w:tabs>
          <w:tab w:val="center" w:pos="4536"/>
        </w:tabs>
        <w:ind w:right="1"/>
        <w:rPr>
          <w:noProof/>
          <w:szCs w:val="20"/>
        </w:rPr>
      </w:pPr>
      <w:r>
        <w:rPr>
          <w:noProof/>
        </w:rPr>
        <w:t xml:space="preserve">В част IV на Протокола се определят деянията, които да бъдат определени като неправомерни в законодателството на страните (член 14), и страните се задължават да гарантират, че физическите и юридическите лица носят отговорност за тези неправомерни деяния, включително престъпленията (членове 15 и 16). Допълнителни разпоредби се отнасят до плащанията при задържане (член 17), до третирането на конфискувания тютюн (член 18) и до специалните методи на разследване (член 19). В част V на Протокола се съдържат разпоредби за обмена на съответна информация между страните (членове 20—22), за сътрудничеството и взаимопомощта (както административна, така и правна във връзка с наказателноправни въпроси — членове 23 и 24 и членове 27—29), за компетентността (член 26) и за екстрадицията (членове 30 и 31). </w:t>
      </w:r>
    </w:p>
    <w:p>
      <w:pPr>
        <w:pStyle w:val="ManualHeading1"/>
        <w:rPr>
          <w:noProof/>
        </w:rPr>
      </w:pPr>
      <w:r>
        <w:rPr>
          <w:noProof/>
        </w:rPr>
        <w:t>2.</w:t>
      </w:r>
      <w:r>
        <w:rPr>
          <w:noProof/>
        </w:rPr>
        <w:tab/>
        <w:t>ПРАВНИ ЕЛЕМЕНТИ НА ПРЕДЛОЖЕНИЕТО</w:t>
      </w:r>
    </w:p>
    <w:p>
      <w:pPr>
        <w:rPr>
          <w:noProof/>
        </w:rPr>
      </w:pPr>
      <w:r>
        <w:rPr>
          <w:noProof/>
        </w:rPr>
        <w:t xml:space="preserve">Протоколът съдържа комплексен набор от мерки, правила и политики в областта на борбата с незаконната търговия с тютюневи изделия, обобщени в раздел 1. Основните задължения, които ще трябва да се прилагат или изпълняват в ЕС и/или държавите членки, считано от датата на влизане в сила на Протокола или на по-късен етап, в рамките на периодите, предвидени в Протокола, се съдържат в членове 6, 7, 8, 9, 11, 12, 13, 14, 15, 18 и 27 от Протокола. От тези разпоредби, членове 7, 14 и 27 от Протокола отчасти или изцяло попадат в областите на съдебното сътрудничество по наказателноправни въпроси, определението за престъпления и полицейското сътрудничество, които са обхванати от членове 83 и 87 от ДФЕС </w:t>
      </w:r>
    </w:p>
    <w:p>
      <w:pPr>
        <w:rPr>
          <w:noProof/>
        </w:rPr>
      </w:pPr>
      <w:r>
        <w:rPr>
          <w:noProof/>
        </w:rPr>
        <w:t>Протоколът съдържа също разпоредби относно определянето на неправомерните деяния, които могат да бъдат определени от страните като нарушение или като престъпление, включително определянето на отговорността на физическите и юридическите лица. Що се отнася до престъпленията, ЕС има компетентност в тази област въз основа на член 83 от ДФЕС. Списъкът на неправомерните деяния включва също така изпирането на приходите, получени от неправомерните деяния, определени като престъпление. Съгласно Рамково решение 2001/500/ПВР на Съвета</w:t>
      </w:r>
      <w:r>
        <w:rPr>
          <w:rStyle w:val="FootnoteReference"/>
          <w:noProof/>
        </w:rPr>
        <w:footnoteReference w:id="3"/>
      </w:r>
      <w:r>
        <w:rPr>
          <w:noProof/>
        </w:rPr>
        <w:t xml:space="preserve"> от 26 юни 2001 г. относно прането на пари, идентифицирането, проследяването, замразяването, изземването и конфискацията на средствата и приходите от престъпна дейност </w:t>
      </w:r>
      <w:r>
        <w:rPr>
          <w:noProof/>
        </w:rPr>
        <w:lastRenderedPageBreak/>
        <w:t>държавите членки гарантират, че някои престъпления, свързани с изпирането на пари, се наказват с наказателни санкции.</w:t>
      </w:r>
    </w:p>
    <w:p>
      <w:pPr>
        <w:autoSpaceDE w:val="0"/>
        <w:autoSpaceDN w:val="0"/>
        <w:adjustRightInd w:val="0"/>
        <w:spacing w:before="0" w:after="0"/>
        <w:rPr>
          <w:noProof/>
        </w:rPr>
      </w:pPr>
      <w:r>
        <w:rPr>
          <w:noProof/>
        </w:rPr>
        <w:t>Протоколът съдържа мерки в областта на съдебното сътрудничество по наказателноправни въпроси (правна взаимопомощ и екстрадиция). ЕС разполага с компетентност в тази област въз основа на член 82, параграф 1 от ДФЕС и в тази област вече съществуват редица мерки на ЕС, които ще улеснят прилагането на съответните разпоредби на Протокола.</w:t>
      </w:r>
    </w:p>
    <w:p>
      <w:pPr>
        <w:rPr>
          <w:noProof/>
        </w:rPr>
      </w:pPr>
      <w:r>
        <w:rPr>
          <w:noProof/>
        </w:rPr>
        <w:t>Протоколът предвижда мерки за полицейско и митническо сътрудничество по наказателноправни въпроси, които попадат в обхвата на компетентността на ЕС въз основа на член 87, параграф 2 от ДФЕС, и в тази област вече съществуват редица мерки на ЕС, които ще улеснят прилагането на съответните разпоредби на Протокола.</w:t>
      </w:r>
    </w:p>
    <w:p>
      <w:pPr>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 xml:space="preserve"> </w:t>
      </w:r>
      <w:r>
        <w:rPr>
          <w:noProof/>
          <w:spacing w:val="-4"/>
        </w:rPr>
        <w:t>Следователно член 82, параграф 1, член 83 и член 87, параграф 2 представляват правното основание съгласно дял V от част III на ДФЕС за подписването на Протокола от ЕС</w:t>
      </w:r>
      <w:r>
        <w:rPr>
          <w:noProof/>
        </w:rPr>
        <w:t>.</w:t>
      </w:r>
    </w:p>
    <w:p>
      <w:pPr>
        <w:pStyle w:val="Rfrenceinterinstitutionnelle"/>
        <w:rPr>
          <w:noProof/>
        </w:rPr>
      </w:pPr>
      <w:r>
        <w:rPr>
          <w:noProof/>
        </w:rPr>
        <w:lastRenderedPageBreak/>
        <w:t>2015/0100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сключването от името на Европейския съюз на Протокола за премахване на незаконната търговия с тютюневи изделия към Рамковата конвенция на Световната здравна организация за контрол на тютюна, що се отнася до разпоредбите на Протокола, които попадат в обхвата на дял V от част III на Договора за функционирането на Европейския съюз</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82, параграф 1, член 83 и член 87, параграф 2, във връзка с член 218, параграф 6, буква а) от него,</w:t>
      </w:r>
    </w:p>
    <w:p>
      <w:pPr>
        <w:rPr>
          <w:noProof/>
        </w:rPr>
      </w:pPr>
      <w:r>
        <w:rPr>
          <w:noProof/>
        </w:rPr>
        <w:t>като взе предвид предложението на Европейската комисия,</w:t>
      </w:r>
    </w:p>
    <w:p>
      <w:pPr>
        <w:rPr>
          <w:noProof/>
        </w:rPr>
      </w:pPr>
      <w:r>
        <w:rPr>
          <w:noProof/>
        </w:rPr>
        <w:t>като взе предвид становището на Европейския парламент,</w:t>
      </w:r>
    </w:p>
    <w:p>
      <w:pPr>
        <w:rPr>
          <w:noProof/>
        </w:rPr>
      </w:pPr>
      <w:r>
        <w:rPr>
          <w:noProof/>
        </w:rPr>
        <w:t>като има предвид, че:</w:t>
      </w:r>
    </w:p>
    <w:p>
      <w:pPr>
        <w:pStyle w:val="ManualConsidrant"/>
        <w:rPr>
          <w:noProof/>
        </w:rPr>
      </w:pPr>
      <w:r>
        <w:t>(1)</w:t>
      </w:r>
      <w:r>
        <w:tab/>
      </w:r>
      <w:r>
        <w:rPr>
          <w:noProof/>
        </w:rPr>
        <w:t>Сключването на Рамковата конвенция за контрол на тютюна (РККТ) беше одобрено от името на Общността с Решение № 2004/513/ЕО на Съвета относно сключването на Рамковата конвенция на Световната здравна организация (СЗО) за контрол на тютюна</w:t>
      </w:r>
      <w:r>
        <w:rPr>
          <w:rStyle w:val="FootnoteReference"/>
          <w:noProof/>
        </w:rPr>
        <w:footnoteReference w:id="4"/>
      </w:r>
      <w:r>
        <w:rPr>
          <w:noProof/>
        </w:rPr>
        <w:t>.</w:t>
      </w:r>
    </w:p>
    <w:p>
      <w:pPr>
        <w:pStyle w:val="ManualConsidrant"/>
        <w:rPr>
          <w:noProof/>
        </w:rPr>
      </w:pPr>
      <w:r>
        <w:t>(2)</w:t>
      </w:r>
      <w:r>
        <w:tab/>
      </w:r>
      <w:r>
        <w:rPr>
          <w:noProof/>
        </w:rPr>
        <w:t>В съответствие с решения на Съвета 2013/744/ЕС</w:t>
      </w:r>
      <w:r>
        <w:rPr>
          <w:rStyle w:val="FootnoteReference"/>
          <w:noProof/>
        </w:rPr>
        <w:footnoteReference w:id="5"/>
      </w:r>
      <w:r>
        <w:rPr>
          <w:noProof/>
        </w:rPr>
        <w:t xml:space="preserve"> и 2013/745/ЕС</w:t>
      </w:r>
      <w:r>
        <w:rPr>
          <w:rStyle w:val="FootnoteReference"/>
          <w:noProof/>
        </w:rPr>
        <w:footnoteReference w:id="6"/>
      </w:r>
      <w:r>
        <w:rPr>
          <w:noProof/>
        </w:rPr>
        <w:t xml:space="preserve"> Протоколът за премахване на незаконната търговия с тютюневи изделия към Рамковата конвенция на Световната здравна организация за контрол на тютюна беше подписан на 20 декември 2013 г., при условие за сключването му на по-късна дата. </w:t>
      </w:r>
    </w:p>
    <w:p>
      <w:pPr>
        <w:pStyle w:val="ManualConsidrant"/>
        <w:rPr>
          <w:noProof/>
        </w:rPr>
      </w:pPr>
      <w:r>
        <w:t>(3)</w:t>
      </w:r>
      <w:r>
        <w:tab/>
      </w:r>
      <w:r>
        <w:rPr>
          <w:noProof/>
        </w:rPr>
        <w:t xml:space="preserve"> Протоколът представлява значителен принос към международните усилия за премахване на всички форми на незаконна търговия с тютюневи изделия, като по този начин се води борба с избягването на данъчните и митническите </w:t>
      </w:r>
      <w:r>
        <w:rPr>
          <w:noProof/>
        </w:rPr>
        <w:lastRenderedPageBreak/>
        <w:t xml:space="preserve">задължения и се допринася за намаляване на доставките на тютюневи изделия в съответствие с член 15 от Рамковата конвенция на СЗО за контрол на тютюна. Протоколът допринася също за безпрепятственото функциониране на вътрешния пазар на тютюневи продукти, като същевременно се гарантира високо ниво на защита на общественото здраве. </w:t>
      </w:r>
    </w:p>
    <w:p>
      <w:pPr>
        <w:pStyle w:val="ManualConsidrant"/>
        <w:rPr>
          <w:noProof/>
        </w:rPr>
      </w:pPr>
      <w:r>
        <w:t>(4)</w:t>
      </w:r>
      <w:r>
        <w:tab/>
      </w:r>
      <w:r>
        <w:rPr>
          <w:noProof/>
        </w:rPr>
        <w:t>Протоколът следва да бъде одобрен от името на Европейския съюз.</w:t>
      </w:r>
    </w:p>
    <w:p>
      <w:pPr>
        <w:pStyle w:val="ManualConsidrant"/>
        <w:rPr>
          <w:noProof/>
        </w:rPr>
      </w:pPr>
      <w:r>
        <w:t>(5)</w:t>
      </w:r>
      <w:r>
        <w:tab/>
      </w:r>
      <w:r>
        <w:rPr>
          <w:noProof/>
        </w:rPr>
        <w:t>В съответствие с членове 1 и 2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 без да се засяга член 4 от същия протокол, тези държави членки не участват в приемането на настоящото решение и не са обвързани от него, нито от неговото прилагане.</w:t>
      </w:r>
    </w:p>
    <w:p>
      <w:pPr>
        <w:pStyle w:val="ManualConsidrant"/>
        <w:rPr>
          <w:noProof/>
        </w:rPr>
      </w:pPr>
      <w:r>
        <w:t>(6)</w:t>
      </w:r>
      <w:r>
        <w:tab/>
      </w: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w:t>
      </w:r>
    </w:p>
    <w:p>
      <w:pPr>
        <w:pStyle w:val="ManualConsidrant"/>
        <w:rPr>
          <w:noProof/>
        </w:rPr>
      </w:pPr>
      <w:r>
        <w:t>(7)</w:t>
      </w:r>
      <w:r>
        <w:tab/>
      </w:r>
      <w:r>
        <w:rPr>
          <w:noProof/>
        </w:rPr>
        <w:t>Решение .../.../ЕС на Съвета</w:t>
      </w:r>
      <w:r>
        <w:rPr>
          <w:rStyle w:val="FootnoteReference"/>
          <w:noProof/>
        </w:rPr>
        <w:footnoteReference w:id="7"/>
      </w:r>
      <w:r>
        <w:rPr>
          <w:noProof/>
        </w:rPr>
        <w:t xml:space="preserve"> [</w:t>
      </w:r>
      <w:r>
        <w:rPr>
          <w:i/>
          <w:noProof/>
        </w:rPr>
        <w:t>относно сключването на Протокол/и относно разпоредби, които не попадат в обхвата на дял V от част III на ДФЕС</w:t>
      </w:r>
      <w:r>
        <w:rPr>
          <w:noProof/>
        </w:rPr>
        <w:t>] се отнася до сключването на Протокола, що се отнася до разпоредбите на Протокола, които не попадат в обхвата на дял V от част III на Договора за функционирането на Европейския съюз,</w:t>
      </w:r>
    </w:p>
    <w:p>
      <w:pPr>
        <w:pStyle w:val="ManualConsidrant"/>
        <w:ind w:left="0" w:firstLine="0"/>
        <w:rPr>
          <w:noProof/>
        </w:rPr>
      </w:pPr>
    </w:p>
    <w:p>
      <w:pPr>
        <w:pStyle w:val="Formuledadoption"/>
        <w:rPr>
          <w:noProof/>
        </w:rPr>
      </w:pPr>
      <w:r>
        <w:rPr>
          <w:noProof/>
        </w:rPr>
        <w:t xml:space="preserve">ПРИЕ НАСТОЯЩОТО РЕШЕНИЕ: </w:t>
      </w:r>
    </w:p>
    <w:p>
      <w:pPr>
        <w:pStyle w:val="Titrearticle"/>
        <w:rPr>
          <w:noProof/>
        </w:rPr>
      </w:pPr>
      <w:r>
        <w:rPr>
          <w:noProof/>
        </w:rPr>
        <w:t>Член 1</w:t>
      </w:r>
    </w:p>
    <w:p>
      <w:pPr>
        <w:autoSpaceDE w:val="0"/>
        <w:autoSpaceDN w:val="0"/>
        <w:adjustRightInd w:val="0"/>
        <w:spacing w:before="0" w:after="0"/>
        <w:jc w:val="left"/>
        <w:rPr>
          <w:noProof/>
        </w:rPr>
      </w:pPr>
      <w:r>
        <w:rPr>
          <w:noProof/>
        </w:rPr>
        <w:t>Протоколът за премахване на незаконната търговия с тютюневи изделия към Рамковата конвенция на СЗО за контрол на тютюна се одобрява от името на Европейския съюз.</w:t>
      </w:r>
    </w:p>
    <w:p>
      <w:pPr>
        <w:rPr>
          <w:noProof/>
        </w:rPr>
      </w:pPr>
    </w:p>
    <w:p>
      <w:pPr>
        <w:rPr>
          <w:noProof/>
        </w:rPr>
      </w:pPr>
      <w:r>
        <w:rPr>
          <w:noProof/>
        </w:rPr>
        <w:t>Текстът на Протокола е приложен към настоящото решение.</w:t>
      </w:r>
    </w:p>
    <w:p>
      <w:pPr>
        <w:pStyle w:val="Titrearticle"/>
        <w:rPr>
          <w:noProof/>
        </w:rPr>
      </w:pPr>
      <w:r>
        <w:rPr>
          <w:noProof/>
        </w:rPr>
        <w:t>Член 2</w:t>
      </w:r>
    </w:p>
    <w:p>
      <w:pPr>
        <w:rPr>
          <w:noProof/>
        </w:rPr>
      </w:pPr>
      <w:r>
        <w:rPr>
          <w:noProof/>
        </w:rPr>
        <w:t xml:space="preserve">Настоящото решение се прилага за разпоредбите на Протокола, които попадат в обхвата на дял V от част III на Договора за функционирането на Европейския съюз. </w:t>
      </w:r>
    </w:p>
    <w:p>
      <w:pPr>
        <w:pStyle w:val="Titrearticle"/>
        <w:keepNext w:val="0"/>
        <w:rPr>
          <w:noProof/>
        </w:rPr>
      </w:pPr>
      <w:r>
        <w:rPr>
          <w:noProof/>
        </w:rPr>
        <w:t>Член 3</w:t>
      </w:r>
    </w:p>
    <w:p>
      <w:pPr>
        <w:autoSpaceDE w:val="0"/>
        <w:autoSpaceDN w:val="0"/>
        <w:adjustRightInd w:val="0"/>
        <w:spacing w:before="0" w:after="0"/>
        <w:jc w:val="left"/>
        <w:rPr>
          <w:noProof/>
        </w:rPr>
      </w:pPr>
      <w:r>
        <w:rPr>
          <w:noProof/>
        </w:rPr>
        <w:t>Председателят на Съвета посочва лицето, упълномощено да обяви от името на Съюза официалното одобрение на Протокола, предвидено в член 44, параграф 1 от Протокола, за да се изрази съгласието на Европейския съюз да бъде обвързан с Протокола.</w:t>
      </w:r>
    </w:p>
    <w:p>
      <w:pPr>
        <w:pStyle w:val="Titrearticle"/>
        <w:rPr>
          <w:noProof/>
        </w:rPr>
      </w:pPr>
      <w:r>
        <w:rPr>
          <w:noProof/>
        </w:rPr>
        <w:lastRenderedPageBreak/>
        <w:t>Член 4</w:t>
      </w:r>
    </w:p>
    <w:p>
      <w:pPr>
        <w:keepNext/>
        <w:keepLines/>
        <w:rPr>
          <w:noProof/>
        </w:rPr>
      </w:pPr>
      <w:r>
        <w:rPr>
          <w:noProof/>
        </w:rPr>
        <w:t xml:space="preserve">Настоящото решение влиза в сила в деня на публикуването му в </w:t>
      </w:r>
      <w:r>
        <w:rPr>
          <w:i/>
          <w:noProof/>
        </w:rPr>
        <w:t>Официален вестник на Европейския съюз</w:t>
      </w:r>
      <w:r>
        <w:rPr>
          <w:noProof/>
        </w:rPr>
        <w:t>.</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ОВ L 312, 15.6.2004 г., стр. 8. </w:t>
      </w:r>
    </w:p>
  </w:footnote>
  <w:footnote w:id="2">
    <w:p>
      <w:pPr>
        <w:pStyle w:val="FootnoteText"/>
      </w:pPr>
      <w:r>
        <w:rPr>
          <w:rStyle w:val="FootnoteReference"/>
        </w:rPr>
        <w:footnoteRef/>
      </w:r>
      <w:r>
        <w:tab/>
        <w:t>Подписването бе разрешено с решения на Съвета 2013/744/ЕС и 2013/745/ЕС, публикувани в ОВ L 333, 12.12.2013 г., стр. 73 и стр. 75.</w:t>
      </w:r>
    </w:p>
  </w:footnote>
  <w:footnote w:id="3">
    <w:p>
      <w:pPr>
        <w:pStyle w:val="FootnoteText"/>
      </w:pPr>
      <w:r>
        <w:rPr>
          <w:rStyle w:val="FootnoteReference"/>
        </w:rPr>
        <w:footnoteRef/>
      </w:r>
      <w:r>
        <w:tab/>
        <w:t>ОВ L 172, 5.7.2001 г., стр. 1.</w:t>
      </w:r>
    </w:p>
  </w:footnote>
  <w:footnote w:id="4">
    <w:p>
      <w:pPr>
        <w:pStyle w:val="FootnoteText"/>
      </w:pPr>
      <w:r>
        <w:rPr>
          <w:rStyle w:val="FootnoteReference"/>
        </w:rPr>
        <w:footnoteRef/>
      </w:r>
      <w:r>
        <w:tab/>
        <w:t xml:space="preserve">Решение на Съвета от 2 юни 2004 г. относно сключването на Рамковата конвенция на Световната здравна организация (СЗО) за контрол на тютюна (ОВ L 213, 15.6.2004 г., стр. 8). </w:t>
      </w:r>
    </w:p>
  </w:footnote>
  <w:footnote w:id="5">
    <w:p>
      <w:pPr>
        <w:pStyle w:val="FootnoteText"/>
        <w:rPr>
          <w:lang w:val="sk-SK"/>
        </w:rPr>
      </w:pPr>
      <w:r>
        <w:rPr>
          <w:rStyle w:val="FootnoteReference"/>
        </w:rPr>
        <w:footnoteRef/>
      </w:r>
      <w:r>
        <w:tab/>
        <w:t>Решение 2013/744/ЕС на Съвета от 9 декември 2013 г. за подписване, от името на Европейския съюз, на Протокола за премахване на незаконната търговия с тютюневи изделия към Рамковата конвенция на Световната здравна организация за контрол на тютюна, по отношение на неговите разпоредби за задълженията, свързани със съдебното сътрудничество по наказателноправни въпроси, определението за престъпления и полицейското сътрудничество (OВ L 333, 12.12.2013 г., стр. 73).</w:t>
      </w:r>
    </w:p>
  </w:footnote>
  <w:footnote w:id="6">
    <w:p>
      <w:pPr>
        <w:pStyle w:val="FootnoteText"/>
        <w:rPr>
          <w:lang w:val="sk-SK"/>
        </w:rPr>
      </w:pPr>
      <w:r>
        <w:rPr>
          <w:rStyle w:val="FootnoteReference"/>
        </w:rPr>
        <w:footnoteRef/>
      </w:r>
      <w:r>
        <w:rPr>
          <w:lang w:val="sk-SK"/>
        </w:rPr>
        <w:tab/>
        <w:t>Решение 2013/745/ЕС на Съвета от 9 декември 2013 г. за подписване, от името на Европейския съюз, на Протокола за премахване на незаконната търговия с тютюневи изделия към Рамковата конвенция на Световната здравна организация за контрол на тютюна, с изключение на неговите разпоредби за задълженията, свързани със съдебното сътрудничество по наказателноправни въпроси, определението за престъпления и полицейското сътрудничество (OВ L 333, 12.12.2013 г., стр. 75).</w:t>
      </w:r>
    </w:p>
  </w:footnote>
  <w:footnote w:id="7">
    <w:p>
      <w:pPr>
        <w:pStyle w:val="FootnoteText"/>
        <w:rPr>
          <w:lang w:val="sk-SK"/>
        </w:rPr>
      </w:pPr>
      <w:r>
        <w:rPr>
          <w:rStyle w:val="FootnoteReference"/>
        </w:rPr>
        <w:footnoteRef/>
      </w:r>
      <w:r>
        <w:rPr>
          <w:lang w:val="sk-SK"/>
        </w:rPr>
        <w:tab/>
        <w:t>Решение .../.../ЕС на Съвета относно сключването от името на Европейския съюз на Протокола за премахване на незаконната търговия с тютюневи изделия към Рамковата конвенция на Световната здравна организация за контрол на тютюна, що се отнася до разпоредбите на Протокола, които не попадат в обхвата на дял V от част III на Договора за функционирането на Европейския съюз (OВ L ..., ... г., стр.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8E6465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2BAD7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FAA38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A5ADA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BE251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C4C88A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79AD60A"/>
    <w:lvl w:ilvl="0">
      <w:start w:val="1"/>
      <w:numFmt w:val="decimal"/>
      <w:pStyle w:val="ListNumber"/>
      <w:lvlText w:val="%1."/>
      <w:lvlJc w:val="left"/>
      <w:pPr>
        <w:tabs>
          <w:tab w:val="num" w:pos="360"/>
        </w:tabs>
        <w:ind w:left="360" w:hanging="360"/>
      </w:pPr>
    </w:lvl>
  </w:abstractNum>
  <w:abstractNum w:abstractNumId="7">
    <w:nsid w:val="FFFFFF89"/>
    <w:multiLevelType w:val="singleLevel"/>
    <w:tmpl w:val="68F039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4-29 13:19: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66A453398C85412CA68599D493299F1D"/>
    <w:docVar w:name="LW_CROSSREFERENCE" w:val="&lt;UNUSED&gt;"/>
    <w:docVar w:name="LW_DocType" w:val="COM"/>
    <w:docVar w:name="LW_EMISSION" w:val="4.5.2015"/>
    <w:docVar w:name="LW_EMISSION_ISODATE" w:val="2015-05-04"/>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00"/>
    <w:docVar w:name="LW_REF.II.NEW.CP_YEAR" w:val="2015"/>
    <w:docVar w:name="LW_REF.INST.NEW" w:val="COM"/>
    <w:docVar w:name="LW_REF.INST.NEW_ADOPTED" w:val="final"/>
    <w:docVar w:name="LW_REF.INST.NEW_TEXT" w:val="(2015) 193"/>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9?\u1082?\u1083?\u1102?\u1095?\u1074?\u1072?\u1085?\u1077?\u1090?\u1086? \u1086?\u1090? \u1080?\u1084?\u1077?\u1090?\u1086? \u1085?\u1072? \u1045?\u1074?\u1088?\u1086?\u1087?\u1077?\u1081?\u1089?\u1082?\u1080?\u1103? \u1089?\u1098?\u1102?\u1079? \u1085?\u1072? \u1055?\u1088?\u1086?\u1090?\u1086?\u1082?\u1086?\u1083?\u1072? \u1079?\u1072? \u1087?\u1088?\u1077?\u1084?\u1072?\u1093?\u1074?\u1072?\u1085?\u1077? \u1085?\u1072? \u1085?\u1077?\u1079?\u1072?\u1082?\u1086?\u1085?\u1085?\u1072?\u1090?\u1072? \u1090?\u1098?\u1088?\u1075?\u1086?\u1074?\u1080?\u1103? \u1089? \u1090?\u1102?\u1090?\u1102?\u1085?\u1077?\u1074?\u1080? \u1080?\u1079?\u1076?\u1077?\u1083?\u1080?\u1103? \u1082?\u1098?\u1084? \u1056?\u1072?\u1084?\u1082?\u1086?\u1074?\u1072?\u1090?\u1072? \u1082?\u1086?\u1085?\u1074?\u1077?\u1085?\u1094?\u1080?\u1103? \u1085?\u1072? \u1057?\u1074?\u1077?\u1090?\u1086?\u1074?\u1085?\u1072?\u1090?\u1072? \u1079?\u1076?\u1088?\u1072?\u1074?\u1085?\u1072? \u1086?\u1088?\u1075?\u1072?\u1085?\u1080?\u1079?\u1072?\u1094?\u1080?\u1103? \u1079?\u1072? \u1082?\u1086?\u1085?\u1090?\u1088?\u1086?\u1083? \u1085?\u1072? \u1090?\u1102?\u1090?\u1102?\u1085?\u1072?, \u1097?\u1086? \u1089?\u1077? \u1086?\u1090?\u1085?\u1072?\u1089?\u1103? \u1076?\u1086? \u1088?\u1072?\u1079?\u1087?\u1086?\u1088?\u1077?\u1076?\u1073?\u1080?\u1090?\u1077? \u1085?\u1072? \u1055?\u1088?\u1086?\u1090?\u1086?\u1082?\u1086?\u1083?\u1072?, \u1082?\u1086?\u1080?\u1090?\u1086? \u1087?\u1086?\u1087?\u1072?\u1076?\u1072?\u1090? \u1074? \u1086?\u1073?\u1093?\u1074?\u1072?\u1090?\u1072? \u1085?\u1072? \u1076?\u1103?\u1083? V \u1086?\u1090? \u1095?\u1072?\u1089?\u1090? III \u1085?\u1072? \u1044?\u1086?\u1075?\u1086?\u1074?\u1086?\u1088?\u1072? \u1079?\u1072? \u1092?\u1091?\u1085?\u1082?\u1094?\u1080?\u1086?\u1085?\u1080?\u1088?\u1072?\u1085?\u1077?\u1090?\u1086? \u1085?\u1072? \u1045?\u1074?\u1088?\u1086?\u1087?\u1077?\u1081?\u1089?\u1082?\u1080?\u1103? \u1089?\u1098?\u1102?\u1079?"/>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88211">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A41BE-F2D0-43C4-B8F7-EDE6B6510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1687</Words>
  <Characters>9402</Characters>
  <Application>Microsoft Office Word</Application>
  <DocSecurity>0</DocSecurity>
  <Lines>170</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2015-04-13T06:40:00Z</cp:lastPrinted>
  <dcterms:created xsi:type="dcterms:W3CDTF">2015-04-28T13:49:00Z</dcterms:created>
  <dcterms:modified xsi:type="dcterms:W3CDTF">2015-04-29T11:19:00Z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02)</vt:lpwstr>
  </property>
</Properties>
</file>