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A909849EFE84CE082AB85330FA3F2CF" style="width:451.25pt;height:524.1pt">
            <v:imagedata r:id="rId9" o:title=""/>
          </v:shape>
        </w:pict>
      </w:r>
    </w:p>
    <w:p>
      <w:pPr>
        <w:rPr>
          <w:noProof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widowControl w:val="0"/>
        <w:autoSpaceDE w:val="0"/>
        <w:autoSpaceDN w:val="0"/>
        <w:adjustRightInd w:val="0"/>
        <w:spacing w:after="0"/>
        <w:rPr>
          <w:noProof/>
          <w:szCs w:val="24"/>
        </w:rPr>
      </w:pPr>
      <w:bookmarkStart w:id="0" w:name="_GoBack"/>
      <w:bookmarkEnd w:id="0"/>
      <w:r>
        <w:rPr>
          <w:noProof/>
          <w:szCs w:val="24"/>
        </w:rPr>
        <w:t xml:space="preserve">Европейският съюз (ЕС) представя в съответствие с член 44 от Протокола за премахване на незаконната търговия с тютюневи изделия към Рамковата конвенция на Световната здравна организация за контрол на тютюна („Протокол към РККТ“) следната декларация за компетентност, в която се посочват категориите и областите на политиката, по отношение на които държавите — членки на ЕС, са предоставили компетентност на ЕС в областите, обхванати от Протокола към РККТ.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pStyle w:val="ManualHeading1"/>
        <w:rPr>
          <w:b w:val="0"/>
          <w:noProof/>
          <w:szCs w:val="24"/>
        </w:rPr>
      </w:pPr>
      <w:r>
        <w:rPr>
          <w:b w:val="0"/>
          <w:noProof/>
          <w:szCs w:val="24"/>
        </w:rPr>
        <w:t xml:space="preserve">1. </w:t>
      </w:r>
      <w:r>
        <w:rPr>
          <w:noProof/>
          <w:szCs w:val="24"/>
        </w:rPr>
        <w:tab/>
      </w:r>
      <w:r>
        <w:rPr>
          <w:b w:val="0"/>
          <w:noProof/>
          <w:szCs w:val="24"/>
        </w:rPr>
        <w:t>Общи принципи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color w:val="000000"/>
          <w:szCs w:val="24"/>
        </w:rPr>
      </w:pPr>
      <w:r>
        <w:rPr>
          <w:noProof/>
          <w:szCs w:val="24"/>
        </w:rPr>
        <w:t xml:space="preserve">Категориите и областите на компетентност на Съюза са определени в членове 2—6 от ДФЕС. </w:t>
      </w:r>
      <w:r>
        <w:rPr>
          <w:noProof/>
          <w:color w:val="000000"/>
          <w:szCs w:val="24"/>
        </w:rPr>
        <w:t xml:space="preserve">Когато Договорите предоставят на ЕС изключителна компетентност в определена област, само ЕС може да законодателства и да приема правно обвързващи актове, докато държавите членки имат тази възможност единствено ако са оправомощени за това от ЕС или с цел прилагането на актовете на ЕС. Когато Договорите предоставят на ЕС компетентност, споделена с държавите членки в определена област, ЕС и държавите членки могат да законодателстват и да приемат правно обвързващи актове в тази област. Държавите членки упражняват своята компетентност, доколкото ЕС не е упражнил своята. Държавите членки упражняват отново своята компетентност, доколкото ЕС е решил да спре да упражнява своята.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Що се отнася до сключването на международни споразумения, за областите на политиката, изброени в член 3, параграф 1 от ДФЕС, единствено ЕС разполага с компетентност да предприема действия. За областите на политиката, изброени в член 4, параграф 2 от ДФЕС, ЕС и държавите членки споделят компетентността, но единствено ЕС разполага с компетентност да предприема действия, когато предвиденото действие е необходимо, за да се позволи на Съюза да упражнява вътрешната си компетентност или доколкото разпоредбите на споразумението могат да засегнат общите правила или да променят обхвата им по смисъла на член 3, параграф 2 от ДФЕС; доколкото това не е така (т.е. условията на член 3, параграф 2 от ДФЕС не са изпълнени), държавите членки могат да упражняват своята компетентност да предприемат действия в тези области на политиката.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  <w:szCs w:val="24"/>
        </w:rPr>
        <w:t xml:space="preserve">Областите на компетентност, които не са предоставени на ЕС по силата на Договорите, са области на компетентност на държавите — членки на ЕС. </w:t>
      </w:r>
    </w:p>
    <w:p>
      <w:pPr>
        <w:widowControl w:val="0"/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  <w:szCs w:val="24"/>
        </w:rPr>
        <w:t>ЕС ще уведоми надлежно за всяка съществена промяна в обхвата на своите правомощия в съответствие с член 44 от Протокола, без това да представлява необходимо условие за упражняването на компетентността му по въпроси, уредени от Протокола към РККТ.</w:t>
      </w:r>
    </w:p>
    <w:p>
      <w:pPr>
        <w:pStyle w:val="ManualHeading1"/>
        <w:rPr>
          <w:b w:val="0"/>
          <w:noProof/>
          <w:szCs w:val="24"/>
        </w:rPr>
      </w:pPr>
      <w:r>
        <w:rPr>
          <w:b w:val="0"/>
          <w:noProof/>
          <w:szCs w:val="24"/>
        </w:rPr>
        <w:t xml:space="preserve">2. </w:t>
      </w:r>
      <w:r>
        <w:rPr>
          <w:noProof/>
          <w:szCs w:val="24"/>
        </w:rPr>
        <w:tab/>
      </w:r>
      <w:r>
        <w:rPr>
          <w:b w:val="0"/>
          <w:noProof/>
          <w:szCs w:val="24"/>
        </w:rPr>
        <w:t>Области, по отношение на които компетентност има ЕС</w:t>
      </w:r>
    </w:p>
    <w:p>
      <w:pPr>
        <w:pStyle w:val="ManualHeading2"/>
        <w:rPr>
          <w:b w:val="0"/>
          <w:noProof/>
          <w:szCs w:val="24"/>
        </w:rPr>
      </w:pPr>
      <w:r>
        <w:rPr>
          <w:b w:val="0"/>
          <w:noProof/>
          <w:szCs w:val="24"/>
        </w:rPr>
        <w:t>2.1</w:t>
      </w:r>
      <w:r>
        <w:rPr>
          <w:noProof/>
          <w:szCs w:val="24"/>
        </w:rPr>
        <w:tab/>
      </w:r>
      <w:r>
        <w:rPr>
          <w:b w:val="0"/>
          <w:noProof/>
          <w:szCs w:val="24"/>
        </w:rPr>
        <w:t xml:space="preserve">Само ЕС има компетентност да действа по отношение на въпросите, обхванати от Протокола към РККТ, в областите на политиката, посочени в член 3, параграф 1 от ДФЕС, а именно общата търговска политика. </w:t>
      </w:r>
    </w:p>
    <w:p>
      <w:pPr>
        <w:pStyle w:val="ManualHeading2"/>
        <w:rPr>
          <w:b w:val="0"/>
          <w:noProof/>
          <w:szCs w:val="24"/>
        </w:rPr>
      </w:pPr>
      <w:r>
        <w:rPr>
          <w:b w:val="0"/>
          <w:noProof/>
          <w:szCs w:val="24"/>
        </w:rPr>
        <w:t>2.2</w:t>
      </w:r>
      <w:r>
        <w:rPr>
          <w:noProof/>
          <w:szCs w:val="24"/>
        </w:rPr>
        <w:tab/>
      </w:r>
      <w:r>
        <w:rPr>
          <w:b w:val="0"/>
          <w:noProof/>
          <w:szCs w:val="24"/>
        </w:rPr>
        <w:t xml:space="preserve">В допълнение, в някои други области на политиката само ЕС разполага с компетентност да сключи международно споразумение. Това е така, когато планираното действие е необходимо, за да позволи на Съюза да упражнява своята вътрешна компетентност, или доколкото разпоредбите в Протокола към РККТ могат да засегнат общите правила, които са вече приети от ЕС в съответната област, или да променят техния обхват по смисъла на член 3, параграф 2 от ДФЕС. По-конкретно тези области на политиката са вътрешният пазар, включително мерки с цел установяване или осигуряване на функционирането на вътрешния пазар (член 26, параграф 1 от ДФЕС), сближаването на законите, по-специално относно изпирането на пари (членове 114—118 от ДФЕС), свободното движение на стоки (член 28 от ДФЕС) и митническото сътрудничество (член 33 от ДФЕС). </w:t>
      </w:r>
    </w:p>
    <w:p>
      <w:pPr>
        <w:pStyle w:val="ManualHeading1"/>
        <w:rPr>
          <w:b w:val="0"/>
          <w:noProof/>
          <w:szCs w:val="24"/>
        </w:rPr>
      </w:pPr>
      <w:r>
        <w:rPr>
          <w:b w:val="0"/>
          <w:noProof/>
          <w:szCs w:val="24"/>
        </w:rPr>
        <w:t xml:space="preserve">3. </w:t>
      </w:r>
      <w:r>
        <w:rPr>
          <w:noProof/>
          <w:szCs w:val="24"/>
        </w:rPr>
        <w:tab/>
      </w:r>
      <w:r>
        <w:rPr>
          <w:b w:val="0"/>
          <w:noProof/>
          <w:szCs w:val="24"/>
        </w:rPr>
        <w:t>Области, по отношение на които компетентност имат ЕС и неговите държави членки</w:t>
      </w:r>
    </w:p>
    <w:p>
      <w:pPr>
        <w:pStyle w:val="ManualHeading2"/>
        <w:rPr>
          <w:b w:val="0"/>
          <w:noProof/>
          <w:szCs w:val="24"/>
        </w:rPr>
      </w:pPr>
      <w:r>
        <w:rPr>
          <w:noProof/>
          <w:szCs w:val="24"/>
        </w:rPr>
        <w:tab/>
      </w:r>
      <w:r>
        <w:rPr>
          <w:b w:val="0"/>
          <w:noProof/>
          <w:szCs w:val="24"/>
        </w:rPr>
        <w:t xml:space="preserve">Във всички други области на политиката, които не са посочени в точки 2.1 и 2.2, ЕС има само споделена компетентност и както ЕС, така и неговите държави членки разполагат с компетентността да предприемат действия по отношение на въпроси, уредени от Протокола към РККТ. </w:t>
      </w:r>
      <w:r>
        <w:rPr>
          <w:b w:val="0"/>
          <w:noProof/>
          <w:color w:val="000000"/>
          <w:szCs w:val="24"/>
        </w:rPr>
        <w:t>Държавите членки упражняват своята компетентност, доколкото Съюзът не е упражнил своята.</w:t>
      </w:r>
    </w:p>
    <w:p>
      <w:pPr>
        <w:rPr>
          <w:noProof/>
          <w:szCs w:val="24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5276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BAA26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D7A2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B1E30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F7A01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F614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DAF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442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4-29 13:21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A909849EFE84CE082AB85330FA3F2CF"/>
    <w:docVar w:name="LW_CROSSREFERENCE" w:val="&lt;UNUSED&gt;"/>
    <w:docVar w:name="LW_DocType" w:val="ANNEX"/>
    <w:docVar w:name="LW_EMISSION" w:val="4.5.2015"/>
    <w:docVar w:name="LW_EMISSION_ISODATE" w:val="2015-05-0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5?\u1072? \u1055?\u1088?\u1086?\u1090?\u1086?\u1082?\u1086?\u1083?\u1072? \u1079?\u1072? \u1087?\u1088?\u1077?\u1084?\u1072?\u1093?\u1074?\u1072?\u1085?\u1077? \u1085?\u1072? \u1085?\u1077?\u1079?\u1072?\u1082?\u1086?\u1085?\u1085?\u1072?\u1090?\u1072? \u1090?\u1098?\u1088?\u1075?\u1086?\u1074?\u1080?\u1103? \u1089? \u1090?\u1102?\u1090?\u1102?\u1085?\u1077?\u1074?\u1080? \u1080?\u1079?\u1076?\u1077?\u1083?\u1080?\u1103? \u1082?\u1098?\u1084? \u1056?\u1072?\u1084?\u1082?\u1086?\u1074?\u1072?\u1090?\u1072? \u1082?\u1086?\u1085?\u1074?\u1077?\u1085?\u1094?\u1080?\u1103? \u1085?\u1072? \u1057?\u1074?\u1077?\u1090?\u1086?\u1074?\u1085?\u1072?\u1090?\u1072? \u1079?\u1076?\u1088?\u1072?\u1074?\u1085?\u1072? \u1086?\u1088?\u1075?\u1072?\u1085?\u1080?\u1079?\u1072?\u1094?\u1080?\u1103? \u1079?\u1072? \u1082?\u1086?\u1085?\u1090?\u1088?\u1086?\u1083? \u1085?\u1072? \u1090?\u1102?\u1090?\u1102?\u1085?\u1072?, \u1097?\u1086? \u1089?\u1077? \u1086?\u1090?\u1085?\u1072?\u1089?\u1103? \u1076?\u1086? \u1088?\u1072?\u1079?\u1087?\u1086?\u1088?\u1077?\u1076?\u1073?\u1080?\u1090?\u1077? \u1085?\u1072? \u1055?\u1088?\u1086?\u1090?\u1086?\u1082?\u1086?\u1083?\u1072?, \u1082?\u1086?\u1080?\u1090?\u1086? \u1087?\u1086?\u1087?\u1072?\u1076?\u1072?\u1090? \u1074? \u1086?\u1073?\u1093?\u1074?\u1072?\u1090?\u1072? \u1085?\u1072? \u1076?\u1103?\u1083? V \u1086?\u1090? \u1095?\u1072?\u1089?\u1090? III \u1085?\u1072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5) 193"/>
    <w:docVar w:name="LW_REF.INTERNE" w:val="&lt;UNUSED&gt;"/>
    <w:docVar w:name="LW_SUPERTITRE" w:val="&lt;UNUSED&gt;"/>
    <w:docVar w:name="LW_TITRE.OBJ.CP" w:val="\u1044?\u1045?\u1050?\u1051?\u1040?\u1056?\u1040?\u1062?\u1048?\u1071? \u1047?\u1040? \u1050?\u1054?\u1052?\u1055?\u1045?\u1058?\u1045?\u1053?\u1058?\u1053?\u1054?\u1057?\u1058? \u1054?\u1058? \u1045?\u1042?\u1056?\u1054?\u1055?\u1045?\u1049?\u1057?\u1050?\u1048?\u1071? \u1057?\u1066?\u1070?\u1047? \u1054?\u1058?\u1053?\u1054?\u1057?\u1053?\u1054? \u1042?\u1066?\u1055?\u1056?\u1054?\u1057?\u1048?, \u1054?\u1041?\u1061?\u1042?\u1040?\u1053?\u1040?\u1058?\u1048? \u1054?\u1058? \u1055?\u1056?\u1054?\u1058?\u1054?\u1050?\u1054?\u1051?\u1040? \u1047?\u1040? \u1055?\u1056?\u1045?\u1052?\u1040?\u1061?\u1042?\u1040?\u1053?\u1045? \u1053?\u1040? \u1053?\u1045?\u1047?\u1040?\u1050?\u1054?\u1053?\u1053?\u1040?\u1058?\u1040? \u1058?\u1066?\u1056?\u1043?\u1054?\u1042?\u1048?\u1071? \u1057? \u1058?\u1070?\u1058?\u1070?\u1053?\u1045?\u1042?\u1048? \u1048?\u1047?\u1044?\u1045?\u1051?\u1048?\u1071? (\u1042? \u1057?\u1066?\u1054?\u1058?\u1042?\u1045?\u1058?\u1057?\u1058?\u1042?\u1048?\u1045? \u1057? \u1063?\u1051?\u1045?\u1053? 44 \u1054?\u1058? \u1055?\u1056?\u1054?\u1058?\u1054?\u1050?\u1054?\u1051?\u1040?) "/>
    <w:docVar w:name="LW_TYPE.DOC.CP" w:val="\u1055?\u1056?\u1048?\u1051?\u1054?\u1046?\u1045?\u1053?\u1048?\u1045?"/>
    <w:docVar w:name="LW_TYPEACTEPRINCIPAL.CP" w:val="\u1056?\u1045?\u1064?\u1045?\u1053?\u1048?\u1045? \u1053?\u1040? \u1057?\u1066?\u1042?\u1045?\u1058?\u1040?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8F40-D932-4A0B-A204-A63F6828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605</Words>
  <Characters>3385</Characters>
  <Application>Microsoft Office Word</Application>
  <DocSecurity>0</DocSecurity>
  <Lines>60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DECONINCK Aurelie (OLAF)</dc:creator>
  <cp:lastModifiedBy>DIGIT/A3</cp:lastModifiedBy>
  <cp:revision>8</cp:revision>
  <cp:lastPrinted>2015-04-13T09:58:00Z</cp:lastPrinted>
  <dcterms:created xsi:type="dcterms:W3CDTF">2015-04-28T13:38:00Z</dcterms:created>
  <dcterms:modified xsi:type="dcterms:W3CDTF">2015-04-29T11:21:00Z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02)</vt:lpwstr>
  </property>
</Properties>
</file>