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1B2305109004EB5B7CB9DE4FDBAF529" style="width:450.75pt;height:497.2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 .../2015</w:t>
      </w:r>
      <w:r>
        <w:rPr>
          <w:noProof/>
          <w:u w:val="none"/>
        </w:rPr>
        <w:br/>
      </w:r>
      <w:r>
        <w:rPr>
          <w:noProof/>
          <w:u w:val="none"/>
        </w:rPr>
        <w:br/>
        <w:t>от […] година</w:t>
      </w:r>
      <w:r>
        <w:rPr>
          <w:noProof/>
          <w:u w:val="none"/>
        </w:rPr>
        <w:br/>
      </w:r>
      <w:r>
        <w:rPr>
          <w:noProof/>
          <w:u w:val="none"/>
        </w:rPr>
        <w:br/>
        <w:t>за изменение на приложение ІІ (Технически правила, стандарти, изпитвания и сертифициране) 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като има предвид, че:</w:t>
      </w:r>
    </w:p>
    <w:p>
      <w:pPr>
        <w:pStyle w:val="Considrant"/>
        <w:numPr>
          <w:ilvl w:val="0"/>
          <w:numId w:val="10"/>
        </w:numPr>
        <w:rPr>
          <w:noProof/>
        </w:rPr>
      </w:pPr>
      <w:r>
        <w:rPr>
          <w:noProof/>
        </w:rPr>
        <w:t>Директива 2013/56/ЕС на Европейския парламент и на Съвета от 20 ноември 2013 г. за изменение на Директива 2006/66/ЕО на Европейския парламент и на Съвета относно батерии и акумулатори и отпадъци от батерии и акумулатори по отношение на пускането на пазара на преносими батерии и акумулатори, съдържащи кадмий и предназначени за използване в електрически инструменти без захранващ шнур, както и на клетъчни батерии с ниско живачно съдържание и за отмяна на Решение 2009/603/ЕО на Комисията</w:t>
      </w:r>
      <w:r>
        <w:rPr>
          <w:rStyle w:val="FootnoteReference"/>
          <w:noProof/>
        </w:rPr>
        <w:footnoteReference w:id="1"/>
      </w:r>
      <w:r>
        <w:rPr>
          <w:noProof/>
          <w:color w:val="000000"/>
        </w:rPr>
        <w:t xml:space="preserve"> </w:t>
      </w:r>
      <w:r>
        <w:rPr>
          <w:noProof/>
        </w:rPr>
        <w:t>следва да бъда включена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>Директива 2013/56/ЕС на Европейския парламент и на Съвета отменя Решение № 2009/603/ЕО на Комисията</w:t>
      </w:r>
      <w:r>
        <w:rPr>
          <w:rStyle w:val="FootnoteReference"/>
          <w:noProof/>
        </w:rPr>
        <w:footnoteReference w:id="2"/>
      </w:r>
      <w:r>
        <w:rPr>
          <w:noProof/>
        </w:rPr>
        <w:t>, което е включено в Споразумението за ЕИП и което впоследствие се отменя по силата на Споразумението за ЕИП.</w:t>
      </w:r>
    </w:p>
    <w:p>
      <w:pPr>
        <w:pStyle w:val="Considrant"/>
        <w:rPr>
          <w:noProof/>
          <w:color w:val="000000"/>
        </w:rPr>
      </w:pPr>
      <w:r>
        <w:rPr>
          <w:noProof/>
        </w:rPr>
        <w:t>Поради това приложение II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Глава XV от приложение II към Споразумението за ЕИП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В точка 12ч (Директива 2006/66/ЕО на Европейския парламент и на Съвета) се добавя следният текст:</w:t>
      </w:r>
    </w:p>
    <w:p>
      <w:pPr>
        <w:pStyle w:val="Point1"/>
        <w:rPr>
          <w:noProof/>
        </w:rPr>
      </w:pPr>
      <w:r>
        <w:rPr>
          <w:noProof/>
        </w:rPr>
        <w:t>„-</w:t>
      </w:r>
      <w:r>
        <w:rPr>
          <w:noProof/>
        </w:rPr>
        <w:tab/>
      </w:r>
      <w:r>
        <w:rPr>
          <w:b/>
          <w:noProof/>
        </w:rPr>
        <w:t>32013 L 0056</w:t>
      </w:r>
      <w:r>
        <w:rPr>
          <w:noProof/>
        </w:rPr>
        <w:t>: Директива 2013/56/ЕС на Европейския парламент и на Съвета от 20 ноември 2013 г. (ОВ L 329, 10.12.2013 г., стр. 5)</w:t>
      </w:r>
    </w:p>
    <w:p>
      <w:pPr>
        <w:pStyle w:val="Point1"/>
        <w:ind w:left="851" w:firstLine="0"/>
        <w:rPr>
          <w:noProof/>
        </w:rPr>
      </w:pPr>
      <w:r>
        <w:rPr>
          <w:noProof/>
        </w:rPr>
        <w:t>За целите на настоящото споразумение разпоредбите на директивата се тълкуват със следната адаптация:</w:t>
      </w:r>
    </w:p>
    <w:p>
      <w:pPr>
        <w:pStyle w:val="Point1"/>
        <w:ind w:left="851" w:firstLine="0"/>
        <w:rPr>
          <w:noProof/>
        </w:rPr>
      </w:pPr>
      <w:r>
        <w:rPr>
          <w:noProof/>
        </w:rPr>
        <w:t>Член 17 не се прилага за Лихтенщайн.“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Текстът на точка 12щу (Решение 2009/603/ЕО на Комисията) се заличава.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  <w:r>
        <w:rPr>
          <w:noProof/>
        </w:rPr>
        <w:t xml:space="preserve">Текстовете на Директива 2013/56/ЕС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на […] г., при условие че са внесени всички нотификации, предвидени в член 103, параграф 1 от Споразумението за ЕИП</w:t>
      </w:r>
      <w:r>
        <w:rPr>
          <w:rStyle w:val="FootnoteReference"/>
          <w:b/>
          <w:noProof/>
        </w:rPr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footnoteReference w:customMarkFollows="1" w:id="3"/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  <w:szCs w:val="24"/>
        </w:rPr>
      </w:pPr>
      <w:r>
        <w:rPr>
          <w:noProof/>
        </w:rPr>
        <w:t>Съставено в Брюксел на […]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ЕИП: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color w:val="0000FF"/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 xml:space="preserve">ОВ </w:t>
      </w:r>
      <w:r>
        <w:t>L</w:t>
      </w:r>
      <w:r>
        <w:rPr>
          <w:lang w:val="ru-RU"/>
        </w:rPr>
        <w:t xml:space="preserve"> 329, 10.12.2013 г., стр. 5.</w:t>
      </w: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 xml:space="preserve">ОВ </w:t>
      </w:r>
      <w:r>
        <w:t>L</w:t>
      </w:r>
      <w:r>
        <w:rPr>
          <w:lang w:val="ru-RU"/>
        </w:rPr>
        <w:t xml:space="preserve"> 206, 8.8.2009 г., стр. 13.</w:t>
      </w:r>
    </w:p>
  </w:footnote>
  <w:footnote w:id="3">
    <w:p>
      <w:pPr>
        <w:pStyle w:val="FootnoteText"/>
        <w:rPr>
          <w:lang w:val="ru-RU"/>
        </w:rPr>
      </w:pPr>
      <w:r>
        <w:rPr>
          <w:rStyle w:val="FootnoteReference"/>
        </w:rPr>
        <w:sym w:font="Symbol" w:char="F02A"/>
      </w:r>
      <w:r>
        <w:rPr>
          <w:lang w:val="ru-RU"/>
        </w:rP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13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18"/>
  </w:num>
  <w:num w:numId="22">
    <w:abstractNumId w:val="11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4-24 12:52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1B2305109004EB5B7CB9DE4FDBAF529"/>
    <w:docVar w:name="LW_CROSSREFERENCE" w:val="&lt;UNUSED&gt;"/>
    <w:docVar w:name="LW_DocType" w:val="ANNEX"/>
    <w:docVar w:name="LW_EMISSION" w:val="4.5.2015"/>
    <w:docVar w:name="LW_EMISSION_ISODATE" w:val="2015-05-0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I\u1030? 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2?\u1098?\u1084? \u1057?\u1087?\u1086?\u1088?\u1072?\u1079?\u1091?\u1084?\u1077?\u1085?\u1080?\u1077?\u1090?\u1086? \u1079?\u1072? \u1045?\u1048?\u1055?_x000b_(\u1041?\u1072?\u1090?\u1077?\u1088?\u1080?\u1080? \u1080? \u1072?\u1082?\u1091?\u1084?\u1091?\u1083?\u1072?\u1090?\u1086?\u1088?\u1080?)"/>
    <w:docVar w:name="LW_OBJETACTEPRINCIPAL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I\u1030? 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2?\u1098?\u1084? \u1057?\u1087?\u1086?\u1088?\u1072?\u1079?\u1091?\u1084?\u1077?\u1085?\u1080?\u1077?\u1090?\u1086? \u1079?\u1072? \u1045?\u1048?\u1055?_x000b_(\u1041?\u1072?\u1090?\u1077?\u1088?\u1080?\u1080? \u1080? \u1072?\u1082?\u1091?\u1084?\u1091?\u1083?\u1072?\u1090?\u1086?\u1088?\u1080?)"/>
    <w:docVar w:name="LW_PART_NBR" w:val="1"/>
    <w:docVar w:name="LW_PART_NBR_TOTAL" w:val="1"/>
    <w:docVar w:name="LW_REF.INST.NEW" w:val="COM"/>
    <w:docVar w:name="LW_REF.INST.NEW_ADOPTED" w:val="final"/>
    <w:docVar w:name="LW_REF.INST.NEW_TEXT" w:val="(2015) 186"/>
    <w:docVar w:name="LW_REF.INTERNE" w:val="&lt;UNUSED&gt;"/>
    <w:docVar w:name="LW_SUPERTITRE" w:val="&lt;UNUSED&gt;"/>
    <w:docVar w:name="LW_TITRE.OBJ" w:val="\u1056?\u1045?\u1064?\u1045?\u1053?\u1048?\u1045? \u1053?\u1040? \u1057?\u1066?\u1042?\u1052?\u1045?\u1057?\u1058?\u1053?\u1048?\u1071? \u1050?\u1054?\u1052?\u1048?\u1058?\u1045?\u1058? \u1053?\u1040? \u1045?\u1048?\u1055? \u8470? .../2015_x000b_\u1086?\u1090? [\u8230?] \u1075?\u1086?\u1076?\u1080?\u1085?\u1072?_x000b_\u1079?\u1072? \u1080?\u1079?\u1084?\u1077?\u1085?\u1077?\u1085?\u1080?\u1077? \u1085?\u1072? \u1087?\u1088?\u1080?\u1083?\u1086?\u1078?\u1077?\u1085?\u1080?\u1077? \u1030?\u1030? 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2?\u1098?\u1084? \u1057?\u1087?\u1086?\u1088?\u1072?\u1079?\u1091?\u1084?\u1077?\u1085?\u1080?\u1077?\u1090?\u1086? \u1079?\u1072? \u1045?\u1048?\u1055?"/>
    <w:docVar w:name="LW_TITRE.OBJ.CP" w:val="\u1056?\u1045?\u1064?\u1045?\u1053?\u1048?\u1045? \u1053?\u1040? \u1057?\u1066?\u1042?\u1052?\u1045?\u1057?\u1058?\u1053?\u1048?\u1071? \u1050?\u1054?\u1052?\u1048?\u1058?\u1045?\u1058? \u1053?\u1040? \u1045?\u1048?\u1055? \u8470? .../2015_x000b_\u1086?\u1090? [\u8230?] \u1075?\u1086?\u1076?\u1080?\u1085?\u1072?_x000b_\u1079?\u1072? \u1080?\u1079?\u1084?\u1077?\u1085?\u1077?\u1085?\u1080?\u1077? \u1085?\u1072? \u1087?\u1088?\u1080?\u1083?\u1086?\u1078?\u1077?\u1085?\u1080?\u1077? \u1030?\u1030? 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2?\u1098?\u1084? \u1057?\u1087?\u1086?\u1088?\u1072?\u1079?\u1091?\u1084?\u1077?\u1085?\u1080?\u1077?\u1090?\u1086? \u1079?\u1072? \u1045?\u1048?\u1055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88?\u1077?\u1096?\u1077?\u1085?\u1080?\u1077? \u1085?\u1072? \u1057?\u1098?\u1074?\u1077?\u1090?\u1072?"/>
    <w:docVar w:name="LW_TYPEACTEPRINCIPAL.CP" w:val="\u1087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character" w:customStyle="1" w:styleId="Point0Char">
    <w:name w:val="Point 0 Char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sz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link w:val="Articleheading"/>
    <w:rPr>
      <w:rFonts w:ascii="Times New Roman" w:hAnsi="Times New Roman"/>
      <w:i/>
      <w:color w:val="000000"/>
      <w:sz w:val="24"/>
      <w:szCs w:val="24"/>
      <w:lang w:val="bg-BG" w:eastAsia="bg-BG"/>
    </w:rPr>
  </w:style>
  <w:style w:type="character" w:customStyle="1" w:styleId="ArticletextChar">
    <w:name w:val="Article text Char"/>
    <w:link w:val="Articletext"/>
    <w:rPr>
      <w:rFonts w:ascii="Times New Roman" w:hAnsi="Times New Roman"/>
      <w:i w:val="0"/>
      <w:color w:val="000000"/>
      <w:sz w:val="24"/>
      <w:szCs w:val="24"/>
      <w:lang w:val="bg-BG" w:eastAsia="bg-BG"/>
    </w:rPr>
  </w:style>
  <w:style w:type="character" w:customStyle="1" w:styleId="Point1Char">
    <w:name w:val="Point 1 Char"/>
  </w:style>
  <w:style w:type="paragraph" w:customStyle="1" w:styleId="Norml">
    <w:name w:val="Norml"/>
    <w:basedOn w:val="Articletex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78E4-13F8-4A16-9537-FDCAE5BA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366</Words>
  <Characters>1984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2014-02-26T14:25:00Z</cp:lastPrinted>
  <dcterms:created xsi:type="dcterms:W3CDTF">2015-04-21T15:12:00Z</dcterms:created>
  <dcterms:modified xsi:type="dcterms:W3CDTF">2015-04-24T10:52:00Z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Green (DQC version 02)</vt:lpwstr>
  </property>
</Properties>
</file>