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EA31EA749BD84DF08E2F1567BDBC9E62" style="width:450.75pt;height:307.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rPr>
          <w:noProof/>
        </w:rPr>
      </w:pPr>
      <w:bookmarkStart w:id="1" w:name="_GoBack"/>
      <w:bookmarkEnd w:id="1"/>
    </w:p>
    <w:p>
      <w:pPr>
        <w:pStyle w:val="Typedudocument"/>
        <w:rPr>
          <w:noProof/>
        </w:rPr>
      </w:pPr>
      <w:r>
        <w:rPr>
          <w:noProof/>
        </w:rPr>
        <w:t>PROJET DE BUDGET RECTIFICATIF Nº 5</w:t>
      </w:r>
      <w:r>
        <w:rPr>
          <w:noProof/>
        </w:rPr>
        <w:br/>
        <w:t>AU BUDGET GÉNÉRAL 2015</w:t>
      </w:r>
    </w:p>
    <w:p>
      <w:pPr>
        <w:pStyle w:val="Titreobjet"/>
        <w:rPr>
          <w:noProof/>
        </w:rPr>
      </w:pPr>
      <w:r>
        <w:rPr>
          <w:noProof/>
        </w:rPr>
        <w:t xml:space="preserve">FAIRE FACE AUX PRESSIONS MIGRATOIRES </w:t>
      </w:r>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rPr>
          <w:noProof/>
        </w:rPr>
        <w:sectPr>
          <w:headerReference w:type="even" r:id="rId16"/>
          <w:headerReference w:type="default" r:id="rId17"/>
          <w:footerReference w:type="even" r:id="rId18"/>
          <w:footerReference w:type="default" r:id="rId19"/>
          <w:headerReference w:type="first" r:id="rId20"/>
          <w:footerReference w:type="first" r:id="rId21"/>
          <w:pgSz w:w="11907" w:h="16839"/>
          <w:pgMar w:top="1134" w:right="1417" w:bottom="1134" w:left="1417" w:header="709" w:footer="709" w:gutter="0"/>
          <w:pgNumType w:start="0"/>
          <w:cols w:space="708"/>
          <w:docGrid w:linePitch="360"/>
        </w:sectPr>
      </w:pPr>
    </w:p>
    <w:p>
      <w:pPr>
        <w:rPr>
          <w:noProof/>
        </w:rPr>
      </w:pPr>
      <w:r>
        <w:rPr>
          <w:noProof/>
        </w:rPr>
        <w:lastRenderedPageBreak/>
        <w:t>Vu:</w:t>
      </w:r>
    </w:p>
    <w:p>
      <w:pPr>
        <w:pStyle w:val="Tiret0"/>
        <w:rPr>
          <w:noProof/>
        </w:rPr>
      </w:pPr>
      <w:r>
        <w:rPr>
          <w:noProof/>
        </w:rPr>
        <w:t>le traité sur le fonctionnement de l'Union européenne, et notamment son article 314, lu en combinaison avec le traité instituant la Communauté européenne de l'énergie atomique, et notamment son article 106 </w:t>
      </w:r>
      <w:r>
        <w:rPr>
          <w:i/>
          <w:noProof/>
        </w:rPr>
        <w:t>bis</w:t>
      </w:r>
      <w:r>
        <w:rPr>
          <w:noProof/>
        </w:rPr>
        <w:t>,</w:t>
      </w:r>
    </w:p>
    <w:p>
      <w:pPr>
        <w:pStyle w:val="Tiret0"/>
        <w:rPr>
          <w:rFonts w:cs="Arial"/>
          <w:noProof/>
          <w:szCs w:val="18"/>
        </w:rPr>
      </w:pPr>
      <w:r>
        <w:rPr>
          <w:noProof/>
        </w:rPr>
        <w:t>le règlement (UE, Euratom) nº 966/2012 du Parlement européen et du Conseil du 25 octobre 2012 relatif aux règles financières applicables au budget général de l'Union</w:t>
      </w:r>
      <w:r>
        <w:rPr>
          <w:rStyle w:val="FootnoteReference"/>
          <w:noProof/>
        </w:rPr>
        <w:footnoteReference w:id="2"/>
      </w:r>
      <w:r>
        <w:rPr>
          <w:noProof/>
        </w:rPr>
        <w:t>, et notamment son article 41,</w:t>
      </w:r>
    </w:p>
    <w:p>
      <w:pPr>
        <w:pStyle w:val="Tiret0"/>
        <w:rPr>
          <w:noProof/>
        </w:rPr>
      </w:pPr>
      <w:r>
        <w:rPr>
          <w:noProof/>
        </w:rPr>
        <w:t>le budget général de l'Union européenne pour l'exercice 2015, adopté le 17 décembre 2014</w:t>
      </w:r>
      <w:r>
        <w:rPr>
          <w:rStyle w:val="FootnoteReference"/>
          <w:noProof/>
        </w:rPr>
        <w:footnoteReference w:id="3"/>
      </w:r>
      <w:r>
        <w:rPr>
          <w:noProof/>
        </w:rPr>
        <w:t>,</w:t>
      </w:r>
    </w:p>
    <w:p>
      <w:pPr>
        <w:pStyle w:val="Tiret0"/>
        <w:rPr>
          <w:noProof/>
        </w:rPr>
      </w:pPr>
      <w:r>
        <w:rPr>
          <w:noProof/>
        </w:rPr>
        <w:t>le budget rectificatif nº 1/2015</w:t>
      </w:r>
      <w:r>
        <w:rPr>
          <w:rStyle w:val="FootnoteReference"/>
          <w:noProof/>
        </w:rPr>
        <w:footnoteReference w:id="4"/>
      </w:r>
      <w:r>
        <w:rPr>
          <w:noProof/>
        </w:rPr>
        <w:t>, adopté le 28 avril 2015,</w:t>
      </w:r>
    </w:p>
    <w:p>
      <w:pPr>
        <w:pStyle w:val="Tiret0"/>
        <w:rPr>
          <w:noProof/>
        </w:rPr>
      </w:pPr>
      <w:r>
        <w:rPr>
          <w:noProof/>
        </w:rPr>
        <w:t>le projet de budget rectificatif nº 1/2015</w:t>
      </w:r>
      <w:r>
        <w:rPr>
          <w:rStyle w:val="FootnoteReference"/>
          <w:noProof/>
        </w:rPr>
        <w:footnoteReference w:id="5"/>
      </w:r>
      <w:r>
        <w:rPr>
          <w:noProof/>
        </w:rPr>
        <w:t>, adopté le 13 janvier 2015,</w:t>
      </w:r>
    </w:p>
    <w:p>
      <w:pPr>
        <w:pStyle w:val="Tiret0"/>
        <w:rPr>
          <w:noProof/>
        </w:rPr>
      </w:pPr>
      <w:r>
        <w:rPr>
          <w:noProof/>
        </w:rPr>
        <w:t>le projet de budget rectificatif nº 3/2015</w:t>
      </w:r>
      <w:r>
        <w:rPr>
          <w:rStyle w:val="FootnoteReference"/>
          <w:noProof/>
        </w:rPr>
        <w:footnoteReference w:id="6"/>
      </w:r>
      <w:r>
        <w:rPr>
          <w:noProof/>
        </w:rPr>
        <w:t>, adopté le 15 avril 2015,</w:t>
      </w:r>
    </w:p>
    <w:p>
      <w:pPr>
        <w:pStyle w:val="Tiret0"/>
        <w:rPr>
          <w:noProof/>
        </w:rPr>
      </w:pPr>
      <w:r>
        <w:rPr>
          <w:noProof/>
        </w:rPr>
        <w:t>le projet de budget rectificatif nº 4/2015</w:t>
      </w:r>
      <w:r>
        <w:rPr>
          <w:rStyle w:val="FootnoteReference"/>
          <w:noProof/>
        </w:rPr>
        <w:footnoteReference w:id="7"/>
      </w:r>
      <w:r>
        <w:rPr>
          <w:noProof/>
        </w:rPr>
        <w:t>, adopté le 15 avril 2015,</w:t>
      </w:r>
    </w:p>
    <w:p>
      <w:pPr>
        <w:jc w:val="both"/>
        <w:rPr>
          <w:noProof/>
        </w:rPr>
      </w:pPr>
      <w:r>
        <w:rPr>
          <w:noProof/>
        </w:rPr>
        <w:t>la Commission européenne présente ci-après au Parlement européen et au Conseil le projet de budget rectificatif nº 5 au budget 2015.</w:t>
      </w:r>
    </w:p>
    <w:p>
      <w:pPr>
        <w:rPr>
          <w:b/>
          <w:noProof/>
          <w:u w:val="single"/>
        </w:rPr>
      </w:pPr>
    </w:p>
    <w:p>
      <w:pPr>
        <w:rPr>
          <w:b/>
          <w:noProof/>
          <w:u w:val="single"/>
        </w:rPr>
      </w:pPr>
    </w:p>
    <w:p>
      <w:pPr>
        <w:jc w:val="both"/>
        <w:rPr>
          <w:b/>
          <w:noProof/>
          <w:u w:val="single"/>
        </w:rPr>
      </w:pPr>
      <w:r>
        <w:rPr>
          <w:b/>
          <w:noProof/>
          <w:u w:val="single"/>
        </w:rPr>
        <w:t>MODIFICATIONS À L’ÉTAT DES RECETTES ET DES DÉPENSES PAR SECTION</w:t>
      </w:r>
    </w:p>
    <w:p>
      <w:pPr>
        <w:rPr>
          <w:b/>
          <w:noProof/>
          <w:u w:val="single"/>
        </w:rPr>
      </w:pPr>
    </w:p>
    <w:p>
      <w:pPr>
        <w:jc w:val="both"/>
        <w:rPr>
          <w:noProof/>
        </w:rPr>
      </w:pPr>
      <w:r>
        <w:rPr>
          <w:noProof/>
        </w:rPr>
        <w:t>Les modifications apportées à l'état des recettes et des dépenses par section sont disponibles sur EUR-Lex (</w:t>
      </w:r>
      <w:hyperlink r:id="rId22">
        <w:r>
          <w:rPr>
            <w:rStyle w:val="Hyperlink"/>
            <w:noProof/>
            <w:color w:val="auto"/>
          </w:rPr>
          <w:t>http://eur-lex.europa.eu/budget/www/index-fr.htm</w:t>
        </w:r>
      </w:hyperlink>
      <w:r>
        <w:rPr>
          <w:noProof/>
        </w:rPr>
        <w:t>). Une version en anglais de ces modifications est jointe à titre indicatif en annexe budgétaire.</w:t>
      </w:r>
    </w:p>
    <w:p>
      <w:pPr>
        <w:rPr>
          <w:noProof/>
        </w:rPr>
        <w:sectPr>
          <w:headerReference w:type="even" r:id="rId23"/>
          <w:headerReference w:type="default" r:id="rId24"/>
          <w:footerReference w:type="even" r:id="rId25"/>
          <w:footerReference w:type="default" r:id="rId26"/>
          <w:headerReference w:type="first" r:id="rId27"/>
          <w:footerReference w:type="first" r:id="rId28"/>
          <w:pgSz w:w="11907" w:h="16839"/>
          <w:pgMar w:top="1418" w:right="1418" w:bottom="1418" w:left="1418" w:header="709" w:footer="709" w:gutter="0"/>
          <w:cols w:space="708"/>
          <w:docGrid w:linePitch="360"/>
        </w:sectPr>
      </w:pPr>
    </w:p>
    <w:p>
      <w:pPr>
        <w:pStyle w:val="TOCHeading"/>
        <w:rPr>
          <w:noProof/>
        </w:rPr>
      </w:pPr>
      <w:bookmarkStart w:id="2" w:name="_Toc294675429"/>
      <w:bookmarkStart w:id="3" w:name="_Toc272133653"/>
      <w:bookmarkStart w:id="4" w:name="_Toc294673202"/>
      <w:bookmarkStart w:id="5" w:name="_Toc318365572"/>
      <w:bookmarkStart w:id="6" w:name="_Toc361649893"/>
      <w:bookmarkStart w:id="7" w:name="_Toc387301589"/>
      <w:r>
        <w:rPr>
          <w:noProof/>
        </w:rPr>
        <w:lastRenderedPageBreak/>
        <w:t>TABLE DES MATIÈRES</w:t>
      </w:r>
    </w:p>
    <w:p>
      <w:pPr>
        <w:pStyle w:val="TOC1"/>
        <w:tabs>
          <w:tab w:val="left" w:pos="480"/>
          <w:tab w:val="right" w:leader="dot" w:pos="9061"/>
        </w:tabs>
        <w:rPr>
          <w:rFonts w:asciiTheme="minorHAnsi" w:eastAsiaTheme="minorEastAsia" w:hAnsiTheme="minorHAnsi" w:cstheme="minorBidi"/>
          <w:b w:val="0"/>
          <w:bCs w:val="0"/>
          <w:caps w:val="0"/>
          <w:noProof/>
          <w:sz w:val="22"/>
          <w:szCs w:val="22"/>
          <w:lang w:bidi="ar-SA"/>
        </w:rPr>
      </w:pPr>
      <w:r>
        <w:rPr>
          <w:noProof/>
        </w:rPr>
        <w:fldChar w:fldCharType="begin"/>
      </w:r>
      <w:r>
        <w:rPr>
          <w:noProof/>
        </w:rPr>
        <w:instrText xml:space="preserve"> TOC \o "1-3" \h \z \u </w:instrText>
      </w:r>
      <w:r>
        <w:rPr>
          <w:noProof/>
        </w:rPr>
        <w:fldChar w:fldCharType="separate"/>
      </w:r>
      <w:hyperlink w:anchor="_Toc419876814" w:history="1">
        <w:r>
          <w:rPr>
            <w:rStyle w:val="Hyperlink"/>
            <w:noProof/>
          </w:rPr>
          <w:t>1.</w:t>
        </w:r>
        <w:r>
          <w:rPr>
            <w:rFonts w:asciiTheme="minorHAnsi" w:eastAsiaTheme="minorEastAsia" w:hAnsiTheme="minorHAnsi" w:cstheme="minorBidi"/>
            <w:b w:val="0"/>
            <w:bCs w:val="0"/>
            <w:caps w:val="0"/>
            <w:noProof/>
            <w:sz w:val="22"/>
            <w:szCs w:val="22"/>
            <w:lang w:bidi="ar-SA"/>
          </w:rPr>
          <w:tab/>
        </w:r>
        <w:r>
          <w:rPr>
            <w:rStyle w:val="Hyperlink"/>
            <w:noProof/>
          </w:rPr>
          <w:t>Introduction</w:t>
        </w:r>
        <w:r>
          <w:rPr>
            <w:noProof/>
            <w:webHidden/>
          </w:rPr>
          <w:tab/>
        </w:r>
        <w:r>
          <w:rPr>
            <w:noProof/>
            <w:webHidden/>
          </w:rPr>
          <w:fldChar w:fldCharType="begin"/>
        </w:r>
        <w:r>
          <w:rPr>
            <w:noProof/>
            <w:webHidden/>
          </w:rPr>
          <w:instrText xml:space="preserve"> PAGEREF _Toc419876814 \h </w:instrText>
        </w:r>
        <w:r>
          <w:rPr>
            <w:noProof/>
            <w:webHidden/>
          </w:rPr>
        </w:r>
        <w:r>
          <w:rPr>
            <w:noProof/>
            <w:webHidden/>
          </w:rPr>
          <w:fldChar w:fldCharType="separate"/>
        </w:r>
        <w:r>
          <w:rPr>
            <w:noProof/>
            <w:webHidden/>
          </w:rPr>
          <w:t>3</w:t>
        </w:r>
        <w:r>
          <w:rPr>
            <w:noProof/>
            <w:webHidden/>
          </w:rPr>
          <w:fldChar w:fldCharType="end"/>
        </w:r>
      </w:hyperlink>
    </w:p>
    <w:p>
      <w:pPr>
        <w:pStyle w:val="TOC1"/>
        <w:tabs>
          <w:tab w:val="left" w:pos="480"/>
          <w:tab w:val="right" w:leader="dot" w:pos="9061"/>
        </w:tabs>
        <w:rPr>
          <w:rFonts w:asciiTheme="minorHAnsi" w:eastAsiaTheme="minorEastAsia" w:hAnsiTheme="minorHAnsi" w:cstheme="minorBidi"/>
          <w:b w:val="0"/>
          <w:bCs w:val="0"/>
          <w:caps w:val="0"/>
          <w:noProof/>
          <w:sz w:val="22"/>
          <w:szCs w:val="22"/>
          <w:lang w:bidi="ar-SA"/>
        </w:rPr>
      </w:pPr>
      <w:hyperlink w:anchor="_Toc419876815" w:history="1">
        <w:r>
          <w:rPr>
            <w:rStyle w:val="Hyperlink"/>
            <w:smallCaps/>
            <w:noProof/>
          </w:rPr>
          <w:t>2.</w:t>
        </w:r>
        <w:r>
          <w:rPr>
            <w:rFonts w:asciiTheme="minorHAnsi" w:eastAsiaTheme="minorEastAsia" w:hAnsiTheme="minorHAnsi" w:cstheme="minorBidi"/>
            <w:b w:val="0"/>
            <w:bCs w:val="0"/>
            <w:caps w:val="0"/>
            <w:noProof/>
            <w:sz w:val="22"/>
            <w:szCs w:val="22"/>
            <w:lang w:bidi="ar-SA"/>
          </w:rPr>
          <w:tab/>
        </w:r>
        <w:r>
          <w:rPr>
            <w:rStyle w:val="Hyperlink"/>
            <w:smallCaps/>
            <w:noProof/>
          </w:rPr>
          <w:t>Faire face aux pressions migratoires</w:t>
        </w:r>
        <w:r>
          <w:rPr>
            <w:noProof/>
            <w:webHidden/>
          </w:rPr>
          <w:tab/>
        </w:r>
        <w:r>
          <w:rPr>
            <w:noProof/>
            <w:webHidden/>
          </w:rPr>
          <w:fldChar w:fldCharType="begin"/>
        </w:r>
        <w:r>
          <w:rPr>
            <w:noProof/>
            <w:webHidden/>
          </w:rPr>
          <w:instrText xml:space="preserve"> PAGEREF _Toc419876815 \h </w:instrText>
        </w:r>
        <w:r>
          <w:rPr>
            <w:noProof/>
            <w:webHidden/>
          </w:rPr>
        </w:r>
        <w:r>
          <w:rPr>
            <w:noProof/>
            <w:webHidden/>
          </w:rPr>
          <w:fldChar w:fldCharType="separate"/>
        </w:r>
        <w:r>
          <w:rPr>
            <w:noProof/>
            <w:webHidden/>
          </w:rPr>
          <w:t>3</w:t>
        </w:r>
        <w:r>
          <w:rPr>
            <w:noProof/>
            <w:webHidden/>
          </w:rPr>
          <w:fldChar w:fldCharType="end"/>
        </w:r>
      </w:hyperlink>
    </w:p>
    <w:p>
      <w:pPr>
        <w:pStyle w:val="TOC2"/>
        <w:tabs>
          <w:tab w:val="left" w:pos="720"/>
          <w:tab w:val="right" w:leader="dot" w:pos="9061"/>
        </w:tabs>
        <w:rPr>
          <w:rFonts w:asciiTheme="minorHAnsi" w:eastAsiaTheme="minorEastAsia" w:hAnsiTheme="minorHAnsi" w:cstheme="minorBidi"/>
          <w:smallCaps w:val="0"/>
          <w:noProof/>
          <w:sz w:val="22"/>
          <w:szCs w:val="22"/>
          <w:lang w:bidi="ar-SA"/>
        </w:rPr>
      </w:pPr>
      <w:hyperlink w:anchor="_Toc419876816" w:history="1">
        <w:r>
          <w:rPr>
            <w:rStyle w:val="Hyperlink"/>
            <w:b/>
            <w:noProof/>
          </w:rPr>
          <w:t>2.1</w:t>
        </w:r>
        <w:r>
          <w:rPr>
            <w:rFonts w:asciiTheme="minorHAnsi" w:eastAsiaTheme="minorEastAsia" w:hAnsiTheme="minorHAnsi" w:cstheme="minorBidi"/>
            <w:smallCaps w:val="0"/>
            <w:noProof/>
            <w:sz w:val="22"/>
            <w:szCs w:val="22"/>
            <w:lang w:bidi="ar-SA"/>
          </w:rPr>
          <w:tab/>
        </w:r>
        <w:r>
          <w:rPr>
            <w:rStyle w:val="Hyperlink"/>
            <w:b/>
            <w:noProof/>
          </w:rPr>
          <w:t>Intensification nécessaire des efforts au niveau de l'UE</w:t>
        </w:r>
        <w:r>
          <w:rPr>
            <w:noProof/>
            <w:webHidden/>
          </w:rPr>
          <w:tab/>
        </w:r>
        <w:r>
          <w:rPr>
            <w:noProof/>
            <w:webHidden/>
          </w:rPr>
          <w:fldChar w:fldCharType="begin"/>
        </w:r>
        <w:r>
          <w:rPr>
            <w:noProof/>
            <w:webHidden/>
          </w:rPr>
          <w:instrText xml:space="preserve"> PAGEREF _Toc419876816 \h </w:instrText>
        </w:r>
        <w:r>
          <w:rPr>
            <w:noProof/>
            <w:webHidden/>
          </w:rPr>
        </w:r>
        <w:r>
          <w:rPr>
            <w:noProof/>
            <w:webHidden/>
          </w:rPr>
          <w:fldChar w:fldCharType="separate"/>
        </w:r>
        <w:r>
          <w:rPr>
            <w:noProof/>
            <w:webHidden/>
          </w:rPr>
          <w:t>3</w:t>
        </w:r>
        <w:r>
          <w:rPr>
            <w:noProof/>
            <w:webHidden/>
          </w:rPr>
          <w:fldChar w:fldCharType="end"/>
        </w:r>
      </w:hyperlink>
    </w:p>
    <w:p>
      <w:pPr>
        <w:pStyle w:val="TOC2"/>
        <w:tabs>
          <w:tab w:val="left" w:pos="720"/>
          <w:tab w:val="right" w:leader="dot" w:pos="9061"/>
        </w:tabs>
        <w:rPr>
          <w:rFonts w:asciiTheme="minorHAnsi" w:eastAsiaTheme="minorEastAsia" w:hAnsiTheme="minorHAnsi" w:cstheme="minorBidi"/>
          <w:smallCaps w:val="0"/>
          <w:noProof/>
          <w:sz w:val="22"/>
          <w:szCs w:val="22"/>
          <w:lang w:bidi="ar-SA"/>
        </w:rPr>
      </w:pPr>
      <w:hyperlink w:anchor="_Toc419876817" w:history="1">
        <w:r>
          <w:rPr>
            <w:rStyle w:val="Hyperlink"/>
            <w:b/>
            <w:noProof/>
          </w:rPr>
          <w:t>2.2</w:t>
        </w:r>
        <w:r>
          <w:rPr>
            <w:rFonts w:asciiTheme="minorHAnsi" w:eastAsiaTheme="minorEastAsia" w:hAnsiTheme="minorHAnsi" w:cstheme="minorBidi"/>
            <w:smallCaps w:val="0"/>
            <w:noProof/>
            <w:sz w:val="22"/>
            <w:szCs w:val="22"/>
            <w:lang w:bidi="ar-SA"/>
          </w:rPr>
          <w:tab/>
        </w:r>
        <w:r>
          <w:rPr>
            <w:rStyle w:val="Hyperlink"/>
            <w:b/>
            <w:noProof/>
          </w:rPr>
          <w:t>Mesures proposées pour un renforcement en 2015</w:t>
        </w:r>
        <w:r>
          <w:rPr>
            <w:noProof/>
            <w:webHidden/>
          </w:rPr>
          <w:tab/>
        </w:r>
        <w:r>
          <w:rPr>
            <w:noProof/>
            <w:webHidden/>
          </w:rPr>
          <w:fldChar w:fldCharType="begin"/>
        </w:r>
        <w:r>
          <w:rPr>
            <w:noProof/>
            <w:webHidden/>
          </w:rPr>
          <w:instrText xml:space="preserve"> PAGEREF _Toc419876817 \h </w:instrText>
        </w:r>
        <w:r>
          <w:rPr>
            <w:noProof/>
            <w:webHidden/>
          </w:rPr>
        </w:r>
        <w:r>
          <w:rPr>
            <w:noProof/>
            <w:webHidden/>
          </w:rPr>
          <w:fldChar w:fldCharType="separate"/>
        </w:r>
        <w:r>
          <w:rPr>
            <w:noProof/>
            <w:webHidden/>
          </w:rPr>
          <w:t>4</w:t>
        </w:r>
        <w:r>
          <w:rPr>
            <w:noProof/>
            <w:webHidden/>
          </w:rPr>
          <w:fldChar w:fldCharType="end"/>
        </w:r>
      </w:hyperlink>
    </w:p>
    <w:p>
      <w:pPr>
        <w:pStyle w:val="TOC2"/>
        <w:tabs>
          <w:tab w:val="left" w:pos="720"/>
          <w:tab w:val="right" w:leader="dot" w:pos="9061"/>
        </w:tabs>
        <w:rPr>
          <w:rFonts w:asciiTheme="minorHAnsi" w:eastAsiaTheme="minorEastAsia" w:hAnsiTheme="minorHAnsi" w:cstheme="minorBidi"/>
          <w:smallCaps w:val="0"/>
          <w:noProof/>
          <w:sz w:val="22"/>
          <w:szCs w:val="22"/>
          <w:lang w:bidi="ar-SA"/>
        </w:rPr>
      </w:pPr>
      <w:hyperlink w:anchor="_Toc419876818" w:history="1">
        <w:r>
          <w:rPr>
            <w:rStyle w:val="Hyperlink"/>
            <w:b/>
            <w:noProof/>
          </w:rPr>
          <w:t>2.3</w:t>
        </w:r>
        <w:r>
          <w:rPr>
            <w:rFonts w:asciiTheme="minorHAnsi" w:eastAsiaTheme="minorEastAsia" w:hAnsiTheme="minorHAnsi" w:cstheme="minorBidi"/>
            <w:smallCaps w:val="0"/>
            <w:noProof/>
            <w:sz w:val="22"/>
            <w:szCs w:val="22"/>
            <w:lang w:bidi="ar-SA"/>
          </w:rPr>
          <w:tab/>
        </w:r>
        <w:r>
          <w:rPr>
            <w:rStyle w:val="Hyperlink"/>
            <w:b/>
            <w:noProof/>
          </w:rPr>
          <w:t>Financement proposé pour les mesures en matière de migration</w:t>
        </w:r>
        <w:r>
          <w:rPr>
            <w:noProof/>
            <w:webHidden/>
          </w:rPr>
          <w:tab/>
        </w:r>
        <w:r>
          <w:rPr>
            <w:noProof/>
            <w:webHidden/>
          </w:rPr>
          <w:fldChar w:fldCharType="begin"/>
        </w:r>
        <w:r>
          <w:rPr>
            <w:noProof/>
            <w:webHidden/>
          </w:rPr>
          <w:instrText xml:space="preserve"> PAGEREF _Toc419876818 \h </w:instrText>
        </w:r>
        <w:r>
          <w:rPr>
            <w:noProof/>
            <w:webHidden/>
          </w:rPr>
        </w:r>
        <w:r>
          <w:rPr>
            <w:noProof/>
            <w:webHidden/>
          </w:rPr>
          <w:fldChar w:fldCharType="separate"/>
        </w:r>
        <w:r>
          <w:rPr>
            <w:noProof/>
            <w:webHidden/>
          </w:rPr>
          <w:t>5</w:t>
        </w:r>
        <w:r>
          <w:rPr>
            <w:noProof/>
            <w:webHidden/>
          </w:rPr>
          <w:fldChar w:fldCharType="end"/>
        </w:r>
      </w:hyperlink>
    </w:p>
    <w:p>
      <w:pPr>
        <w:pStyle w:val="TOC2"/>
        <w:tabs>
          <w:tab w:val="left" w:pos="720"/>
          <w:tab w:val="right" w:leader="dot" w:pos="9061"/>
        </w:tabs>
        <w:rPr>
          <w:rFonts w:asciiTheme="minorHAnsi" w:eastAsiaTheme="minorEastAsia" w:hAnsiTheme="minorHAnsi" w:cstheme="minorBidi"/>
          <w:smallCaps w:val="0"/>
          <w:noProof/>
          <w:sz w:val="22"/>
          <w:szCs w:val="22"/>
          <w:lang w:bidi="ar-SA"/>
        </w:rPr>
      </w:pPr>
      <w:hyperlink w:anchor="_Toc419876819" w:history="1">
        <w:r>
          <w:rPr>
            <w:rStyle w:val="Hyperlink"/>
            <w:b/>
            <w:noProof/>
          </w:rPr>
          <w:t>2.4</w:t>
        </w:r>
        <w:r>
          <w:rPr>
            <w:rFonts w:asciiTheme="minorHAnsi" w:eastAsiaTheme="minorEastAsia" w:hAnsiTheme="minorHAnsi" w:cstheme="minorBidi"/>
            <w:smallCaps w:val="0"/>
            <w:noProof/>
            <w:sz w:val="22"/>
            <w:szCs w:val="22"/>
            <w:lang w:bidi="ar-SA"/>
          </w:rPr>
          <w:tab/>
        </w:r>
        <w:r>
          <w:rPr>
            <w:rStyle w:val="Hyperlink"/>
            <w:b/>
            <w:noProof/>
          </w:rPr>
          <w:t>Redéploiement de crédits de paiement issus de Galileo</w:t>
        </w:r>
        <w:r>
          <w:rPr>
            <w:noProof/>
            <w:webHidden/>
          </w:rPr>
          <w:tab/>
        </w:r>
        <w:r>
          <w:rPr>
            <w:noProof/>
            <w:webHidden/>
          </w:rPr>
          <w:fldChar w:fldCharType="begin"/>
        </w:r>
        <w:r>
          <w:rPr>
            <w:noProof/>
            <w:webHidden/>
          </w:rPr>
          <w:instrText xml:space="preserve"> PAGEREF _Toc419876819 \h </w:instrText>
        </w:r>
        <w:r>
          <w:rPr>
            <w:noProof/>
            <w:webHidden/>
          </w:rPr>
        </w:r>
        <w:r>
          <w:rPr>
            <w:noProof/>
            <w:webHidden/>
          </w:rPr>
          <w:fldChar w:fldCharType="separate"/>
        </w:r>
        <w:r>
          <w:rPr>
            <w:noProof/>
            <w:webHidden/>
          </w:rPr>
          <w:t>6</w:t>
        </w:r>
        <w:r>
          <w:rPr>
            <w:noProof/>
            <w:webHidden/>
          </w:rPr>
          <w:fldChar w:fldCharType="end"/>
        </w:r>
      </w:hyperlink>
    </w:p>
    <w:p>
      <w:pPr>
        <w:pStyle w:val="TOC1"/>
        <w:tabs>
          <w:tab w:val="left" w:pos="480"/>
          <w:tab w:val="right" w:leader="dot" w:pos="9061"/>
        </w:tabs>
        <w:rPr>
          <w:rFonts w:asciiTheme="minorHAnsi" w:eastAsiaTheme="minorEastAsia" w:hAnsiTheme="minorHAnsi" w:cstheme="minorBidi"/>
          <w:b w:val="0"/>
          <w:bCs w:val="0"/>
          <w:caps w:val="0"/>
          <w:noProof/>
          <w:sz w:val="22"/>
          <w:szCs w:val="22"/>
          <w:lang w:bidi="ar-SA"/>
        </w:rPr>
      </w:pPr>
      <w:hyperlink w:anchor="_Toc419876820" w:history="1">
        <w:r>
          <w:rPr>
            <w:rStyle w:val="Hyperlink"/>
            <w:noProof/>
          </w:rPr>
          <w:t>3.</w:t>
        </w:r>
        <w:r>
          <w:rPr>
            <w:rFonts w:asciiTheme="minorHAnsi" w:eastAsiaTheme="minorEastAsia" w:hAnsiTheme="minorHAnsi" w:cstheme="minorBidi"/>
            <w:b w:val="0"/>
            <w:bCs w:val="0"/>
            <w:caps w:val="0"/>
            <w:noProof/>
            <w:sz w:val="22"/>
            <w:szCs w:val="22"/>
            <w:lang w:bidi="ar-SA"/>
          </w:rPr>
          <w:tab/>
        </w:r>
        <w:r>
          <w:rPr>
            <w:rStyle w:val="Hyperlink"/>
            <w:noProof/>
          </w:rPr>
          <w:t>Tableau récapitulatif par rubrique du CFP</w:t>
        </w:r>
        <w:r>
          <w:rPr>
            <w:noProof/>
            <w:webHidden/>
          </w:rPr>
          <w:tab/>
        </w:r>
        <w:r>
          <w:rPr>
            <w:noProof/>
            <w:webHidden/>
          </w:rPr>
          <w:fldChar w:fldCharType="begin"/>
        </w:r>
        <w:r>
          <w:rPr>
            <w:noProof/>
            <w:webHidden/>
          </w:rPr>
          <w:instrText xml:space="preserve"> PAGEREF _Toc419876820 \h </w:instrText>
        </w:r>
        <w:r>
          <w:rPr>
            <w:noProof/>
            <w:webHidden/>
          </w:rPr>
        </w:r>
        <w:r>
          <w:rPr>
            <w:noProof/>
            <w:webHidden/>
          </w:rPr>
          <w:fldChar w:fldCharType="separate"/>
        </w:r>
        <w:r>
          <w:rPr>
            <w:noProof/>
            <w:webHidden/>
          </w:rPr>
          <w:t>7</w:t>
        </w:r>
        <w:r>
          <w:rPr>
            <w:noProof/>
            <w:webHidden/>
          </w:rPr>
          <w:fldChar w:fldCharType="end"/>
        </w:r>
      </w:hyperlink>
    </w:p>
    <w:p>
      <w:pPr>
        <w:pStyle w:val="TOC1"/>
        <w:tabs>
          <w:tab w:val="left" w:pos="480"/>
          <w:tab w:val="right" w:leader="dot" w:pos="9061"/>
        </w:tabs>
        <w:rPr>
          <w:rFonts w:ascii="Calibri" w:hAnsi="Calibri"/>
          <w:b w:val="0"/>
          <w:bCs w:val="0"/>
          <w:caps w:val="0"/>
          <w:noProof/>
          <w:sz w:val="22"/>
          <w:szCs w:val="22"/>
        </w:rPr>
      </w:pPr>
      <w:r>
        <w:rPr>
          <w:noProof/>
        </w:rPr>
        <w:fldChar w:fldCharType="end"/>
      </w:r>
    </w:p>
    <w:p>
      <w:pPr>
        <w:rPr>
          <w:noProof/>
        </w:rPr>
        <w:sectPr>
          <w:headerReference w:type="even" r:id="rId29"/>
          <w:headerReference w:type="default" r:id="rId30"/>
          <w:footerReference w:type="even" r:id="rId31"/>
          <w:footerReference w:type="default" r:id="rId32"/>
          <w:headerReference w:type="first" r:id="rId33"/>
          <w:footerReference w:type="first" r:id="rId34"/>
          <w:pgSz w:w="11907" w:h="16839"/>
          <w:pgMar w:top="1418" w:right="1418" w:bottom="1418" w:left="1418" w:header="709" w:footer="709" w:gutter="0"/>
          <w:cols w:space="720"/>
        </w:sectPr>
      </w:pPr>
    </w:p>
    <w:p>
      <w:pPr>
        <w:pStyle w:val="ManualHeading1"/>
        <w:spacing w:before="240"/>
        <w:ind w:left="851" w:hanging="851"/>
        <w:rPr>
          <w:noProof/>
        </w:rPr>
      </w:pPr>
      <w:bookmarkStart w:id="8" w:name="_Toc385506031"/>
      <w:bookmarkStart w:id="9" w:name="_Toc418618196"/>
      <w:bookmarkStart w:id="10" w:name="_Toc419876814"/>
      <w:bookmarkStart w:id="11" w:name="_Toc351469332"/>
      <w:bookmarkStart w:id="12" w:name="_Toc361649879"/>
      <w:r>
        <w:rPr>
          <w:noProof/>
        </w:rPr>
        <w:t>1.</w:t>
      </w:r>
      <w:r>
        <w:rPr>
          <w:noProof/>
        </w:rPr>
        <w:tab/>
        <w:t>Introduction</w:t>
      </w:r>
      <w:bookmarkEnd w:id="8"/>
      <w:bookmarkEnd w:id="9"/>
      <w:bookmarkEnd w:id="10"/>
    </w:p>
    <w:p>
      <w:pPr>
        <w:spacing w:before="120" w:after="120"/>
        <w:jc w:val="both"/>
        <w:rPr>
          <w:noProof/>
        </w:rPr>
      </w:pPr>
      <w:r>
        <w:rPr>
          <w:noProof/>
        </w:rPr>
        <w:t xml:space="preserve">Le projet de budget rectificatif (PBR) nº 5 pour l'exercice 2015 porte sur un renforcement des ressources de l'Union en faveur de la gestion des flux migratoires et des flux de réfugiés, à la suite des récents événements survenus dans le sud de la Méditerranée, en particulier via l'affectation de crédits supplémentaires à l'agence Frontex, au Fonds «Asile, migration et intégration» (AMIF) et au Fonds pour la sécurité intérieure (FSI). </w:t>
      </w:r>
    </w:p>
    <w:p>
      <w:pPr>
        <w:spacing w:before="120" w:after="120"/>
        <w:jc w:val="both"/>
        <w:rPr>
          <w:noProof/>
        </w:rPr>
      </w:pPr>
      <w:r>
        <w:rPr>
          <w:noProof/>
        </w:rPr>
        <w:t>Compte tenu des possibilités de redéploiement, notamment à partir du programme Galileo en ce qui concerne les paiements, l'augmentation nette totale des crédits demandés à cet effet s'élève à 75,8 millions d'EUR en crédits d'engagement et à 0 EUR en crédits de paiement.</w:t>
      </w:r>
    </w:p>
    <w:p>
      <w:pPr>
        <w:keepNext/>
        <w:tabs>
          <w:tab w:val="left" w:pos="850"/>
        </w:tabs>
        <w:spacing w:before="360" w:after="120"/>
        <w:ind w:left="851" w:hanging="851"/>
        <w:jc w:val="both"/>
        <w:outlineLvl w:val="0"/>
        <w:rPr>
          <w:b/>
          <w:smallCaps/>
          <w:noProof/>
        </w:rPr>
      </w:pPr>
      <w:bookmarkStart w:id="13" w:name="_Toc385506032"/>
      <w:bookmarkStart w:id="14" w:name="_Toc367427548"/>
      <w:bookmarkStart w:id="15" w:name="_Toc309303297"/>
      <w:bookmarkStart w:id="16" w:name="_Toc418618197"/>
      <w:bookmarkStart w:id="17" w:name="_Toc419876815"/>
      <w:r>
        <w:rPr>
          <w:b/>
          <w:smallCaps/>
          <w:noProof/>
        </w:rPr>
        <w:t>2.</w:t>
      </w:r>
      <w:r>
        <w:rPr>
          <w:noProof/>
        </w:rPr>
        <w:tab/>
      </w:r>
      <w:bookmarkEnd w:id="13"/>
      <w:bookmarkEnd w:id="14"/>
      <w:bookmarkEnd w:id="15"/>
      <w:r>
        <w:rPr>
          <w:b/>
          <w:smallCaps/>
          <w:noProof/>
        </w:rPr>
        <w:t>Faire face aux pressions migratoires</w:t>
      </w:r>
      <w:bookmarkEnd w:id="16"/>
      <w:bookmarkEnd w:id="17"/>
    </w:p>
    <w:p>
      <w:pPr>
        <w:keepNext/>
        <w:tabs>
          <w:tab w:val="left" w:pos="709"/>
        </w:tabs>
        <w:spacing w:before="120" w:after="120"/>
        <w:ind w:left="709" w:hanging="709"/>
        <w:jc w:val="both"/>
        <w:outlineLvl w:val="1"/>
        <w:rPr>
          <w:b/>
          <w:noProof/>
        </w:rPr>
      </w:pPr>
      <w:bookmarkStart w:id="18" w:name="_Toc309303298"/>
      <w:bookmarkStart w:id="19" w:name="_Toc385506033"/>
      <w:bookmarkStart w:id="20" w:name="_Toc367427549"/>
      <w:bookmarkStart w:id="21" w:name="_Toc418618198"/>
      <w:bookmarkStart w:id="22" w:name="_Toc419876816"/>
      <w:r>
        <w:rPr>
          <w:b/>
          <w:noProof/>
        </w:rPr>
        <w:t>2.1</w:t>
      </w:r>
      <w:r>
        <w:rPr>
          <w:noProof/>
        </w:rPr>
        <w:tab/>
      </w:r>
      <w:bookmarkEnd w:id="18"/>
      <w:bookmarkEnd w:id="19"/>
      <w:bookmarkEnd w:id="20"/>
      <w:r>
        <w:rPr>
          <w:b/>
          <w:noProof/>
        </w:rPr>
        <w:t>Intensification nécessaire des efforts au niveau de l'UE</w:t>
      </w:r>
      <w:bookmarkEnd w:id="21"/>
      <w:bookmarkEnd w:id="22"/>
    </w:p>
    <w:p>
      <w:pPr>
        <w:spacing w:before="120" w:after="120"/>
        <w:jc w:val="both"/>
        <w:rPr>
          <w:noProof/>
        </w:rPr>
      </w:pPr>
      <w:r>
        <w:rPr>
          <w:noProof/>
        </w:rPr>
        <w:t xml:space="preserve">À la suite des événements tragiques survenus récemment en Méditerranée, dont on estime qu'ils ont coûté la vie à 700 personnes, le Conseil comme le Parlement ont convenu que l'Union européenne devait prendre des mesures. </w:t>
      </w:r>
    </w:p>
    <w:p>
      <w:pPr>
        <w:spacing w:before="120" w:after="120"/>
        <w:jc w:val="both"/>
        <w:rPr>
          <w:noProof/>
        </w:rPr>
      </w:pPr>
      <w:r>
        <w:rPr>
          <w:noProof/>
        </w:rPr>
        <w:t>Dans la déclaration diffusée à l'issue de sa réunion extraordinaire du 23 avril 2015</w:t>
      </w:r>
      <w:r>
        <w:rPr>
          <w:noProof/>
          <w:vertAlign w:val="superscript"/>
        </w:rPr>
        <w:footnoteReference w:id="8"/>
      </w:r>
      <w:r>
        <w:rPr>
          <w:noProof/>
        </w:rPr>
        <w:t>, le Conseil européen a préconisé plusieurs mesures, à savoir:</w:t>
      </w:r>
    </w:p>
    <w:p>
      <w:pPr>
        <w:numPr>
          <w:ilvl w:val="0"/>
          <w:numId w:val="43"/>
        </w:numPr>
        <w:spacing w:before="120" w:after="120"/>
        <w:jc w:val="both"/>
        <w:rPr>
          <w:noProof/>
        </w:rPr>
      </w:pPr>
      <w:r>
        <w:rPr>
          <w:noProof/>
        </w:rPr>
        <w:t>le renforcement des opérations conjointes Triton et Poséidon menées respectivement par l'Italie et la Grèce, auxquelles participent d'autres États membres qui fournissent matériel et ressources, et qui sont coordonnées et cofinancées par l'intermédiaire de l'agence Frontex dans le cadre du budget de l'UE;</w:t>
      </w:r>
    </w:p>
    <w:p>
      <w:pPr>
        <w:numPr>
          <w:ilvl w:val="0"/>
          <w:numId w:val="43"/>
        </w:numPr>
        <w:spacing w:before="120" w:after="120"/>
        <w:jc w:val="both"/>
        <w:rPr>
          <w:noProof/>
        </w:rPr>
      </w:pPr>
      <w:r>
        <w:rPr>
          <w:noProof/>
        </w:rPr>
        <w:t>l'augmentation de l'aide d'urgence destinée aux États membres qui se trouvent en première ligne;</w:t>
      </w:r>
    </w:p>
    <w:p>
      <w:pPr>
        <w:numPr>
          <w:ilvl w:val="0"/>
          <w:numId w:val="43"/>
        </w:numPr>
        <w:spacing w:before="120" w:after="120"/>
        <w:jc w:val="both"/>
        <w:rPr>
          <w:noProof/>
        </w:rPr>
      </w:pPr>
      <w:r>
        <w:rPr>
          <w:noProof/>
        </w:rPr>
        <w:t>la mise en place d'un projet pilote volontaire en matière de réinstallation des réfugiés actuellement bloqués dans des pays tiers;</w:t>
      </w:r>
    </w:p>
    <w:p>
      <w:pPr>
        <w:numPr>
          <w:ilvl w:val="0"/>
          <w:numId w:val="43"/>
        </w:numPr>
        <w:spacing w:before="120" w:after="120"/>
        <w:jc w:val="both"/>
        <w:rPr>
          <w:noProof/>
        </w:rPr>
      </w:pPr>
      <w:r>
        <w:rPr>
          <w:noProof/>
        </w:rPr>
        <w:t>la mise en place d'un nouveau programme de retour en vue d'assurer le retour rapide des migrants clandestins;</w:t>
      </w:r>
    </w:p>
    <w:p>
      <w:pPr>
        <w:numPr>
          <w:ilvl w:val="0"/>
          <w:numId w:val="43"/>
        </w:numPr>
        <w:spacing w:before="120" w:after="120"/>
        <w:jc w:val="both"/>
        <w:rPr>
          <w:noProof/>
        </w:rPr>
      </w:pPr>
      <w:r>
        <w:rPr>
          <w:noProof/>
        </w:rPr>
        <w:t>le lancement de programmes régionaux de développement et de protection pour l'Afrique du Nord et la Corne de l'Afrique.</w:t>
      </w:r>
    </w:p>
    <w:p>
      <w:pPr>
        <w:spacing w:before="120" w:after="120"/>
        <w:jc w:val="both"/>
        <w:rPr>
          <w:noProof/>
        </w:rPr>
      </w:pPr>
      <w:r>
        <w:rPr>
          <w:noProof/>
        </w:rPr>
        <w:t>Dans sa résolution du 29 avril 2015</w:t>
      </w:r>
      <w:r>
        <w:rPr>
          <w:noProof/>
          <w:vertAlign w:val="superscript"/>
        </w:rPr>
        <w:footnoteReference w:id="9"/>
      </w:r>
      <w:r>
        <w:rPr>
          <w:noProof/>
        </w:rPr>
        <w:t>, le Parlement européen a appelé l'Union et les États membres à fournir les ressources nécessaires pour garantir que les obligations en matière de recherche et de sauvetage sont effectivement exécutées et, par conséquent, dûment financées; il a réaffirmé qu'il est nécessaire que l'Union européenne accentue le partage équitable de responsabilité et la solidarité envers les États membres qui accueillent le plus grand nombre de réfugiés et de demandeurs d'asile, aussi bien en valeur absolue que relative; et il a insisté sur la nécessité de fournir aux agences plus directement concernées les ressources nécessaires pour s'acquitter des obligations qui leur incombent.</w:t>
      </w:r>
    </w:p>
    <w:p>
      <w:pPr>
        <w:spacing w:before="120" w:after="120"/>
        <w:jc w:val="both"/>
        <w:rPr>
          <w:noProof/>
        </w:rPr>
      </w:pPr>
      <w:r>
        <w:rPr>
          <w:noProof/>
        </w:rPr>
        <w:t>Les propositions contenues dans le présent projet de budget rectificatif (PBR) traduisent les orientations données par le Conseil européen et le Parlement européen, tout en prenant en considération l'approche stratégique de la Commission exposée dans l'agenda européen en matière de migration</w:t>
      </w:r>
      <w:r>
        <w:rPr>
          <w:rStyle w:val="FootnoteReference"/>
          <w:noProof/>
        </w:rPr>
        <w:footnoteReference w:id="10"/>
      </w:r>
      <w:r>
        <w:rPr>
          <w:noProof/>
        </w:rPr>
        <w:t>:</w:t>
      </w:r>
    </w:p>
    <w:p>
      <w:pPr>
        <w:numPr>
          <w:ilvl w:val="0"/>
          <w:numId w:val="47"/>
        </w:numPr>
        <w:spacing w:before="120" w:after="120"/>
        <w:jc w:val="both"/>
        <w:rPr>
          <w:noProof/>
        </w:rPr>
      </w:pPr>
      <w:r>
        <w:rPr>
          <w:noProof/>
        </w:rPr>
        <w:t xml:space="preserve">Réponses immédiates aux pressions migratoires: </w:t>
      </w:r>
    </w:p>
    <w:p>
      <w:pPr>
        <w:numPr>
          <w:ilvl w:val="1"/>
          <w:numId w:val="47"/>
        </w:numPr>
        <w:spacing w:before="120" w:after="120"/>
        <w:jc w:val="both"/>
        <w:rPr>
          <w:noProof/>
        </w:rPr>
      </w:pPr>
      <w:r>
        <w:rPr>
          <w:noProof/>
        </w:rPr>
        <w:t xml:space="preserve">renforcement de la présence en mer; </w:t>
      </w:r>
    </w:p>
    <w:p>
      <w:pPr>
        <w:numPr>
          <w:ilvl w:val="1"/>
          <w:numId w:val="47"/>
        </w:numPr>
        <w:spacing w:before="120" w:after="120"/>
        <w:jc w:val="both"/>
        <w:rPr>
          <w:noProof/>
        </w:rPr>
      </w:pPr>
      <w:r>
        <w:rPr>
          <w:noProof/>
        </w:rPr>
        <w:t xml:space="preserve">renforcement de l'échange d'informations pour lutter contre le trafic de migrants; </w:t>
      </w:r>
    </w:p>
    <w:p>
      <w:pPr>
        <w:numPr>
          <w:ilvl w:val="1"/>
          <w:numId w:val="47"/>
        </w:numPr>
        <w:spacing w:before="120" w:after="120"/>
        <w:jc w:val="both"/>
        <w:rPr>
          <w:noProof/>
        </w:rPr>
      </w:pPr>
      <w:r>
        <w:rPr>
          <w:noProof/>
        </w:rPr>
        <w:t>mobilisation des agences et des ressources de l'UE;</w:t>
      </w:r>
    </w:p>
    <w:p>
      <w:pPr>
        <w:numPr>
          <w:ilvl w:val="1"/>
          <w:numId w:val="47"/>
        </w:numPr>
        <w:rPr>
          <w:noProof/>
        </w:rPr>
      </w:pPr>
      <w:r>
        <w:rPr>
          <w:noProof/>
        </w:rPr>
        <w:t>mise en place d'une réaction européenne en cas d'afflux massifs de migrants;</w:t>
      </w:r>
    </w:p>
    <w:p>
      <w:pPr>
        <w:numPr>
          <w:ilvl w:val="1"/>
          <w:numId w:val="47"/>
        </w:numPr>
        <w:spacing w:before="120" w:after="120"/>
        <w:jc w:val="both"/>
        <w:rPr>
          <w:noProof/>
        </w:rPr>
      </w:pPr>
      <w:r>
        <w:rPr>
          <w:noProof/>
        </w:rPr>
        <w:t>instauration d'un mécanisme de réinstallation;</w:t>
      </w:r>
    </w:p>
    <w:p>
      <w:pPr>
        <w:numPr>
          <w:ilvl w:val="1"/>
          <w:numId w:val="47"/>
        </w:numPr>
        <w:spacing w:before="120" w:after="120"/>
        <w:jc w:val="both"/>
        <w:rPr>
          <w:noProof/>
        </w:rPr>
      </w:pPr>
      <w:r>
        <w:rPr>
          <w:noProof/>
        </w:rPr>
        <w:t>intervention en amont dans les pays tiers.</w:t>
      </w:r>
    </w:p>
    <w:p>
      <w:pPr>
        <w:numPr>
          <w:ilvl w:val="0"/>
          <w:numId w:val="47"/>
        </w:numPr>
        <w:spacing w:before="120" w:after="120"/>
        <w:jc w:val="both"/>
        <w:rPr>
          <w:noProof/>
        </w:rPr>
      </w:pPr>
      <w:r>
        <w:rPr>
          <w:noProof/>
        </w:rPr>
        <w:t xml:space="preserve">Quatre piliers pour une meilleure gestion des migrations: </w:t>
      </w:r>
    </w:p>
    <w:p>
      <w:pPr>
        <w:numPr>
          <w:ilvl w:val="1"/>
          <w:numId w:val="47"/>
        </w:numPr>
        <w:spacing w:before="120" w:after="120"/>
        <w:jc w:val="both"/>
        <w:rPr>
          <w:noProof/>
        </w:rPr>
      </w:pPr>
      <w:r>
        <w:rPr>
          <w:noProof/>
        </w:rPr>
        <w:t xml:space="preserve">une politique commune solide en matière d'asile; </w:t>
      </w:r>
    </w:p>
    <w:p>
      <w:pPr>
        <w:numPr>
          <w:ilvl w:val="1"/>
          <w:numId w:val="47"/>
        </w:numPr>
        <w:spacing w:before="120" w:after="120"/>
        <w:jc w:val="both"/>
        <w:rPr>
          <w:noProof/>
        </w:rPr>
      </w:pPr>
      <w:r>
        <w:rPr>
          <w:noProof/>
        </w:rPr>
        <w:t>lutte contre le trafic de migrants et la traite des êtres humains et prévention de la migration irrégulière;</w:t>
      </w:r>
    </w:p>
    <w:p>
      <w:pPr>
        <w:numPr>
          <w:ilvl w:val="1"/>
          <w:numId w:val="47"/>
        </w:numPr>
        <w:spacing w:before="120" w:after="120"/>
        <w:jc w:val="both"/>
        <w:rPr>
          <w:noProof/>
        </w:rPr>
      </w:pPr>
      <w:r>
        <w:rPr>
          <w:noProof/>
        </w:rPr>
        <w:t>garantie de la sécurité des frontières extérieures et préservation des vies;</w:t>
      </w:r>
    </w:p>
    <w:p>
      <w:pPr>
        <w:numPr>
          <w:ilvl w:val="1"/>
          <w:numId w:val="47"/>
        </w:numPr>
        <w:spacing w:before="120" w:after="120"/>
        <w:jc w:val="both"/>
        <w:rPr>
          <w:noProof/>
        </w:rPr>
      </w:pPr>
      <w:r>
        <w:rPr>
          <w:noProof/>
        </w:rPr>
        <w:t xml:space="preserve">une nouvelle politique de migration légale. </w:t>
      </w:r>
    </w:p>
    <w:p>
      <w:pPr>
        <w:numPr>
          <w:ilvl w:val="0"/>
          <w:numId w:val="47"/>
        </w:numPr>
        <w:spacing w:before="120" w:after="120"/>
        <w:jc w:val="both"/>
        <w:rPr>
          <w:noProof/>
        </w:rPr>
      </w:pPr>
      <w:r>
        <w:rPr>
          <w:noProof/>
        </w:rPr>
        <w:t>Perspectives: approfondissement de la coopération européenne dans le domaine des migrations:</w:t>
      </w:r>
    </w:p>
    <w:p>
      <w:pPr>
        <w:numPr>
          <w:ilvl w:val="1"/>
          <w:numId w:val="47"/>
        </w:numPr>
        <w:spacing w:before="120" w:after="120"/>
        <w:jc w:val="both"/>
        <w:rPr>
          <w:noProof/>
        </w:rPr>
      </w:pPr>
      <w:r>
        <w:rPr>
          <w:noProof/>
        </w:rPr>
        <w:t>application intégrale du régime d'asile européen commun;</w:t>
      </w:r>
    </w:p>
    <w:p>
      <w:pPr>
        <w:numPr>
          <w:ilvl w:val="1"/>
          <w:numId w:val="47"/>
        </w:numPr>
        <w:spacing w:before="120" w:after="120"/>
        <w:jc w:val="both"/>
        <w:rPr>
          <w:noProof/>
        </w:rPr>
      </w:pPr>
      <w:r>
        <w:rPr>
          <w:noProof/>
        </w:rPr>
        <w:t>responsabilité partagée en matière de gestion des frontières;</w:t>
      </w:r>
    </w:p>
    <w:p>
      <w:pPr>
        <w:numPr>
          <w:ilvl w:val="1"/>
          <w:numId w:val="47"/>
        </w:numPr>
        <w:spacing w:before="120" w:after="120"/>
        <w:jc w:val="both"/>
        <w:rPr>
          <w:noProof/>
        </w:rPr>
      </w:pPr>
      <w:r>
        <w:rPr>
          <w:noProof/>
        </w:rPr>
        <w:t>nouveau modèle de migration légale.</w:t>
      </w:r>
    </w:p>
    <w:p>
      <w:pPr>
        <w:keepNext/>
        <w:tabs>
          <w:tab w:val="left" w:pos="709"/>
        </w:tabs>
        <w:spacing w:before="120" w:after="120"/>
        <w:ind w:left="709" w:hanging="709"/>
        <w:jc w:val="both"/>
        <w:outlineLvl w:val="1"/>
        <w:rPr>
          <w:b/>
          <w:noProof/>
        </w:rPr>
      </w:pPr>
      <w:bookmarkStart w:id="23" w:name="_Toc418618199"/>
      <w:bookmarkStart w:id="24" w:name="_Toc419876817"/>
      <w:r>
        <w:rPr>
          <w:b/>
          <w:noProof/>
        </w:rPr>
        <w:t>2.2</w:t>
      </w:r>
      <w:r>
        <w:rPr>
          <w:noProof/>
        </w:rPr>
        <w:tab/>
      </w:r>
      <w:r>
        <w:rPr>
          <w:b/>
          <w:noProof/>
        </w:rPr>
        <w:t>Mesures proposées pour un renforcement en 2015</w:t>
      </w:r>
      <w:bookmarkEnd w:id="23"/>
      <w:bookmarkEnd w:id="24"/>
    </w:p>
    <w:p>
      <w:pPr>
        <w:spacing w:before="120" w:after="120"/>
        <w:jc w:val="both"/>
        <w:rPr>
          <w:noProof/>
        </w:rPr>
      </w:pPr>
      <w:r>
        <w:rPr>
          <w:noProof/>
        </w:rPr>
        <w:t>Les mesures proposées pour un renforcement en 2015 par l'intermédiaire du présent budget rectificatif sont les suivantes:</w:t>
      </w:r>
    </w:p>
    <w:p>
      <w:pPr>
        <w:numPr>
          <w:ilvl w:val="0"/>
          <w:numId w:val="44"/>
        </w:numPr>
        <w:spacing w:before="120" w:after="120"/>
        <w:jc w:val="both"/>
        <w:rPr>
          <w:noProof/>
        </w:rPr>
      </w:pPr>
      <w:r>
        <w:rPr>
          <w:noProof/>
        </w:rPr>
        <w:t>La Commission propose d'augmenter en 2015 la contribution de l'Union à Frontex d'un montant supplémentaire de 26,8 millions d'EUR tant en crédits d'engagement qu'en crédits de paiement. L'objectif est de multiplier par trois le financement en faveur des opérations conjointes Triton et Poséidon au cours des sept derniers mois de 2015 et de couvrir les dépenses liées aux emplois supplémentaires demandés en 2015 pour Frontex (voir ci-après). Le renforcement de Triton et de Poséidon sera fondé sur l'intensification de la surveillance aérienne et maritime dans une zone géographique élargie afin de correspondre à la couverture de l'opération «Mare Nostrum», conformément aux conclusions du Conseil européen. Frontex déploiera un plus grand nombre de navires et d'avions, en s'appuyant sur les moyens fournis par les États membres, et actualisera l'état de la situation dans les zones opérationnelles afin d'améliorer les possibilités de recherche et de sauvetage.</w:t>
      </w:r>
    </w:p>
    <w:p>
      <w:pPr>
        <w:numPr>
          <w:ilvl w:val="0"/>
          <w:numId w:val="44"/>
        </w:numPr>
        <w:spacing w:before="120" w:after="120"/>
        <w:jc w:val="both"/>
        <w:rPr>
          <w:noProof/>
        </w:rPr>
      </w:pPr>
      <w:r>
        <w:rPr>
          <w:noProof/>
        </w:rPr>
        <w:t xml:space="preserve">Pour aider les États membres qui se trouvent en première ligne à accueillir un plus grand nombre de migrants, la Commission propose de renforcer le Fonds «Asile, migration et intégration» (AMIF) et le Fonds pour la sécurité intérieure (FSI): </w:t>
      </w:r>
    </w:p>
    <w:p>
      <w:pPr>
        <w:numPr>
          <w:ilvl w:val="1"/>
          <w:numId w:val="44"/>
        </w:numPr>
        <w:spacing w:before="120" w:after="120"/>
        <w:jc w:val="both"/>
        <w:rPr>
          <w:noProof/>
        </w:rPr>
      </w:pPr>
      <w:r>
        <w:rPr>
          <w:noProof/>
        </w:rPr>
        <w:t xml:space="preserve">Concernant l'AMIF (poste 18 03 01 01), un montant supplémentaire de 57,0 millions d'EUR en crédits d'engagement et de 45,6 millions d'EUR en crédits de paiement est demandé pour 2015. Ce montant permettra de doubler l'aide d'urgence fournie par la Commission pour aider les États membres situés en première ligne à accueillir le nombre accru de migrants qui se présentent/sont secourus à la suite des opérations Triton et Poséidon renforcées, lors de l'ensemble des étapes du processus qui suit la première arrivée et le filtrage des migrants (25 millions d'EUR), et de mettre en œuvre un programme de réinstallation à l'échelle de l'UE (25 millions d'EUR). Les programmes régionaux de développement et de protection pour l'Afrique du Nord et la Corne de l'Afrique seront eux aussi renforcés (7 millions d'EUR). </w:t>
      </w:r>
    </w:p>
    <w:p>
      <w:pPr>
        <w:numPr>
          <w:ilvl w:val="1"/>
          <w:numId w:val="44"/>
        </w:numPr>
        <w:spacing w:before="120" w:after="120"/>
        <w:jc w:val="both"/>
        <w:rPr>
          <w:noProof/>
        </w:rPr>
      </w:pPr>
      <w:r>
        <w:rPr>
          <w:noProof/>
        </w:rPr>
        <w:t xml:space="preserve">Pour ce qui est du FSI (poste 18 02 01 01), un montant supplémentaire de 5 millions d'EUR en crédits d'engagement et de 4 millions d'EUR en crédits de paiement est demandé pour 2015. Il couvrira l'aide d'urgence pour les activités de surveillance menées dans le cadre de Triton et de Poséidon. Il permettra de renforcer les activités liées à l'accueil initial telles que l'identification, les premiers soins médicaux, l'achat d'équipement pour les contrôles aux frontières et le transport des migrants. </w:t>
      </w:r>
    </w:p>
    <w:p>
      <w:pPr>
        <w:numPr>
          <w:ilvl w:val="0"/>
          <w:numId w:val="44"/>
        </w:numPr>
        <w:spacing w:before="120" w:after="120"/>
        <w:jc w:val="both"/>
        <w:rPr>
          <w:noProof/>
        </w:rPr>
      </w:pPr>
      <w:r>
        <w:rPr>
          <w:noProof/>
        </w:rPr>
        <w:t>Un surcroît de travail étant à prévoir pour les trois agences de l’UE les plus directement concernées, la Commission propose que leurs effectifs fassent l'objet des hausses limitées suivantes:</w:t>
      </w:r>
    </w:p>
    <w:p>
      <w:pPr>
        <w:numPr>
          <w:ilvl w:val="1"/>
          <w:numId w:val="44"/>
        </w:numPr>
        <w:spacing w:before="120" w:after="120"/>
        <w:jc w:val="both"/>
        <w:rPr>
          <w:noProof/>
        </w:rPr>
      </w:pPr>
      <w:r>
        <w:rPr>
          <w:noProof/>
        </w:rPr>
        <w:t xml:space="preserve">Frontex: 16 postes supplémentaires pour prendre en charge le renforcement des opérations Triton et Poséidon, pour développer la coopération avec d’autres agences de l’UE en ce qui concerne le démantèlement des réseaux de passeurs et pour déployer de nouveaux agents de liaison auprès de pays tiers. Les dépenses supplémentaires correspondantes en 2015 sont estimées à 528 000 EUR. </w:t>
      </w:r>
    </w:p>
    <w:p>
      <w:pPr>
        <w:numPr>
          <w:ilvl w:val="1"/>
          <w:numId w:val="44"/>
        </w:numPr>
        <w:spacing w:before="120" w:after="120"/>
        <w:jc w:val="both"/>
        <w:rPr>
          <w:noProof/>
        </w:rPr>
      </w:pPr>
      <w:r>
        <w:rPr>
          <w:noProof/>
        </w:rPr>
        <w:t>Europol: 3 postes supplémentaires pour œuvrer au démantèlement des réseaux de passeurs et à la détection des contenus utilisés sur internet par les trafiquants afin d'attirer des migrants et des réfugiés et pour demander la suppression de ces contenus. Les dépenses supplémentaires correspondantes en 2015 sont estimées à 99 000 EUR.</w:t>
      </w:r>
    </w:p>
    <w:p>
      <w:pPr>
        <w:numPr>
          <w:ilvl w:val="1"/>
          <w:numId w:val="44"/>
        </w:numPr>
        <w:spacing w:before="120" w:after="120"/>
        <w:jc w:val="both"/>
        <w:rPr>
          <w:noProof/>
        </w:rPr>
      </w:pPr>
      <w:r>
        <w:rPr>
          <w:noProof/>
        </w:rPr>
        <w:t>Bureau européen d’appui en matière d’asile (EASO): 4 postes supplémentaires pour le démantèlement des réseaux de passeurs et pour le déploiement d'équipes supplémentaires chargées du traitement conjoint des demandes d’asile dans les États membres situés en première ligne. Les dépenses supplémentaires correspondantes en 2015 sont estimées à 132 000 EUR.</w:t>
      </w:r>
    </w:p>
    <w:p>
      <w:pPr>
        <w:keepNext/>
        <w:tabs>
          <w:tab w:val="left" w:pos="709"/>
        </w:tabs>
        <w:spacing w:before="120" w:after="120"/>
        <w:ind w:left="709" w:hanging="709"/>
        <w:jc w:val="both"/>
        <w:outlineLvl w:val="1"/>
        <w:rPr>
          <w:b/>
          <w:noProof/>
        </w:rPr>
      </w:pPr>
      <w:bookmarkStart w:id="25" w:name="_Toc418618200"/>
      <w:bookmarkStart w:id="26" w:name="_Toc419876818"/>
      <w:r>
        <w:rPr>
          <w:b/>
          <w:noProof/>
        </w:rPr>
        <w:t>2.3</w:t>
      </w:r>
      <w:r>
        <w:rPr>
          <w:noProof/>
        </w:rPr>
        <w:tab/>
      </w:r>
      <w:r>
        <w:rPr>
          <w:b/>
          <w:noProof/>
        </w:rPr>
        <w:t>Financement proposé pour les mesures en matière de migration</w:t>
      </w:r>
      <w:bookmarkEnd w:id="25"/>
      <w:bookmarkEnd w:id="26"/>
    </w:p>
    <w:p>
      <w:pPr>
        <w:spacing w:before="120" w:after="120"/>
        <w:jc w:val="both"/>
        <w:rPr>
          <w:noProof/>
        </w:rPr>
      </w:pPr>
      <w:r>
        <w:rPr>
          <w:noProof/>
        </w:rPr>
        <w:t xml:space="preserve">Globalement, le renforcement en crédits d’engagement destinés à financer les mesures décrites ci-dessus s’élève au total à 89,0 millions d’EUR. S'agissant des crédits de paiement, un montant de 76,6 millions d’EUR est nécessaire pour couvrir le préfinancement (à hauteur de 80 %) des actions supplémentaires relevant de l’AMIF et du FSI et pour permettre à Frontex de poursuivre le cofinancement de Triton. </w:t>
      </w:r>
    </w:p>
    <w:p>
      <w:pPr>
        <w:spacing w:before="120" w:after="120"/>
        <w:jc w:val="both"/>
        <w:rPr>
          <w:noProof/>
        </w:rPr>
      </w:pPr>
      <w:r>
        <w:rPr>
          <w:noProof/>
        </w:rPr>
        <w:t>La Commission a soigneusement examiné les possibilités de redéploiement de crédits au sein du budget 2015, tant pour les engagements que pour les paiements. Par conséquent, dans le chapitre 18 02 (Sécurité intérieure), la Commission a mis en évidence des recettes affectées internes découlant de la récupération de montants se rapportant à la clôture de dossiers anciens relevant du Fonds pour les frontières extérieures</w:t>
      </w:r>
      <w:r>
        <w:rPr>
          <w:rStyle w:val="FootnoteReference"/>
          <w:noProof/>
        </w:rPr>
        <w:footnoteReference w:id="11"/>
      </w:r>
      <w:r>
        <w:rPr>
          <w:noProof/>
        </w:rPr>
        <w:t xml:space="preserve">, pour des montants de 13,2 millions d’EUR en crédits d’engagement et de 7,0 millions d’EUR en crédits de paiement. Ces montants sont proposés pour apporter un financement supplémentaire immédiat à Frontex, dans le cadre du renforcement global demandé par la voie du présent projet de budget rectificatif pour l’agence (26,8 millions d’EUR). </w:t>
      </w:r>
    </w:p>
    <w:p>
      <w:pPr>
        <w:spacing w:before="120" w:after="120"/>
        <w:jc w:val="both"/>
        <w:rPr>
          <w:noProof/>
        </w:rPr>
      </w:pPr>
      <w:r>
        <w:rPr>
          <w:noProof/>
        </w:rPr>
        <w:t xml:space="preserve">C’est pourquoi la Commission propose un complément de 75,8 millions d’EUR en crédits d’engagement et de 69,7 millions d’EUR en crédits de paiement, afin de procurer les crédits supplémentaires à autoriser dans le budget 2015 pour financer ces mesures en matière de migration. Ces renforcements sont répartis comme suit sur cinq lignes budgétaires: </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5670"/>
        <w:gridCol w:w="1701"/>
        <w:gridCol w:w="1701"/>
      </w:tblGrid>
      <w:tr>
        <w:tc>
          <w:tcPr>
            <w:tcW w:w="1276" w:type="dxa"/>
            <w:tcBorders>
              <w:top w:val="single" w:sz="4" w:space="0" w:color="auto"/>
              <w:left w:val="single" w:sz="4" w:space="0" w:color="auto"/>
              <w:bottom w:val="single" w:sz="4" w:space="0" w:color="auto"/>
              <w:right w:val="single" w:sz="4" w:space="0" w:color="auto"/>
            </w:tcBorders>
            <w:shd w:val="clear" w:color="auto" w:fill="D9D9D9"/>
            <w:vAlign w:val="center"/>
          </w:tcPr>
          <w:p>
            <w:pPr>
              <w:keepNext/>
              <w:widowControl w:val="0"/>
              <w:spacing w:before="15" w:after="15"/>
              <w:jc w:val="center"/>
              <w:rPr>
                <w:b/>
                <w:noProof/>
                <w:sz w:val="20"/>
                <w:szCs w:val="20"/>
              </w:rPr>
            </w:pPr>
            <w:r>
              <w:rPr>
                <w:b/>
                <w:noProof/>
                <w:sz w:val="20"/>
              </w:rPr>
              <w:t>Ligne budgétaire</w:t>
            </w:r>
          </w:p>
        </w:tc>
        <w:tc>
          <w:tcPr>
            <w:tcW w:w="5670" w:type="dxa"/>
            <w:tcBorders>
              <w:top w:val="single" w:sz="4" w:space="0" w:color="auto"/>
              <w:left w:val="single" w:sz="4" w:space="0" w:color="auto"/>
              <w:bottom w:val="single" w:sz="4" w:space="0" w:color="auto"/>
              <w:right w:val="single" w:sz="4" w:space="0" w:color="auto"/>
            </w:tcBorders>
            <w:shd w:val="clear" w:color="auto" w:fill="D9D9D9"/>
            <w:vAlign w:val="center"/>
          </w:tcPr>
          <w:p>
            <w:pPr>
              <w:keepNext/>
              <w:widowControl w:val="0"/>
              <w:spacing w:before="15" w:after="15"/>
              <w:jc w:val="center"/>
              <w:rPr>
                <w:b/>
                <w:noProof/>
                <w:sz w:val="20"/>
                <w:szCs w:val="20"/>
              </w:rPr>
            </w:pPr>
            <w:r>
              <w:rPr>
                <w:b/>
                <w:noProof/>
                <w:sz w:val="20"/>
              </w:rPr>
              <w:t>Intitulé</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pPr>
              <w:keepNext/>
              <w:widowControl w:val="0"/>
              <w:spacing w:before="15" w:after="15"/>
              <w:jc w:val="center"/>
              <w:rPr>
                <w:b/>
                <w:noProof/>
                <w:sz w:val="20"/>
                <w:szCs w:val="20"/>
              </w:rPr>
            </w:pPr>
            <w:r>
              <w:rPr>
                <w:b/>
                <w:noProof/>
                <w:sz w:val="20"/>
              </w:rPr>
              <w:t>Crédits d’engagement</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pPr>
              <w:keepNext/>
              <w:widowControl w:val="0"/>
              <w:spacing w:before="15" w:after="15"/>
              <w:jc w:val="center"/>
              <w:rPr>
                <w:b/>
                <w:noProof/>
                <w:sz w:val="20"/>
                <w:szCs w:val="20"/>
              </w:rPr>
            </w:pPr>
            <w:r>
              <w:rPr>
                <w:b/>
                <w:noProof/>
                <w:sz w:val="20"/>
              </w:rPr>
              <w:t>Crédits de paiement</w:t>
            </w:r>
          </w:p>
        </w:tc>
      </w:tr>
      <w:tr>
        <w:tc>
          <w:tcPr>
            <w:tcW w:w="1276" w:type="dxa"/>
            <w:tcBorders>
              <w:top w:val="single" w:sz="4" w:space="0" w:color="auto"/>
              <w:left w:val="single" w:sz="4" w:space="0" w:color="auto"/>
              <w:bottom w:val="single" w:sz="4" w:space="0" w:color="auto"/>
              <w:right w:val="single" w:sz="4" w:space="0" w:color="auto"/>
            </w:tcBorders>
          </w:tcPr>
          <w:p>
            <w:pPr>
              <w:keepNext/>
              <w:widowControl w:val="0"/>
              <w:spacing w:before="15" w:after="15"/>
              <w:ind w:right="-113"/>
              <w:jc w:val="both"/>
              <w:rPr>
                <w:noProof/>
                <w:sz w:val="20"/>
                <w:szCs w:val="20"/>
              </w:rPr>
            </w:pPr>
            <w:r>
              <w:rPr>
                <w:noProof/>
                <w:sz w:val="20"/>
              </w:rPr>
              <w:t>18 02 01 01</w:t>
            </w:r>
          </w:p>
        </w:tc>
        <w:tc>
          <w:tcPr>
            <w:tcW w:w="5670" w:type="dxa"/>
            <w:tcBorders>
              <w:top w:val="single" w:sz="4" w:space="0" w:color="auto"/>
              <w:left w:val="single" w:sz="4" w:space="0" w:color="auto"/>
              <w:bottom w:val="single" w:sz="4" w:space="0" w:color="auto"/>
              <w:right w:val="single" w:sz="4" w:space="0" w:color="auto"/>
            </w:tcBorders>
          </w:tcPr>
          <w:p>
            <w:pPr>
              <w:keepNext/>
              <w:widowControl w:val="0"/>
              <w:tabs>
                <w:tab w:val="left" w:pos="1350"/>
              </w:tabs>
              <w:spacing w:before="15" w:after="15"/>
              <w:jc w:val="both"/>
              <w:rPr>
                <w:noProof/>
                <w:sz w:val="20"/>
                <w:szCs w:val="20"/>
              </w:rPr>
            </w:pPr>
            <w:r>
              <w:rPr>
                <w:noProof/>
                <w:sz w:val="20"/>
              </w:rPr>
              <w:t>Appuyer la gestion des frontières et soutenir une politique commune des visas pour faciliter les voyages effectués de façon légitime</w:t>
            </w:r>
          </w:p>
        </w:tc>
        <w:tc>
          <w:tcPr>
            <w:tcW w:w="1701" w:type="dxa"/>
            <w:tcBorders>
              <w:top w:val="single" w:sz="4" w:space="0" w:color="auto"/>
              <w:left w:val="single" w:sz="4" w:space="0" w:color="auto"/>
              <w:bottom w:val="single" w:sz="4" w:space="0" w:color="auto"/>
              <w:right w:val="single" w:sz="4" w:space="0" w:color="auto"/>
            </w:tcBorders>
          </w:tcPr>
          <w:p>
            <w:pPr>
              <w:keepNext/>
              <w:widowControl w:val="0"/>
              <w:spacing w:before="15" w:after="15"/>
              <w:jc w:val="right"/>
              <w:rPr>
                <w:noProof/>
                <w:sz w:val="20"/>
                <w:szCs w:val="20"/>
              </w:rPr>
            </w:pPr>
            <w:r>
              <w:rPr>
                <w:noProof/>
                <w:sz w:val="20"/>
              </w:rPr>
              <w:t>5 000 000</w:t>
            </w:r>
          </w:p>
        </w:tc>
        <w:tc>
          <w:tcPr>
            <w:tcW w:w="1701" w:type="dxa"/>
            <w:tcBorders>
              <w:top w:val="single" w:sz="4" w:space="0" w:color="auto"/>
              <w:left w:val="single" w:sz="4" w:space="0" w:color="auto"/>
              <w:bottom w:val="single" w:sz="4" w:space="0" w:color="auto"/>
              <w:right w:val="single" w:sz="4" w:space="0" w:color="auto"/>
            </w:tcBorders>
          </w:tcPr>
          <w:p>
            <w:pPr>
              <w:keepNext/>
              <w:widowControl w:val="0"/>
              <w:spacing w:before="15" w:after="15"/>
              <w:jc w:val="right"/>
              <w:rPr>
                <w:noProof/>
                <w:sz w:val="20"/>
                <w:szCs w:val="20"/>
              </w:rPr>
            </w:pPr>
            <w:r>
              <w:rPr>
                <w:noProof/>
                <w:sz w:val="20"/>
              </w:rPr>
              <w:t>4 000 000</w:t>
            </w:r>
          </w:p>
        </w:tc>
      </w:tr>
      <w:tr>
        <w:tc>
          <w:tcPr>
            <w:tcW w:w="1276" w:type="dxa"/>
            <w:tcBorders>
              <w:top w:val="single" w:sz="4" w:space="0" w:color="auto"/>
              <w:left w:val="single" w:sz="4" w:space="0" w:color="auto"/>
              <w:bottom w:val="single" w:sz="4" w:space="0" w:color="auto"/>
              <w:right w:val="single" w:sz="4" w:space="0" w:color="auto"/>
            </w:tcBorders>
          </w:tcPr>
          <w:p>
            <w:pPr>
              <w:keepNext/>
              <w:widowControl w:val="0"/>
              <w:spacing w:before="15" w:after="15"/>
              <w:ind w:right="-113"/>
              <w:jc w:val="both"/>
              <w:rPr>
                <w:noProof/>
                <w:sz w:val="20"/>
                <w:szCs w:val="20"/>
              </w:rPr>
            </w:pPr>
            <w:r>
              <w:rPr>
                <w:noProof/>
                <w:sz w:val="20"/>
              </w:rPr>
              <w:t>18 02 03</w:t>
            </w:r>
          </w:p>
        </w:tc>
        <w:tc>
          <w:tcPr>
            <w:tcW w:w="5670" w:type="dxa"/>
            <w:tcBorders>
              <w:top w:val="single" w:sz="4" w:space="0" w:color="auto"/>
              <w:left w:val="single" w:sz="4" w:space="0" w:color="auto"/>
              <w:bottom w:val="single" w:sz="4" w:space="0" w:color="auto"/>
              <w:right w:val="single" w:sz="4" w:space="0" w:color="auto"/>
            </w:tcBorders>
          </w:tcPr>
          <w:p>
            <w:pPr>
              <w:keepNext/>
              <w:widowControl w:val="0"/>
              <w:tabs>
                <w:tab w:val="left" w:pos="1350"/>
              </w:tabs>
              <w:spacing w:before="15" w:after="15"/>
              <w:jc w:val="both"/>
              <w:rPr>
                <w:noProof/>
                <w:sz w:val="20"/>
                <w:szCs w:val="20"/>
              </w:rPr>
            </w:pPr>
            <w:r>
              <w:rPr>
                <w:noProof/>
                <w:sz w:val="20"/>
              </w:rPr>
              <w:t>Agence européenne pour la gestion de la coopération opérationnelle aux frontières extérieures (Frontex)</w:t>
            </w:r>
          </w:p>
        </w:tc>
        <w:tc>
          <w:tcPr>
            <w:tcW w:w="1701" w:type="dxa"/>
            <w:tcBorders>
              <w:top w:val="single" w:sz="4" w:space="0" w:color="auto"/>
              <w:left w:val="single" w:sz="4" w:space="0" w:color="auto"/>
              <w:bottom w:val="single" w:sz="4" w:space="0" w:color="auto"/>
              <w:right w:val="single" w:sz="4" w:space="0" w:color="auto"/>
            </w:tcBorders>
          </w:tcPr>
          <w:p>
            <w:pPr>
              <w:keepNext/>
              <w:widowControl w:val="0"/>
              <w:spacing w:before="15" w:after="15"/>
              <w:jc w:val="right"/>
              <w:rPr>
                <w:noProof/>
                <w:sz w:val="20"/>
                <w:szCs w:val="20"/>
              </w:rPr>
            </w:pPr>
            <w:r>
              <w:rPr>
                <w:noProof/>
                <w:sz w:val="20"/>
              </w:rPr>
              <w:t>13 541 000</w:t>
            </w:r>
          </w:p>
        </w:tc>
        <w:tc>
          <w:tcPr>
            <w:tcW w:w="1701" w:type="dxa"/>
            <w:tcBorders>
              <w:top w:val="single" w:sz="4" w:space="0" w:color="auto"/>
              <w:left w:val="single" w:sz="4" w:space="0" w:color="auto"/>
              <w:bottom w:val="single" w:sz="4" w:space="0" w:color="auto"/>
              <w:right w:val="single" w:sz="4" w:space="0" w:color="auto"/>
            </w:tcBorders>
          </w:tcPr>
          <w:p>
            <w:pPr>
              <w:keepNext/>
              <w:widowControl w:val="0"/>
              <w:spacing w:before="15" w:after="15"/>
              <w:jc w:val="right"/>
              <w:rPr>
                <w:noProof/>
                <w:sz w:val="20"/>
                <w:szCs w:val="20"/>
              </w:rPr>
            </w:pPr>
            <w:r>
              <w:rPr>
                <w:noProof/>
                <w:sz w:val="20"/>
              </w:rPr>
              <w:t>19 821 000</w:t>
            </w:r>
          </w:p>
        </w:tc>
      </w:tr>
      <w:tr>
        <w:tc>
          <w:tcPr>
            <w:tcW w:w="1276" w:type="dxa"/>
            <w:tcBorders>
              <w:top w:val="single" w:sz="4" w:space="0" w:color="auto"/>
              <w:left w:val="single" w:sz="4" w:space="0" w:color="auto"/>
              <w:bottom w:val="single" w:sz="4" w:space="0" w:color="auto"/>
              <w:right w:val="single" w:sz="4" w:space="0" w:color="auto"/>
            </w:tcBorders>
          </w:tcPr>
          <w:p>
            <w:pPr>
              <w:keepNext/>
              <w:widowControl w:val="0"/>
              <w:spacing w:before="15" w:after="15"/>
              <w:ind w:right="-113"/>
              <w:jc w:val="both"/>
              <w:rPr>
                <w:noProof/>
                <w:sz w:val="20"/>
                <w:szCs w:val="20"/>
              </w:rPr>
            </w:pPr>
            <w:r>
              <w:rPr>
                <w:noProof/>
                <w:sz w:val="20"/>
              </w:rPr>
              <w:t>18 02 04</w:t>
            </w:r>
          </w:p>
        </w:tc>
        <w:tc>
          <w:tcPr>
            <w:tcW w:w="5670" w:type="dxa"/>
            <w:tcBorders>
              <w:top w:val="single" w:sz="4" w:space="0" w:color="auto"/>
              <w:left w:val="single" w:sz="4" w:space="0" w:color="auto"/>
              <w:bottom w:val="single" w:sz="4" w:space="0" w:color="auto"/>
              <w:right w:val="single" w:sz="4" w:space="0" w:color="auto"/>
            </w:tcBorders>
          </w:tcPr>
          <w:p>
            <w:pPr>
              <w:keepNext/>
              <w:widowControl w:val="0"/>
              <w:tabs>
                <w:tab w:val="left" w:pos="1350"/>
              </w:tabs>
              <w:spacing w:before="15" w:after="15"/>
              <w:jc w:val="both"/>
              <w:rPr>
                <w:noProof/>
                <w:sz w:val="20"/>
                <w:szCs w:val="20"/>
              </w:rPr>
            </w:pPr>
            <w:r>
              <w:rPr>
                <w:noProof/>
                <w:sz w:val="20"/>
              </w:rPr>
              <w:t>Office européen de police (Europol)</w:t>
            </w:r>
          </w:p>
        </w:tc>
        <w:tc>
          <w:tcPr>
            <w:tcW w:w="1701" w:type="dxa"/>
            <w:tcBorders>
              <w:top w:val="single" w:sz="4" w:space="0" w:color="auto"/>
              <w:left w:val="single" w:sz="4" w:space="0" w:color="auto"/>
              <w:bottom w:val="single" w:sz="4" w:space="0" w:color="auto"/>
              <w:right w:val="single" w:sz="4" w:space="0" w:color="auto"/>
            </w:tcBorders>
          </w:tcPr>
          <w:p>
            <w:pPr>
              <w:keepNext/>
              <w:widowControl w:val="0"/>
              <w:spacing w:before="15" w:after="15"/>
              <w:jc w:val="right"/>
              <w:rPr>
                <w:noProof/>
                <w:sz w:val="20"/>
                <w:szCs w:val="20"/>
              </w:rPr>
            </w:pPr>
            <w:r>
              <w:rPr>
                <w:noProof/>
                <w:sz w:val="20"/>
              </w:rPr>
              <w:t>99 000</w:t>
            </w:r>
          </w:p>
        </w:tc>
        <w:tc>
          <w:tcPr>
            <w:tcW w:w="1701" w:type="dxa"/>
            <w:tcBorders>
              <w:top w:val="single" w:sz="4" w:space="0" w:color="auto"/>
              <w:left w:val="single" w:sz="4" w:space="0" w:color="auto"/>
              <w:bottom w:val="single" w:sz="4" w:space="0" w:color="auto"/>
              <w:right w:val="single" w:sz="4" w:space="0" w:color="auto"/>
            </w:tcBorders>
          </w:tcPr>
          <w:p>
            <w:pPr>
              <w:keepNext/>
              <w:widowControl w:val="0"/>
              <w:spacing w:before="15" w:after="15"/>
              <w:jc w:val="right"/>
              <w:rPr>
                <w:noProof/>
                <w:sz w:val="20"/>
                <w:szCs w:val="20"/>
              </w:rPr>
            </w:pPr>
            <w:r>
              <w:rPr>
                <w:noProof/>
                <w:sz w:val="20"/>
              </w:rPr>
              <w:t>99 000</w:t>
            </w:r>
          </w:p>
        </w:tc>
      </w:tr>
      <w:tr>
        <w:tc>
          <w:tcPr>
            <w:tcW w:w="1276" w:type="dxa"/>
            <w:tcBorders>
              <w:top w:val="single" w:sz="4" w:space="0" w:color="auto"/>
              <w:left w:val="single" w:sz="4" w:space="0" w:color="auto"/>
              <w:bottom w:val="single" w:sz="4" w:space="0" w:color="auto"/>
              <w:right w:val="single" w:sz="4" w:space="0" w:color="auto"/>
            </w:tcBorders>
          </w:tcPr>
          <w:p>
            <w:pPr>
              <w:keepNext/>
              <w:widowControl w:val="0"/>
              <w:spacing w:before="15" w:after="15"/>
              <w:ind w:right="-113"/>
              <w:jc w:val="both"/>
              <w:rPr>
                <w:noProof/>
                <w:sz w:val="20"/>
                <w:szCs w:val="20"/>
              </w:rPr>
            </w:pPr>
            <w:r>
              <w:rPr>
                <w:noProof/>
                <w:sz w:val="20"/>
              </w:rPr>
              <w:t>18 03 01 01</w:t>
            </w:r>
          </w:p>
        </w:tc>
        <w:tc>
          <w:tcPr>
            <w:tcW w:w="5670" w:type="dxa"/>
            <w:tcBorders>
              <w:top w:val="single" w:sz="4" w:space="0" w:color="auto"/>
              <w:left w:val="single" w:sz="4" w:space="0" w:color="auto"/>
              <w:bottom w:val="single" w:sz="4" w:space="0" w:color="auto"/>
              <w:right w:val="single" w:sz="4" w:space="0" w:color="auto"/>
            </w:tcBorders>
          </w:tcPr>
          <w:p>
            <w:pPr>
              <w:keepNext/>
              <w:widowControl w:val="0"/>
              <w:tabs>
                <w:tab w:val="left" w:pos="1350"/>
              </w:tabs>
              <w:spacing w:before="15" w:after="15"/>
              <w:jc w:val="both"/>
              <w:rPr>
                <w:noProof/>
                <w:sz w:val="20"/>
                <w:szCs w:val="20"/>
              </w:rPr>
            </w:pPr>
            <w:r>
              <w:rPr>
                <w:noProof/>
                <w:sz w:val="20"/>
              </w:rPr>
              <w:t>Renforcer et développer le régime d’asile européen commun et approfondir la solidarité et le partage des responsabilités entre les États membres</w:t>
            </w:r>
          </w:p>
        </w:tc>
        <w:tc>
          <w:tcPr>
            <w:tcW w:w="1701" w:type="dxa"/>
            <w:tcBorders>
              <w:top w:val="single" w:sz="4" w:space="0" w:color="auto"/>
              <w:left w:val="single" w:sz="4" w:space="0" w:color="auto"/>
              <w:bottom w:val="single" w:sz="4" w:space="0" w:color="auto"/>
              <w:right w:val="single" w:sz="4" w:space="0" w:color="auto"/>
            </w:tcBorders>
          </w:tcPr>
          <w:p>
            <w:pPr>
              <w:keepNext/>
              <w:widowControl w:val="0"/>
              <w:spacing w:before="15" w:after="15"/>
              <w:jc w:val="right"/>
              <w:rPr>
                <w:noProof/>
                <w:sz w:val="20"/>
                <w:szCs w:val="20"/>
              </w:rPr>
            </w:pPr>
            <w:r>
              <w:rPr>
                <w:noProof/>
                <w:sz w:val="20"/>
              </w:rPr>
              <w:t>57 000 000</w:t>
            </w:r>
          </w:p>
        </w:tc>
        <w:tc>
          <w:tcPr>
            <w:tcW w:w="1701" w:type="dxa"/>
            <w:tcBorders>
              <w:top w:val="single" w:sz="4" w:space="0" w:color="auto"/>
              <w:left w:val="single" w:sz="4" w:space="0" w:color="auto"/>
              <w:bottom w:val="single" w:sz="4" w:space="0" w:color="auto"/>
              <w:right w:val="single" w:sz="4" w:space="0" w:color="auto"/>
            </w:tcBorders>
          </w:tcPr>
          <w:p>
            <w:pPr>
              <w:keepNext/>
              <w:widowControl w:val="0"/>
              <w:spacing w:before="15" w:after="15"/>
              <w:jc w:val="right"/>
              <w:rPr>
                <w:noProof/>
                <w:sz w:val="20"/>
                <w:szCs w:val="20"/>
              </w:rPr>
            </w:pPr>
            <w:r>
              <w:rPr>
                <w:noProof/>
                <w:sz w:val="20"/>
              </w:rPr>
              <w:t>45 600 000</w:t>
            </w:r>
          </w:p>
        </w:tc>
      </w:tr>
      <w:tr>
        <w:tc>
          <w:tcPr>
            <w:tcW w:w="1276" w:type="dxa"/>
            <w:tcBorders>
              <w:top w:val="single" w:sz="4" w:space="0" w:color="auto"/>
              <w:left w:val="single" w:sz="4" w:space="0" w:color="auto"/>
              <w:bottom w:val="single" w:sz="4" w:space="0" w:color="auto"/>
              <w:right w:val="single" w:sz="4" w:space="0" w:color="auto"/>
            </w:tcBorders>
          </w:tcPr>
          <w:p>
            <w:pPr>
              <w:keepNext/>
              <w:widowControl w:val="0"/>
              <w:spacing w:before="15" w:after="15"/>
              <w:ind w:right="-113"/>
              <w:jc w:val="both"/>
              <w:rPr>
                <w:noProof/>
                <w:sz w:val="20"/>
                <w:szCs w:val="20"/>
              </w:rPr>
            </w:pPr>
            <w:r>
              <w:rPr>
                <w:noProof/>
                <w:sz w:val="20"/>
              </w:rPr>
              <w:t>18 03 02</w:t>
            </w:r>
          </w:p>
        </w:tc>
        <w:tc>
          <w:tcPr>
            <w:tcW w:w="5670" w:type="dxa"/>
            <w:tcBorders>
              <w:top w:val="single" w:sz="4" w:space="0" w:color="auto"/>
              <w:left w:val="single" w:sz="4" w:space="0" w:color="auto"/>
              <w:bottom w:val="single" w:sz="4" w:space="0" w:color="auto"/>
              <w:right w:val="single" w:sz="4" w:space="0" w:color="auto"/>
            </w:tcBorders>
          </w:tcPr>
          <w:p>
            <w:pPr>
              <w:keepNext/>
              <w:widowControl w:val="0"/>
              <w:tabs>
                <w:tab w:val="left" w:pos="1350"/>
              </w:tabs>
              <w:spacing w:before="15" w:after="15"/>
              <w:jc w:val="both"/>
              <w:rPr>
                <w:noProof/>
                <w:sz w:val="20"/>
                <w:szCs w:val="20"/>
              </w:rPr>
            </w:pPr>
            <w:r>
              <w:rPr>
                <w:noProof/>
                <w:sz w:val="20"/>
              </w:rPr>
              <w:t>Bureau européen d'appui en matière d'asile (EASO)</w:t>
            </w:r>
          </w:p>
        </w:tc>
        <w:tc>
          <w:tcPr>
            <w:tcW w:w="1701" w:type="dxa"/>
            <w:tcBorders>
              <w:top w:val="single" w:sz="4" w:space="0" w:color="auto"/>
              <w:left w:val="single" w:sz="4" w:space="0" w:color="auto"/>
              <w:bottom w:val="single" w:sz="4" w:space="0" w:color="auto"/>
              <w:right w:val="single" w:sz="4" w:space="0" w:color="auto"/>
            </w:tcBorders>
          </w:tcPr>
          <w:p>
            <w:pPr>
              <w:keepNext/>
              <w:widowControl w:val="0"/>
              <w:spacing w:before="15" w:after="15"/>
              <w:jc w:val="right"/>
              <w:rPr>
                <w:noProof/>
                <w:sz w:val="20"/>
                <w:szCs w:val="20"/>
              </w:rPr>
            </w:pPr>
            <w:r>
              <w:rPr>
                <w:noProof/>
                <w:sz w:val="20"/>
              </w:rPr>
              <w:t>132 000</w:t>
            </w:r>
          </w:p>
        </w:tc>
        <w:tc>
          <w:tcPr>
            <w:tcW w:w="1701" w:type="dxa"/>
            <w:tcBorders>
              <w:top w:val="single" w:sz="4" w:space="0" w:color="auto"/>
              <w:left w:val="single" w:sz="4" w:space="0" w:color="auto"/>
              <w:bottom w:val="single" w:sz="4" w:space="0" w:color="auto"/>
              <w:right w:val="single" w:sz="4" w:space="0" w:color="auto"/>
            </w:tcBorders>
          </w:tcPr>
          <w:p>
            <w:pPr>
              <w:keepNext/>
              <w:widowControl w:val="0"/>
              <w:spacing w:before="15" w:after="15"/>
              <w:jc w:val="right"/>
              <w:rPr>
                <w:noProof/>
                <w:sz w:val="20"/>
                <w:szCs w:val="20"/>
              </w:rPr>
            </w:pPr>
            <w:r>
              <w:rPr>
                <w:noProof/>
                <w:sz w:val="20"/>
              </w:rPr>
              <w:t>132 000</w:t>
            </w:r>
          </w:p>
        </w:tc>
      </w:tr>
      <w:tr>
        <w:tc>
          <w:tcPr>
            <w:tcW w:w="6946" w:type="dxa"/>
            <w:gridSpan w:val="2"/>
            <w:tcBorders>
              <w:top w:val="single" w:sz="4" w:space="0" w:color="auto"/>
              <w:left w:val="single" w:sz="4" w:space="0" w:color="auto"/>
              <w:bottom w:val="single" w:sz="4" w:space="0" w:color="auto"/>
              <w:right w:val="single" w:sz="4" w:space="0" w:color="auto"/>
            </w:tcBorders>
            <w:shd w:val="clear" w:color="auto" w:fill="D9D9D9"/>
          </w:tcPr>
          <w:p>
            <w:pPr>
              <w:keepNext/>
              <w:widowControl w:val="0"/>
              <w:tabs>
                <w:tab w:val="left" w:pos="975"/>
              </w:tabs>
              <w:spacing w:before="15" w:after="15"/>
              <w:jc w:val="both"/>
              <w:rPr>
                <w:b/>
                <w:noProof/>
                <w:sz w:val="20"/>
                <w:szCs w:val="20"/>
              </w:rPr>
            </w:pPr>
            <w:r>
              <w:rPr>
                <w:b/>
                <w:noProof/>
                <w:sz w:val="20"/>
              </w:rPr>
              <w:t>Total</w:t>
            </w:r>
            <w:r>
              <w:rPr>
                <w:noProof/>
              </w:rPr>
              <w:tab/>
            </w:r>
          </w:p>
        </w:tc>
        <w:tc>
          <w:tcPr>
            <w:tcW w:w="1701" w:type="dxa"/>
            <w:tcBorders>
              <w:top w:val="single" w:sz="4" w:space="0" w:color="auto"/>
              <w:left w:val="single" w:sz="4" w:space="0" w:color="auto"/>
              <w:bottom w:val="single" w:sz="4" w:space="0" w:color="auto"/>
              <w:right w:val="single" w:sz="4" w:space="0" w:color="auto"/>
            </w:tcBorders>
            <w:shd w:val="clear" w:color="auto" w:fill="D9D9D9"/>
          </w:tcPr>
          <w:p>
            <w:pPr>
              <w:keepNext/>
              <w:widowControl w:val="0"/>
              <w:spacing w:before="15" w:after="15"/>
              <w:jc w:val="right"/>
              <w:rPr>
                <w:b/>
                <w:noProof/>
                <w:sz w:val="20"/>
                <w:szCs w:val="20"/>
              </w:rPr>
            </w:pPr>
            <w:r>
              <w:rPr>
                <w:b/>
                <w:noProof/>
                <w:sz w:val="20"/>
              </w:rPr>
              <w:t>75 772 000</w:t>
            </w:r>
          </w:p>
        </w:tc>
        <w:tc>
          <w:tcPr>
            <w:tcW w:w="1701" w:type="dxa"/>
            <w:tcBorders>
              <w:top w:val="single" w:sz="4" w:space="0" w:color="auto"/>
              <w:left w:val="single" w:sz="4" w:space="0" w:color="auto"/>
              <w:bottom w:val="single" w:sz="4" w:space="0" w:color="auto"/>
              <w:right w:val="single" w:sz="4" w:space="0" w:color="auto"/>
            </w:tcBorders>
            <w:shd w:val="clear" w:color="auto" w:fill="D9D9D9"/>
          </w:tcPr>
          <w:p>
            <w:pPr>
              <w:keepNext/>
              <w:widowControl w:val="0"/>
              <w:spacing w:before="15" w:after="15"/>
              <w:jc w:val="right"/>
              <w:rPr>
                <w:b/>
                <w:noProof/>
                <w:sz w:val="20"/>
                <w:szCs w:val="20"/>
              </w:rPr>
            </w:pPr>
            <w:r>
              <w:rPr>
                <w:b/>
                <w:noProof/>
                <w:sz w:val="20"/>
              </w:rPr>
              <w:t>69 652 000</w:t>
            </w:r>
          </w:p>
        </w:tc>
      </w:tr>
    </w:tbl>
    <w:p>
      <w:pPr>
        <w:keepNext/>
        <w:tabs>
          <w:tab w:val="left" w:pos="709"/>
        </w:tabs>
        <w:spacing w:before="240" w:after="120"/>
        <w:ind w:left="709" w:hanging="709"/>
        <w:jc w:val="both"/>
        <w:outlineLvl w:val="1"/>
        <w:rPr>
          <w:b/>
          <w:noProof/>
        </w:rPr>
      </w:pPr>
      <w:bookmarkStart w:id="27" w:name="_Toc418618201"/>
      <w:bookmarkStart w:id="28" w:name="_Toc419876819"/>
      <w:r>
        <w:rPr>
          <w:b/>
          <w:noProof/>
        </w:rPr>
        <w:t>2.4</w:t>
      </w:r>
      <w:r>
        <w:rPr>
          <w:noProof/>
        </w:rPr>
        <w:tab/>
      </w:r>
      <w:r>
        <w:rPr>
          <w:b/>
          <w:noProof/>
        </w:rPr>
        <w:t>Redéploiement de crédits de paiement issus de Galileo</w:t>
      </w:r>
      <w:bookmarkEnd w:id="27"/>
      <w:bookmarkEnd w:id="28"/>
    </w:p>
    <w:p>
      <w:pPr>
        <w:spacing w:before="120" w:after="120"/>
        <w:jc w:val="both"/>
        <w:rPr>
          <w:noProof/>
        </w:rPr>
      </w:pPr>
      <w:r>
        <w:rPr>
          <w:noProof/>
        </w:rPr>
        <w:t xml:space="preserve">Outre le redéploiement au sein du chapitre 18 02, tel qu'exposé dans la section 2.3 ci-dessus, la Commission a trouvé une autre source de redéploiement, à savoir des crédits de paiement issus du programme Galileo, permettant de couvrir le restant des 69,7 millions d’EUR en crédits de paiement, ce qui laisse inchangé le montant global des crédits de paiement inscrits dans le budget 2015. </w:t>
      </w:r>
    </w:p>
    <w:p>
      <w:pPr>
        <w:spacing w:before="120" w:after="120"/>
        <w:jc w:val="both"/>
        <w:rPr>
          <w:noProof/>
        </w:rPr>
      </w:pPr>
      <w:r>
        <w:rPr>
          <w:noProof/>
        </w:rPr>
        <w:t xml:space="preserve">Contrairement à d’autres programmes de dépenses qui sont mis en œuvre au moyen de subventions, Galileo se caractérise par le fait que la Commission est responsable de la construction et de l’exploitation de l'infrastructure spatiale. Comme dans tout grand projet d'infrastructure, et en particulier dans le domaine spatial, les risques peuvent se concrétiser à tout moment, comme l'ont montré plusieurs exemples dans le monde. Galileo n’échappe pas à cette règle: le constructeur des satellites (OHB) a enregistré des retards, et une anomalie s'est produite lors du lancement de satellites en août 2014. Ces aspects ont fait l'objet de mesures d’atténuation et, à présent, les programmes sont à nouveau bien engagés. </w:t>
      </w:r>
    </w:p>
    <w:p>
      <w:pPr>
        <w:spacing w:before="120" w:after="120"/>
        <w:jc w:val="both"/>
        <w:rPr>
          <w:noProof/>
        </w:rPr>
      </w:pPr>
      <w:r>
        <w:rPr>
          <w:noProof/>
        </w:rPr>
        <w:t xml:space="preserve">Aux termes des conventions de délégation avec l’Agence spatiale européenne (ESA) et l’Agence du GNSS européen (GSA), la Commission effectue dans le courant de l’année deux paiements, qui reposent sur des prévisions détaillées sur les échéances que leurs sous-traitants doivent respecter et couvrent les besoins financiers de l'ESA et de la GSA pour les six prochains mois. Dans ce contexte, leurs besoins sont directement liés à l’évolution des différents contrats et, compte tenu du caractère déterminant de ces derniers, tout retard dans l'exécution d'un contrat signé ou dans la procédure de signature d'un nouveau contrat peut faire varier fortement le montant des fonds demandés. </w:t>
      </w:r>
    </w:p>
    <w:p>
      <w:pPr>
        <w:spacing w:before="120" w:after="120"/>
        <w:jc w:val="both"/>
        <w:rPr>
          <w:noProof/>
        </w:rPr>
      </w:pPr>
      <w:r>
        <w:rPr>
          <w:noProof/>
        </w:rPr>
        <w:t>Conformément au principe de bonne gestion financière, la Commission tient compte des progrès réalisés dans la mise en œuvre et adapte en conséquence les paiements en faveur de l’ESA et de la GSA. La décision concernant le prochain lot («lot 3») de satellites est subordonnée aux résultats des derniers tests concernant les satellites FOC (</w:t>
      </w:r>
      <w:r>
        <w:rPr>
          <w:i/>
          <w:noProof/>
        </w:rPr>
        <w:t>Full Operational Capacity</w:t>
      </w:r>
      <w:r>
        <w:rPr>
          <w:noProof/>
        </w:rPr>
        <w:t xml:space="preserve">) lancés en août 2014. Selon les dernières prévisions disponibles pour le marché relatif au troisième lot de satellites, la signature du contrat, initialement prévue pour 2015, est désormais programmée pour le deuxième trimestre de 2016. Par conséquent, une partie des crédits de paiement budgétisés en 2015 ne sera pas utilisée. La Commission propose de redéployer un montant de 69,7 millions d’EUR en crédits de paiement pour combler les besoins supplémentaires mis en lumière aux sections 2.2 et 2.3 ci-dessus. </w:t>
      </w:r>
    </w:p>
    <w:p>
      <w:pPr>
        <w:spacing w:before="120" w:after="120"/>
        <w:jc w:val="both"/>
        <w:rPr>
          <w:noProof/>
        </w:rPr>
      </w:pPr>
    </w:p>
    <w:p>
      <w:pPr>
        <w:pStyle w:val="ManualHeading1"/>
        <w:spacing w:before="120"/>
        <w:ind w:left="0" w:firstLine="0"/>
        <w:rPr>
          <w:noProof/>
        </w:rPr>
      </w:pPr>
      <w:r>
        <w:rPr>
          <w:noProof/>
        </w:rPr>
        <w:br w:type="page"/>
      </w:r>
      <w:bookmarkStart w:id="29" w:name="_Toc400011652"/>
      <w:bookmarkStart w:id="30" w:name="_Toc418618202"/>
      <w:bookmarkStart w:id="31" w:name="_Toc419876820"/>
      <w:r>
        <w:rPr>
          <w:noProof/>
        </w:rPr>
        <w:t>3.</w:t>
      </w:r>
      <w:r>
        <w:rPr>
          <w:noProof/>
        </w:rPr>
        <w:tab/>
        <w:t>Tableau récapitulatif par rubrique du CFP</w:t>
      </w:r>
      <w:bookmarkEnd w:id="29"/>
      <w:bookmarkEnd w:id="30"/>
      <w:bookmarkEnd w:id="31"/>
    </w:p>
    <w:tbl>
      <w:tblPr>
        <w:tblW w:w="10788" w:type="dxa"/>
        <w:tblInd w:w="-176" w:type="dxa"/>
        <w:tblLook w:val="04A0" w:firstRow="1" w:lastRow="0" w:firstColumn="1" w:lastColumn="0" w:noHBand="0" w:noVBand="1"/>
      </w:tblPr>
      <w:tblGrid>
        <w:gridCol w:w="376"/>
        <w:gridCol w:w="2616"/>
        <w:gridCol w:w="1366"/>
        <w:gridCol w:w="1327"/>
        <w:gridCol w:w="1134"/>
        <w:gridCol w:w="1134"/>
        <w:gridCol w:w="1418"/>
        <w:gridCol w:w="1417"/>
      </w:tblGrid>
      <w:tr>
        <w:trPr>
          <w:trHeight w:val="300"/>
        </w:trPr>
        <w:tc>
          <w:tcPr>
            <w:tcW w:w="2992" w:type="dxa"/>
            <w:gridSpan w:val="2"/>
            <w:vMerge w:val="restart"/>
            <w:tcBorders>
              <w:top w:val="single" w:sz="4" w:space="0" w:color="auto"/>
              <w:left w:val="single" w:sz="4" w:space="0" w:color="auto"/>
              <w:bottom w:val="nil"/>
              <w:right w:val="single" w:sz="4" w:space="0" w:color="000000"/>
            </w:tcBorders>
            <w:shd w:val="clear" w:color="000000" w:fill="D9D9D9"/>
            <w:vAlign w:val="center"/>
            <w:hideMark/>
          </w:tcPr>
          <w:p>
            <w:pPr>
              <w:jc w:val="center"/>
              <w:rPr>
                <w:b/>
                <w:bCs/>
                <w:noProof/>
                <w:color w:val="000000"/>
                <w:sz w:val="16"/>
                <w:szCs w:val="16"/>
              </w:rPr>
            </w:pPr>
            <w:r>
              <w:rPr>
                <w:b/>
                <w:noProof/>
                <w:color w:val="000000"/>
                <w:sz w:val="16"/>
              </w:rPr>
              <w:t>Rubrique</w:t>
            </w:r>
          </w:p>
        </w:tc>
        <w:tc>
          <w:tcPr>
            <w:tcW w:w="2693" w:type="dxa"/>
            <w:gridSpan w:val="2"/>
            <w:tcBorders>
              <w:top w:val="single" w:sz="4" w:space="0" w:color="auto"/>
              <w:left w:val="nil"/>
              <w:bottom w:val="nil"/>
              <w:right w:val="single" w:sz="4" w:space="0" w:color="000000"/>
            </w:tcBorders>
            <w:shd w:val="clear" w:color="000000" w:fill="D9D9D9"/>
            <w:vAlign w:val="center"/>
            <w:hideMark/>
          </w:tcPr>
          <w:p>
            <w:pPr>
              <w:jc w:val="center"/>
              <w:rPr>
                <w:b/>
                <w:bCs/>
                <w:noProof/>
                <w:color w:val="000000"/>
                <w:sz w:val="16"/>
                <w:szCs w:val="16"/>
              </w:rPr>
            </w:pPr>
            <w:r>
              <w:rPr>
                <w:b/>
                <w:noProof/>
                <w:color w:val="000000"/>
                <w:sz w:val="16"/>
              </w:rPr>
              <w:t>Budget 2015</w:t>
            </w:r>
          </w:p>
        </w:tc>
        <w:tc>
          <w:tcPr>
            <w:tcW w:w="2268" w:type="dxa"/>
            <w:gridSpan w:val="2"/>
            <w:vMerge w:val="restart"/>
            <w:tcBorders>
              <w:top w:val="single" w:sz="4" w:space="0" w:color="auto"/>
              <w:left w:val="single" w:sz="4" w:space="0" w:color="auto"/>
              <w:bottom w:val="single" w:sz="4" w:space="0" w:color="000000"/>
              <w:right w:val="single" w:sz="4" w:space="0" w:color="000000"/>
            </w:tcBorders>
            <w:shd w:val="clear" w:color="000000" w:fill="D9D9D9"/>
            <w:vAlign w:val="center"/>
            <w:hideMark/>
          </w:tcPr>
          <w:p>
            <w:pPr>
              <w:jc w:val="center"/>
              <w:rPr>
                <w:b/>
                <w:bCs/>
                <w:noProof/>
                <w:color w:val="000000"/>
                <w:sz w:val="16"/>
                <w:szCs w:val="16"/>
              </w:rPr>
            </w:pPr>
            <w:r>
              <w:rPr>
                <w:b/>
                <w:noProof/>
                <w:color w:val="000000"/>
                <w:sz w:val="16"/>
              </w:rPr>
              <w:t>Projet de budget rectificatif 5/2015</w:t>
            </w:r>
          </w:p>
        </w:tc>
        <w:tc>
          <w:tcPr>
            <w:tcW w:w="2835" w:type="dxa"/>
            <w:gridSpan w:val="2"/>
            <w:tcBorders>
              <w:top w:val="single" w:sz="4" w:space="0" w:color="auto"/>
              <w:left w:val="nil"/>
              <w:bottom w:val="nil"/>
              <w:right w:val="single" w:sz="4" w:space="0" w:color="000000"/>
            </w:tcBorders>
            <w:shd w:val="clear" w:color="000000" w:fill="D9D9D9"/>
            <w:vAlign w:val="center"/>
            <w:hideMark/>
          </w:tcPr>
          <w:p>
            <w:pPr>
              <w:jc w:val="center"/>
              <w:rPr>
                <w:b/>
                <w:bCs/>
                <w:noProof/>
                <w:color w:val="000000"/>
                <w:sz w:val="16"/>
                <w:szCs w:val="16"/>
              </w:rPr>
            </w:pPr>
            <w:r>
              <w:rPr>
                <w:b/>
                <w:noProof/>
                <w:color w:val="000000"/>
                <w:sz w:val="16"/>
              </w:rPr>
              <w:t>Budget 2015</w:t>
            </w:r>
          </w:p>
        </w:tc>
      </w:tr>
      <w:tr>
        <w:trPr>
          <w:trHeight w:val="255"/>
        </w:trPr>
        <w:tc>
          <w:tcPr>
            <w:tcW w:w="2992" w:type="dxa"/>
            <w:gridSpan w:val="2"/>
            <w:vMerge/>
            <w:tcBorders>
              <w:top w:val="single" w:sz="4" w:space="0" w:color="auto"/>
              <w:left w:val="single" w:sz="4" w:space="0" w:color="auto"/>
              <w:bottom w:val="nil"/>
              <w:right w:val="single" w:sz="4" w:space="0" w:color="000000"/>
            </w:tcBorders>
            <w:vAlign w:val="center"/>
            <w:hideMark/>
          </w:tcPr>
          <w:p>
            <w:pPr>
              <w:rPr>
                <w:b/>
                <w:bCs/>
                <w:noProof/>
                <w:color w:val="000000"/>
                <w:sz w:val="16"/>
                <w:szCs w:val="16"/>
              </w:rPr>
            </w:pPr>
          </w:p>
        </w:tc>
        <w:tc>
          <w:tcPr>
            <w:tcW w:w="2693" w:type="dxa"/>
            <w:gridSpan w:val="2"/>
            <w:tcBorders>
              <w:top w:val="nil"/>
              <w:left w:val="nil"/>
              <w:bottom w:val="single" w:sz="4" w:space="0" w:color="auto"/>
              <w:right w:val="single" w:sz="4" w:space="0" w:color="000000"/>
            </w:tcBorders>
            <w:shd w:val="clear" w:color="000000" w:fill="D9D9D9"/>
            <w:vAlign w:val="center"/>
            <w:hideMark/>
          </w:tcPr>
          <w:p>
            <w:pPr>
              <w:jc w:val="center"/>
              <w:rPr>
                <w:b/>
                <w:bCs/>
                <w:noProof/>
                <w:color w:val="000000"/>
                <w:sz w:val="16"/>
                <w:szCs w:val="16"/>
              </w:rPr>
            </w:pPr>
            <w:r>
              <w:rPr>
                <w:b/>
                <w:noProof/>
                <w:color w:val="000000"/>
                <w:sz w:val="16"/>
              </w:rPr>
              <w:t>(y compris BR 1 et PBR 1, 3 et 4/2015)</w:t>
            </w:r>
          </w:p>
        </w:tc>
        <w:tc>
          <w:tcPr>
            <w:tcW w:w="2268" w:type="dxa"/>
            <w:gridSpan w:val="2"/>
            <w:vMerge/>
            <w:tcBorders>
              <w:top w:val="single" w:sz="4" w:space="0" w:color="auto"/>
              <w:left w:val="single" w:sz="4" w:space="0" w:color="auto"/>
              <w:bottom w:val="single" w:sz="4" w:space="0" w:color="000000"/>
              <w:right w:val="single" w:sz="4" w:space="0" w:color="000000"/>
            </w:tcBorders>
            <w:vAlign w:val="center"/>
            <w:hideMark/>
          </w:tcPr>
          <w:p>
            <w:pPr>
              <w:rPr>
                <w:b/>
                <w:bCs/>
                <w:noProof/>
                <w:color w:val="000000"/>
                <w:sz w:val="16"/>
                <w:szCs w:val="16"/>
              </w:rPr>
            </w:pPr>
          </w:p>
        </w:tc>
        <w:tc>
          <w:tcPr>
            <w:tcW w:w="2835" w:type="dxa"/>
            <w:gridSpan w:val="2"/>
            <w:tcBorders>
              <w:top w:val="nil"/>
              <w:left w:val="nil"/>
              <w:bottom w:val="single" w:sz="4" w:space="0" w:color="auto"/>
              <w:right w:val="single" w:sz="4" w:space="0" w:color="000000"/>
            </w:tcBorders>
            <w:shd w:val="clear" w:color="000000" w:fill="D9D9D9"/>
            <w:vAlign w:val="center"/>
            <w:hideMark/>
          </w:tcPr>
          <w:p>
            <w:pPr>
              <w:jc w:val="center"/>
              <w:rPr>
                <w:b/>
                <w:bCs/>
                <w:noProof/>
                <w:color w:val="000000"/>
                <w:sz w:val="16"/>
                <w:szCs w:val="16"/>
              </w:rPr>
            </w:pPr>
            <w:r>
              <w:rPr>
                <w:b/>
                <w:noProof/>
                <w:color w:val="000000"/>
                <w:sz w:val="16"/>
              </w:rPr>
              <w:t>(y compris BR 1 et PBR 1, 3, 4 et 5/2015)</w:t>
            </w:r>
          </w:p>
        </w:tc>
      </w:tr>
      <w:tr>
        <w:trPr>
          <w:trHeight w:val="300"/>
        </w:trPr>
        <w:tc>
          <w:tcPr>
            <w:tcW w:w="2992" w:type="dxa"/>
            <w:gridSpan w:val="2"/>
            <w:vMerge/>
            <w:tcBorders>
              <w:top w:val="single" w:sz="4" w:space="0" w:color="auto"/>
              <w:left w:val="single" w:sz="4" w:space="0" w:color="auto"/>
              <w:bottom w:val="nil"/>
              <w:right w:val="single" w:sz="4" w:space="0" w:color="000000"/>
            </w:tcBorders>
            <w:vAlign w:val="center"/>
            <w:hideMark/>
          </w:tcPr>
          <w:p>
            <w:pPr>
              <w:rPr>
                <w:b/>
                <w:bCs/>
                <w:noProof/>
                <w:color w:val="000000"/>
                <w:sz w:val="16"/>
                <w:szCs w:val="16"/>
              </w:rPr>
            </w:pPr>
          </w:p>
        </w:tc>
        <w:tc>
          <w:tcPr>
            <w:tcW w:w="1366" w:type="dxa"/>
            <w:tcBorders>
              <w:top w:val="nil"/>
              <w:left w:val="nil"/>
              <w:bottom w:val="nil"/>
              <w:right w:val="single" w:sz="4" w:space="0" w:color="auto"/>
            </w:tcBorders>
            <w:shd w:val="clear" w:color="000000" w:fill="D9D9D9"/>
            <w:vAlign w:val="center"/>
            <w:hideMark/>
          </w:tcPr>
          <w:p>
            <w:pPr>
              <w:ind w:left="-533" w:firstLine="533"/>
              <w:jc w:val="center"/>
              <w:rPr>
                <w:b/>
                <w:bCs/>
                <w:noProof/>
                <w:color w:val="000000"/>
                <w:sz w:val="16"/>
                <w:szCs w:val="16"/>
              </w:rPr>
            </w:pPr>
            <w:r>
              <w:rPr>
                <w:b/>
                <w:noProof/>
                <w:color w:val="000000"/>
                <w:sz w:val="16"/>
              </w:rPr>
              <w:t>CE</w:t>
            </w:r>
          </w:p>
        </w:tc>
        <w:tc>
          <w:tcPr>
            <w:tcW w:w="1327" w:type="dxa"/>
            <w:tcBorders>
              <w:top w:val="nil"/>
              <w:left w:val="nil"/>
              <w:bottom w:val="single" w:sz="4" w:space="0" w:color="auto"/>
              <w:right w:val="single" w:sz="4" w:space="0" w:color="auto"/>
            </w:tcBorders>
            <w:shd w:val="clear" w:color="000000" w:fill="D9D9D9"/>
            <w:vAlign w:val="center"/>
            <w:hideMark/>
          </w:tcPr>
          <w:p>
            <w:pPr>
              <w:jc w:val="center"/>
              <w:rPr>
                <w:b/>
                <w:bCs/>
                <w:noProof/>
                <w:color w:val="000000"/>
                <w:sz w:val="16"/>
                <w:szCs w:val="16"/>
              </w:rPr>
            </w:pPr>
            <w:r>
              <w:rPr>
                <w:b/>
                <w:noProof/>
                <w:color w:val="000000"/>
                <w:sz w:val="16"/>
              </w:rPr>
              <w:t>CP</w:t>
            </w:r>
          </w:p>
        </w:tc>
        <w:tc>
          <w:tcPr>
            <w:tcW w:w="1134" w:type="dxa"/>
            <w:tcBorders>
              <w:top w:val="nil"/>
              <w:left w:val="nil"/>
              <w:bottom w:val="single" w:sz="4" w:space="0" w:color="auto"/>
              <w:right w:val="single" w:sz="4" w:space="0" w:color="auto"/>
            </w:tcBorders>
            <w:shd w:val="clear" w:color="000000" w:fill="D9D9D9"/>
            <w:vAlign w:val="center"/>
            <w:hideMark/>
          </w:tcPr>
          <w:p>
            <w:pPr>
              <w:jc w:val="center"/>
              <w:rPr>
                <w:b/>
                <w:bCs/>
                <w:noProof/>
                <w:color w:val="000000"/>
                <w:sz w:val="16"/>
                <w:szCs w:val="16"/>
              </w:rPr>
            </w:pPr>
            <w:r>
              <w:rPr>
                <w:b/>
                <w:noProof/>
                <w:color w:val="000000"/>
                <w:sz w:val="16"/>
              </w:rPr>
              <w:t>CE</w:t>
            </w:r>
          </w:p>
        </w:tc>
        <w:tc>
          <w:tcPr>
            <w:tcW w:w="1134" w:type="dxa"/>
            <w:tcBorders>
              <w:top w:val="nil"/>
              <w:left w:val="nil"/>
              <w:bottom w:val="single" w:sz="4" w:space="0" w:color="auto"/>
              <w:right w:val="single" w:sz="4" w:space="0" w:color="auto"/>
            </w:tcBorders>
            <w:shd w:val="clear" w:color="000000" w:fill="D9D9D9"/>
            <w:vAlign w:val="center"/>
            <w:hideMark/>
          </w:tcPr>
          <w:p>
            <w:pPr>
              <w:jc w:val="center"/>
              <w:rPr>
                <w:b/>
                <w:bCs/>
                <w:noProof/>
                <w:color w:val="000000"/>
                <w:sz w:val="16"/>
                <w:szCs w:val="16"/>
              </w:rPr>
            </w:pPr>
            <w:r>
              <w:rPr>
                <w:b/>
                <w:noProof/>
                <w:color w:val="000000"/>
                <w:sz w:val="16"/>
              </w:rPr>
              <w:t>CP</w:t>
            </w:r>
          </w:p>
        </w:tc>
        <w:tc>
          <w:tcPr>
            <w:tcW w:w="1418" w:type="dxa"/>
            <w:tcBorders>
              <w:top w:val="nil"/>
              <w:left w:val="nil"/>
              <w:bottom w:val="single" w:sz="4" w:space="0" w:color="auto"/>
              <w:right w:val="single" w:sz="4" w:space="0" w:color="auto"/>
            </w:tcBorders>
            <w:shd w:val="clear" w:color="000000" w:fill="D9D9D9"/>
            <w:vAlign w:val="center"/>
            <w:hideMark/>
          </w:tcPr>
          <w:p>
            <w:pPr>
              <w:jc w:val="center"/>
              <w:rPr>
                <w:b/>
                <w:bCs/>
                <w:noProof/>
                <w:color w:val="000000"/>
                <w:sz w:val="16"/>
                <w:szCs w:val="16"/>
              </w:rPr>
            </w:pPr>
            <w:r>
              <w:rPr>
                <w:b/>
                <w:noProof/>
                <w:color w:val="000000"/>
                <w:sz w:val="16"/>
              </w:rPr>
              <w:t>CE</w:t>
            </w:r>
          </w:p>
        </w:tc>
        <w:tc>
          <w:tcPr>
            <w:tcW w:w="1417" w:type="dxa"/>
            <w:tcBorders>
              <w:top w:val="nil"/>
              <w:left w:val="nil"/>
              <w:bottom w:val="single" w:sz="4" w:space="0" w:color="auto"/>
              <w:right w:val="single" w:sz="4" w:space="0" w:color="auto"/>
            </w:tcBorders>
            <w:shd w:val="clear" w:color="000000" w:fill="D9D9D9"/>
            <w:vAlign w:val="center"/>
            <w:hideMark/>
          </w:tcPr>
          <w:p>
            <w:pPr>
              <w:jc w:val="center"/>
              <w:rPr>
                <w:b/>
                <w:bCs/>
                <w:noProof/>
                <w:color w:val="000000"/>
                <w:sz w:val="16"/>
                <w:szCs w:val="16"/>
              </w:rPr>
            </w:pPr>
            <w:r>
              <w:rPr>
                <w:b/>
                <w:noProof/>
                <w:color w:val="000000"/>
                <w:sz w:val="16"/>
              </w:rPr>
              <w:t>CP</w:t>
            </w:r>
          </w:p>
        </w:tc>
      </w:tr>
      <w:tr>
        <w:trPr>
          <w:trHeight w:val="270"/>
        </w:trPr>
        <w:tc>
          <w:tcPr>
            <w:tcW w:w="376" w:type="dxa"/>
            <w:tcBorders>
              <w:top w:val="single" w:sz="4" w:space="0" w:color="auto"/>
              <w:left w:val="single" w:sz="4" w:space="0" w:color="auto"/>
              <w:bottom w:val="dotted" w:sz="4" w:space="0" w:color="auto"/>
              <w:right w:val="nil"/>
            </w:tcBorders>
            <w:shd w:val="clear" w:color="auto" w:fill="auto"/>
            <w:vAlign w:val="bottom"/>
            <w:hideMark/>
          </w:tcPr>
          <w:p>
            <w:pPr>
              <w:rPr>
                <w:b/>
                <w:bCs/>
                <w:noProof/>
                <w:color w:val="000000"/>
                <w:sz w:val="16"/>
                <w:szCs w:val="16"/>
              </w:rPr>
            </w:pPr>
            <w:r>
              <w:rPr>
                <w:b/>
                <w:noProof/>
                <w:color w:val="000000"/>
                <w:sz w:val="16"/>
              </w:rPr>
              <w:t>1.</w:t>
            </w:r>
          </w:p>
        </w:tc>
        <w:tc>
          <w:tcPr>
            <w:tcW w:w="2616" w:type="dxa"/>
            <w:tcBorders>
              <w:top w:val="single" w:sz="4" w:space="0" w:color="auto"/>
              <w:left w:val="nil"/>
              <w:bottom w:val="dotted" w:sz="4" w:space="0" w:color="auto"/>
              <w:right w:val="single" w:sz="4" w:space="0" w:color="auto"/>
            </w:tcBorders>
            <w:shd w:val="clear" w:color="auto" w:fill="auto"/>
            <w:vAlign w:val="bottom"/>
            <w:hideMark/>
          </w:tcPr>
          <w:p>
            <w:pPr>
              <w:rPr>
                <w:b/>
                <w:bCs/>
                <w:noProof/>
                <w:color w:val="000000"/>
                <w:sz w:val="16"/>
                <w:szCs w:val="16"/>
              </w:rPr>
            </w:pPr>
            <w:r>
              <w:rPr>
                <w:b/>
                <w:noProof/>
                <w:color w:val="000000"/>
                <w:sz w:val="16"/>
              </w:rPr>
              <w:t>Croissance intelligente et inclusive</w:t>
            </w:r>
          </w:p>
        </w:tc>
        <w:tc>
          <w:tcPr>
            <w:tcW w:w="1366" w:type="dxa"/>
            <w:tcBorders>
              <w:top w:val="single" w:sz="4" w:space="0" w:color="auto"/>
              <w:left w:val="nil"/>
              <w:bottom w:val="dotted" w:sz="4" w:space="0" w:color="auto"/>
              <w:right w:val="single" w:sz="4" w:space="0" w:color="auto"/>
            </w:tcBorders>
            <w:shd w:val="clear" w:color="auto" w:fill="auto"/>
            <w:vAlign w:val="bottom"/>
            <w:hideMark/>
          </w:tcPr>
          <w:p>
            <w:pPr>
              <w:jc w:val="right"/>
              <w:rPr>
                <w:b/>
                <w:bCs/>
                <w:noProof/>
                <w:color w:val="000000"/>
                <w:sz w:val="16"/>
                <w:szCs w:val="16"/>
              </w:rPr>
            </w:pPr>
            <w:r>
              <w:rPr>
                <w:b/>
                <w:noProof/>
                <w:color w:val="000000"/>
                <w:sz w:val="16"/>
              </w:rPr>
              <w:t>77 954 679 684</w:t>
            </w:r>
          </w:p>
        </w:tc>
        <w:tc>
          <w:tcPr>
            <w:tcW w:w="1327" w:type="dxa"/>
            <w:tcBorders>
              <w:top w:val="nil"/>
              <w:left w:val="nil"/>
              <w:bottom w:val="dotted" w:sz="4" w:space="0" w:color="auto"/>
              <w:right w:val="single" w:sz="4" w:space="0" w:color="auto"/>
            </w:tcBorders>
            <w:shd w:val="clear" w:color="auto" w:fill="auto"/>
            <w:vAlign w:val="bottom"/>
            <w:hideMark/>
          </w:tcPr>
          <w:p>
            <w:pPr>
              <w:jc w:val="right"/>
              <w:rPr>
                <w:b/>
                <w:bCs/>
                <w:noProof/>
                <w:color w:val="000000"/>
                <w:sz w:val="16"/>
                <w:szCs w:val="16"/>
              </w:rPr>
            </w:pPr>
            <w:r>
              <w:rPr>
                <w:b/>
                <w:noProof/>
                <w:color w:val="000000"/>
                <w:sz w:val="16"/>
              </w:rPr>
              <w:t>66 922 960 910</w:t>
            </w:r>
          </w:p>
        </w:tc>
        <w:tc>
          <w:tcPr>
            <w:tcW w:w="1134" w:type="dxa"/>
            <w:tcBorders>
              <w:top w:val="nil"/>
              <w:left w:val="nil"/>
              <w:bottom w:val="dotted" w:sz="4" w:space="0" w:color="auto"/>
              <w:right w:val="single" w:sz="4" w:space="0" w:color="auto"/>
            </w:tcBorders>
            <w:shd w:val="clear" w:color="auto" w:fill="auto"/>
            <w:vAlign w:val="bottom"/>
            <w:hideMark/>
          </w:tcPr>
          <w:p>
            <w:pPr>
              <w:jc w:val="right"/>
              <w:rPr>
                <w:b/>
                <w:bCs/>
                <w:noProof/>
                <w:color w:val="000000"/>
                <w:sz w:val="16"/>
                <w:szCs w:val="16"/>
              </w:rPr>
            </w:pPr>
            <w:r>
              <w:rPr>
                <w:b/>
                <w:noProof/>
                <w:color w:val="000000"/>
                <w:sz w:val="16"/>
              </w:rPr>
              <w:t> </w:t>
            </w:r>
          </w:p>
        </w:tc>
        <w:tc>
          <w:tcPr>
            <w:tcW w:w="1134" w:type="dxa"/>
            <w:tcBorders>
              <w:top w:val="nil"/>
              <w:left w:val="nil"/>
              <w:bottom w:val="dotted" w:sz="4" w:space="0" w:color="auto"/>
              <w:right w:val="single" w:sz="4" w:space="0" w:color="auto"/>
            </w:tcBorders>
            <w:shd w:val="clear" w:color="auto" w:fill="auto"/>
            <w:vAlign w:val="bottom"/>
            <w:hideMark/>
          </w:tcPr>
          <w:p>
            <w:pPr>
              <w:jc w:val="right"/>
              <w:rPr>
                <w:b/>
                <w:bCs/>
                <w:noProof/>
                <w:color w:val="000000"/>
                <w:sz w:val="16"/>
                <w:szCs w:val="16"/>
              </w:rPr>
            </w:pPr>
            <w:r>
              <w:rPr>
                <w:b/>
                <w:noProof/>
                <w:color w:val="000000"/>
                <w:sz w:val="16"/>
              </w:rPr>
              <w:t>- 69 652 000</w:t>
            </w:r>
          </w:p>
        </w:tc>
        <w:tc>
          <w:tcPr>
            <w:tcW w:w="1418" w:type="dxa"/>
            <w:tcBorders>
              <w:top w:val="nil"/>
              <w:left w:val="nil"/>
              <w:bottom w:val="dotted" w:sz="4" w:space="0" w:color="auto"/>
              <w:right w:val="single" w:sz="4" w:space="0" w:color="auto"/>
            </w:tcBorders>
            <w:shd w:val="clear" w:color="auto" w:fill="auto"/>
            <w:vAlign w:val="bottom"/>
            <w:hideMark/>
          </w:tcPr>
          <w:p>
            <w:pPr>
              <w:jc w:val="right"/>
              <w:rPr>
                <w:b/>
                <w:bCs/>
                <w:noProof/>
                <w:color w:val="000000"/>
                <w:sz w:val="16"/>
                <w:szCs w:val="16"/>
              </w:rPr>
            </w:pPr>
            <w:r>
              <w:rPr>
                <w:b/>
                <w:noProof/>
                <w:color w:val="000000"/>
                <w:sz w:val="16"/>
              </w:rPr>
              <w:t>77 954 679 684</w:t>
            </w:r>
          </w:p>
        </w:tc>
        <w:tc>
          <w:tcPr>
            <w:tcW w:w="1417" w:type="dxa"/>
            <w:tcBorders>
              <w:top w:val="nil"/>
              <w:left w:val="nil"/>
              <w:bottom w:val="dotted" w:sz="4" w:space="0" w:color="auto"/>
              <w:right w:val="single" w:sz="4" w:space="0" w:color="auto"/>
            </w:tcBorders>
            <w:shd w:val="clear" w:color="auto" w:fill="auto"/>
            <w:vAlign w:val="bottom"/>
            <w:hideMark/>
          </w:tcPr>
          <w:p>
            <w:pPr>
              <w:jc w:val="right"/>
              <w:rPr>
                <w:b/>
                <w:bCs/>
                <w:noProof/>
                <w:color w:val="000000"/>
                <w:sz w:val="16"/>
                <w:szCs w:val="16"/>
              </w:rPr>
            </w:pPr>
            <w:r>
              <w:rPr>
                <w:b/>
                <w:noProof/>
                <w:color w:val="000000"/>
                <w:sz w:val="16"/>
              </w:rPr>
              <w:t>66 853 308 910</w:t>
            </w:r>
          </w:p>
        </w:tc>
      </w:tr>
      <w:tr>
        <w:trPr>
          <w:trHeight w:val="270"/>
        </w:trPr>
        <w:tc>
          <w:tcPr>
            <w:tcW w:w="2992" w:type="dxa"/>
            <w:gridSpan w:val="2"/>
            <w:tcBorders>
              <w:top w:val="dotted" w:sz="4" w:space="0" w:color="auto"/>
              <w:left w:val="single" w:sz="4" w:space="0" w:color="auto"/>
              <w:bottom w:val="dotted" w:sz="4" w:space="0" w:color="auto"/>
              <w:right w:val="single" w:sz="4" w:space="0" w:color="000000"/>
            </w:tcBorders>
            <w:shd w:val="clear" w:color="auto" w:fill="auto"/>
            <w:vAlign w:val="bottom"/>
            <w:hideMark/>
          </w:tcPr>
          <w:p>
            <w:pPr>
              <w:jc w:val="right"/>
              <w:rPr>
                <w:i/>
                <w:iCs/>
                <w:noProof/>
                <w:color w:val="000000"/>
                <w:sz w:val="16"/>
                <w:szCs w:val="16"/>
              </w:rPr>
            </w:pPr>
            <w:r>
              <w:rPr>
                <w:i/>
                <w:noProof/>
                <w:color w:val="000000"/>
                <w:sz w:val="16"/>
              </w:rPr>
              <w:t>dont part relevant de l'instrument de flexibilité</w:t>
            </w:r>
          </w:p>
        </w:tc>
        <w:tc>
          <w:tcPr>
            <w:tcW w:w="1366" w:type="dxa"/>
            <w:tcBorders>
              <w:top w:val="nil"/>
              <w:left w:val="nil"/>
              <w:bottom w:val="dotted" w:sz="4" w:space="0" w:color="auto"/>
              <w:right w:val="single" w:sz="4" w:space="0" w:color="auto"/>
            </w:tcBorders>
            <w:shd w:val="clear" w:color="auto" w:fill="auto"/>
            <w:vAlign w:val="bottom"/>
            <w:hideMark/>
          </w:tcPr>
          <w:p>
            <w:pPr>
              <w:jc w:val="right"/>
              <w:rPr>
                <w:i/>
                <w:iCs/>
                <w:noProof/>
                <w:color w:val="000000"/>
                <w:sz w:val="16"/>
                <w:szCs w:val="16"/>
              </w:rPr>
            </w:pPr>
            <w:r>
              <w:rPr>
                <w:i/>
                <w:noProof/>
                <w:color w:val="000000"/>
                <w:sz w:val="16"/>
              </w:rPr>
              <w:t xml:space="preserve"> 83 285 595</w:t>
            </w:r>
          </w:p>
        </w:tc>
        <w:tc>
          <w:tcPr>
            <w:tcW w:w="1327" w:type="dxa"/>
            <w:tcBorders>
              <w:top w:val="nil"/>
              <w:left w:val="nil"/>
              <w:bottom w:val="dotted" w:sz="4" w:space="0" w:color="auto"/>
              <w:right w:val="single" w:sz="4" w:space="0" w:color="auto"/>
            </w:tcBorders>
            <w:shd w:val="clear" w:color="auto" w:fill="auto"/>
            <w:vAlign w:val="bottom"/>
            <w:hideMark/>
          </w:tcPr>
          <w:p>
            <w:pPr>
              <w:jc w:val="right"/>
              <w:rPr>
                <w:i/>
                <w:iCs/>
                <w:noProof/>
                <w:color w:val="000000"/>
                <w:sz w:val="16"/>
                <w:szCs w:val="16"/>
              </w:rPr>
            </w:pPr>
            <w:r>
              <w:rPr>
                <w:i/>
                <w:noProof/>
                <w:color w:val="000000"/>
                <w:sz w:val="16"/>
              </w:rPr>
              <w:t> </w:t>
            </w:r>
          </w:p>
        </w:tc>
        <w:tc>
          <w:tcPr>
            <w:tcW w:w="1134" w:type="dxa"/>
            <w:tcBorders>
              <w:top w:val="nil"/>
              <w:left w:val="nil"/>
              <w:bottom w:val="dotted" w:sz="4" w:space="0" w:color="auto"/>
              <w:right w:val="single" w:sz="4" w:space="0" w:color="auto"/>
            </w:tcBorders>
            <w:shd w:val="clear" w:color="auto" w:fill="auto"/>
            <w:vAlign w:val="bottom"/>
            <w:hideMark/>
          </w:tcPr>
          <w:p>
            <w:pPr>
              <w:jc w:val="right"/>
              <w:rPr>
                <w:i/>
                <w:iCs/>
                <w:noProof/>
                <w:color w:val="000000"/>
                <w:sz w:val="16"/>
                <w:szCs w:val="16"/>
              </w:rPr>
            </w:pPr>
            <w:r>
              <w:rPr>
                <w:i/>
                <w:noProof/>
                <w:color w:val="000000"/>
                <w:sz w:val="16"/>
              </w:rPr>
              <w:t> </w:t>
            </w:r>
          </w:p>
        </w:tc>
        <w:tc>
          <w:tcPr>
            <w:tcW w:w="1134" w:type="dxa"/>
            <w:tcBorders>
              <w:top w:val="nil"/>
              <w:left w:val="nil"/>
              <w:bottom w:val="dotted" w:sz="4" w:space="0" w:color="auto"/>
              <w:right w:val="single" w:sz="4" w:space="0" w:color="auto"/>
            </w:tcBorders>
            <w:shd w:val="clear" w:color="auto" w:fill="auto"/>
            <w:vAlign w:val="bottom"/>
            <w:hideMark/>
          </w:tcPr>
          <w:p>
            <w:pPr>
              <w:jc w:val="right"/>
              <w:rPr>
                <w:i/>
                <w:iCs/>
                <w:noProof/>
                <w:color w:val="000000"/>
                <w:sz w:val="16"/>
                <w:szCs w:val="16"/>
              </w:rPr>
            </w:pPr>
            <w:r>
              <w:rPr>
                <w:i/>
                <w:noProof/>
                <w:color w:val="000000"/>
                <w:sz w:val="16"/>
              </w:rPr>
              <w:t> </w:t>
            </w:r>
          </w:p>
        </w:tc>
        <w:tc>
          <w:tcPr>
            <w:tcW w:w="1418" w:type="dxa"/>
            <w:tcBorders>
              <w:top w:val="nil"/>
              <w:left w:val="nil"/>
              <w:bottom w:val="dotted" w:sz="4" w:space="0" w:color="auto"/>
              <w:right w:val="single" w:sz="4" w:space="0" w:color="auto"/>
            </w:tcBorders>
            <w:shd w:val="clear" w:color="auto" w:fill="auto"/>
            <w:vAlign w:val="bottom"/>
            <w:hideMark/>
          </w:tcPr>
          <w:p>
            <w:pPr>
              <w:jc w:val="right"/>
              <w:rPr>
                <w:i/>
                <w:iCs/>
                <w:noProof/>
                <w:color w:val="000000"/>
                <w:sz w:val="16"/>
                <w:szCs w:val="16"/>
              </w:rPr>
            </w:pPr>
            <w:r>
              <w:rPr>
                <w:i/>
                <w:noProof/>
                <w:color w:val="000000"/>
                <w:sz w:val="16"/>
              </w:rPr>
              <w:t xml:space="preserve"> 83 285 595</w:t>
            </w:r>
          </w:p>
        </w:tc>
        <w:tc>
          <w:tcPr>
            <w:tcW w:w="1417" w:type="dxa"/>
            <w:tcBorders>
              <w:top w:val="nil"/>
              <w:left w:val="nil"/>
              <w:bottom w:val="dotted" w:sz="4" w:space="0" w:color="auto"/>
              <w:right w:val="single" w:sz="4" w:space="0" w:color="auto"/>
            </w:tcBorders>
            <w:shd w:val="clear" w:color="auto" w:fill="auto"/>
            <w:vAlign w:val="bottom"/>
            <w:hideMark/>
          </w:tcPr>
          <w:p>
            <w:pPr>
              <w:jc w:val="right"/>
              <w:rPr>
                <w:i/>
                <w:iCs/>
                <w:noProof/>
                <w:color w:val="000000"/>
                <w:sz w:val="16"/>
                <w:szCs w:val="16"/>
              </w:rPr>
            </w:pPr>
            <w:r>
              <w:rPr>
                <w:i/>
                <w:noProof/>
                <w:color w:val="000000"/>
                <w:sz w:val="16"/>
              </w:rPr>
              <w:t> </w:t>
            </w:r>
          </w:p>
        </w:tc>
      </w:tr>
      <w:tr>
        <w:trPr>
          <w:trHeight w:val="270"/>
        </w:trPr>
        <w:tc>
          <w:tcPr>
            <w:tcW w:w="2992" w:type="dxa"/>
            <w:gridSpan w:val="2"/>
            <w:tcBorders>
              <w:top w:val="dotted" w:sz="4" w:space="0" w:color="auto"/>
              <w:left w:val="single" w:sz="4" w:space="0" w:color="auto"/>
              <w:bottom w:val="dotted" w:sz="4" w:space="0" w:color="auto"/>
              <w:right w:val="single" w:sz="4" w:space="0" w:color="000000"/>
            </w:tcBorders>
            <w:shd w:val="clear" w:color="auto" w:fill="auto"/>
            <w:vAlign w:val="bottom"/>
            <w:hideMark/>
          </w:tcPr>
          <w:p>
            <w:pPr>
              <w:jc w:val="right"/>
              <w:rPr>
                <w:i/>
                <w:iCs/>
                <w:noProof/>
                <w:color w:val="000000"/>
                <w:sz w:val="16"/>
                <w:szCs w:val="16"/>
              </w:rPr>
            </w:pPr>
            <w:r>
              <w:rPr>
                <w:i/>
                <w:noProof/>
                <w:color w:val="000000"/>
                <w:sz w:val="16"/>
              </w:rPr>
              <w:t xml:space="preserve">Plafond </w:t>
            </w:r>
          </w:p>
        </w:tc>
        <w:tc>
          <w:tcPr>
            <w:tcW w:w="1366" w:type="dxa"/>
            <w:tcBorders>
              <w:top w:val="nil"/>
              <w:left w:val="nil"/>
              <w:bottom w:val="dotted" w:sz="4" w:space="0" w:color="auto"/>
              <w:right w:val="single" w:sz="4" w:space="0" w:color="auto"/>
            </w:tcBorders>
            <w:shd w:val="clear" w:color="auto" w:fill="auto"/>
            <w:vAlign w:val="bottom"/>
            <w:hideMark/>
          </w:tcPr>
          <w:p>
            <w:pPr>
              <w:jc w:val="right"/>
              <w:rPr>
                <w:i/>
                <w:iCs/>
                <w:noProof/>
                <w:color w:val="000000"/>
                <w:sz w:val="16"/>
                <w:szCs w:val="16"/>
              </w:rPr>
            </w:pPr>
            <w:r>
              <w:rPr>
                <w:i/>
                <w:noProof/>
                <w:color w:val="000000"/>
                <w:sz w:val="16"/>
              </w:rPr>
              <w:t>77 986 000 000</w:t>
            </w:r>
          </w:p>
        </w:tc>
        <w:tc>
          <w:tcPr>
            <w:tcW w:w="1327" w:type="dxa"/>
            <w:tcBorders>
              <w:top w:val="nil"/>
              <w:left w:val="nil"/>
              <w:bottom w:val="dotted" w:sz="4" w:space="0" w:color="auto"/>
              <w:right w:val="single" w:sz="4" w:space="0" w:color="auto"/>
            </w:tcBorders>
            <w:shd w:val="clear" w:color="auto" w:fill="auto"/>
            <w:vAlign w:val="bottom"/>
            <w:hideMark/>
          </w:tcPr>
          <w:p>
            <w:pPr>
              <w:jc w:val="right"/>
              <w:rPr>
                <w:i/>
                <w:iCs/>
                <w:noProof/>
                <w:color w:val="000000"/>
                <w:sz w:val="16"/>
                <w:szCs w:val="16"/>
              </w:rPr>
            </w:pPr>
            <w:r>
              <w:rPr>
                <w:i/>
                <w:noProof/>
                <w:color w:val="000000"/>
                <w:sz w:val="16"/>
              </w:rPr>
              <w:t> </w:t>
            </w:r>
          </w:p>
        </w:tc>
        <w:tc>
          <w:tcPr>
            <w:tcW w:w="1134" w:type="dxa"/>
            <w:tcBorders>
              <w:top w:val="nil"/>
              <w:left w:val="nil"/>
              <w:bottom w:val="dotted" w:sz="4" w:space="0" w:color="auto"/>
              <w:right w:val="single" w:sz="4" w:space="0" w:color="auto"/>
            </w:tcBorders>
            <w:shd w:val="clear" w:color="auto" w:fill="auto"/>
            <w:vAlign w:val="bottom"/>
            <w:hideMark/>
          </w:tcPr>
          <w:p>
            <w:pPr>
              <w:jc w:val="right"/>
              <w:rPr>
                <w:i/>
                <w:iCs/>
                <w:noProof/>
                <w:color w:val="000000"/>
                <w:sz w:val="16"/>
                <w:szCs w:val="16"/>
              </w:rPr>
            </w:pPr>
            <w:r>
              <w:rPr>
                <w:i/>
                <w:noProof/>
                <w:color w:val="000000"/>
                <w:sz w:val="16"/>
              </w:rPr>
              <w:t> </w:t>
            </w:r>
          </w:p>
        </w:tc>
        <w:tc>
          <w:tcPr>
            <w:tcW w:w="1134" w:type="dxa"/>
            <w:tcBorders>
              <w:top w:val="nil"/>
              <w:left w:val="nil"/>
              <w:bottom w:val="dotted" w:sz="4" w:space="0" w:color="auto"/>
              <w:right w:val="single" w:sz="4" w:space="0" w:color="auto"/>
            </w:tcBorders>
            <w:shd w:val="clear" w:color="auto" w:fill="auto"/>
            <w:vAlign w:val="bottom"/>
            <w:hideMark/>
          </w:tcPr>
          <w:p>
            <w:pPr>
              <w:jc w:val="right"/>
              <w:rPr>
                <w:i/>
                <w:iCs/>
                <w:noProof/>
                <w:color w:val="000000"/>
                <w:sz w:val="16"/>
                <w:szCs w:val="16"/>
              </w:rPr>
            </w:pPr>
            <w:r>
              <w:rPr>
                <w:i/>
                <w:noProof/>
                <w:color w:val="000000"/>
                <w:sz w:val="16"/>
              </w:rPr>
              <w:t> </w:t>
            </w:r>
          </w:p>
        </w:tc>
        <w:tc>
          <w:tcPr>
            <w:tcW w:w="1418" w:type="dxa"/>
            <w:tcBorders>
              <w:top w:val="nil"/>
              <w:left w:val="nil"/>
              <w:bottom w:val="dotted" w:sz="4" w:space="0" w:color="auto"/>
              <w:right w:val="single" w:sz="4" w:space="0" w:color="auto"/>
            </w:tcBorders>
            <w:shd w:val="clear" w:color="auto" w:fill="auto"/>
            <w:vAlign w:val="bottom"/>
            <w:hideMark/>
          </w:tcPr>
          <w:p>
            <w:pPr>
              <w:jc w:val="right"/>
              <w:rPr>
                <w:i/>
                <w:iCs/>
                <w:noProof/>
                <w:color w:val="000000"/>
                <w:sz w:val="16"/>
                <w:szCs w:val="16"/>
              </w:rPr>
            </w:pPr>
            <w:r>
              <w:rPr>
                <w:i/>
                <w:noProof/>
                <w:color w:val="000000"/>
                <w:sz w:val="16"/>
              </w:rPr>
              <w:t>77 986 000 000</w:t>
            </w:r>
          </w:p>
        </w:tc>
        <w:tc>
          <w:tcPr>
            <w:tcW w:w="1417" w:type="dxa"/>
            <w:tcBorders>
              <w:top w:val="nil"/>
              <w:left w:val="nil"/>
              <w:bottom w:val="dotted" w:sz="4" w:space="0" w:color="auto"/>
              <w:right w:val="single" w:sz="4" w:space="0" w:color="auto"/>
            </w:tcBorders>
            <w:shd w:val="clear" w:color="auto" w:fill="auto"/>
            <w:vAlign w:val="bottom"/>
            <w:hideMark/>
          </w:tcPr>
          <w:p>
            <w:pPr>
              <w:jc w:val="right"/>
              <w:rPr>
                <w:i/>
                <w:iCs/>
                <w:noProof/>
                <w:color w:val="000000"/>
                <w:sz w:val="16"/>
                <w:szCs w:val="16"/>
              </w:rPr>
            </w:pPr>
            <w:r>
              <w:rPr>
                <w:i/>
                <w:noProof/>
                <w:color w:val="000000"/>
                <w:sz w:val="16"/>
              </w:rPr>
              <w:t> </w:t>
            </w:r>
          </w:p>
        </w:tc>
      </w:tr>
      <w:tr>
        <w:trPr>
          <w:trHeight w:val="270"/>
        </w:trPr>
        <w:tc>
          <w:tcPr>
            <w:tcW w:w="2992" w:type="dxa"/>
            <w:gridSpan w:val="2"/>
            <w:tcBorders>
              <w:top w:val="dotted" w:sz="4" w:space="0" w:color="auto"/>
              <w:left w:val="single" w:sz="4" w:space="0" w:color="auto"/>
              <w:bottom w:val="dotted" w:sz="4" w:space="0" w:color="auto"/>
              <w:right w:val="single" w:sz="4" w:space="0" w:color="000000"/>
            </w:tcBorders>
            <w:shd w:val="clear" w:color="auto" w:fill="auto"/>
            <w:vAlign w:val="bottom"/>
            <w:hideMark/>
          </w:tcPr>
          <w:p>
            <w:pPr>
              <w:jc w:val="right"/>
              <w:rPr>
                <w:i/>
                <w:iCs/>
                <w:noProof/>
                <w:color w:val="000000"/>
                <w:sz w:val="16"/>
                <w:szCs w:val="16"/>
              </w:rPr>
            </w:pPr>
            <w:r>
              <w:rPr>
                <w:i/>
                <w:noProof/>
                <w:color w:val="000000"/>
                <w:sz w:val="16"/>
              </w:rPr>
              <w:t>Marge</w:t>
            </w:r>
          </w:p>
        </w:tc>
        <w:tc>
          <w:tcPr>
            <w:tcW w:w="1366" w:type="dxa"/>
            <w:tcBorders>
              <w:top w:val="nil"/>
              <w:left w:val="nil"/>
              <w:bottom w:val="single" w:sz="4" w:space="0" w:color="auto"/>
              <w:right w:val="single" w:sz="4" w:space="0" w:color="auto"/>
            </w:tcBorders>
            <w:shd w:val="clear" w:color="auto" w:fill="auto"/>
            <w:vAlign w:val="bottom"/>
            <w:hideMark/>
          </w:tcPr>
          <w:p>
            <w:pPr>
              <w:jc w:val="right"/>
              <w:rPr>
                <w:i/>
                <w:iCs/>
                <w:noProof/>
                <w:color w:val="000000"/>
                <w:sz w:val="16"/>
                <w:szCs w:val="16"/>
              </w:rPr>
            </w:pPr>
            <w:r>
              <w:rPr>
                <w:i/>
                <w:noProof/>
                <w:color w:val="000000"/>
                <w:sz w:val="16"/>
              </w:rPr>
              <w:t xml:space="preserve"> 114 605 911</w:t>
            </w:r>
          </w:p>
        </w:tc>
        <w:tc>
          <w:tcPr>
            <w:tcW w:w="1327" w:type="dxa"/>
            <w:tcBorders>
              <w:top w:val="nil"/>
              <w:left w:val="nil"/>
              <w:bottom w:val="single" w:sz="4" w:space="0" w:color="auto"/>
              <w:right w:val="single" w:sz="4" w:space="0" w:color="auto"/>
            </w:tcBorders>
            <w:shd w:val="clear" w:color="auto" w:fill="auto"/>
            <w:vAlign w:val="bottom"/>
            <w:hideMark/>
          </w:tcPr>
          <w:p>
            <w:pPr>
              <w:jc w:val="right"/>
              <w:rPr>
                <w:i/>
                <w:iCs/>
                <w:noProof/>
                <w:color w:val="000000"/>
                <w:sz w:val="16"/>
                <w:szCs w:val="16"/>
              </w:rPr>
            </w:pPr>
            <w:r>
              <w:rPr>
                <w:i/>
                <w:noProof/>
                <w:color w:val="000000"/>
                <w:sz w:val="16"/>
              </w:rPr>
              <w:t> </w:t>
            </w:r>
          </w:p>
        </w:tc>
        <w:tc>
          <w:tcPr>
            <w:tcW w:w="1134" w:type="dxa"/>
            <w:tcBorders>
              <w:top w:val="nil"/>
              <w:left w:val="nil"/>
              <w:bottom w:val="single" w:sz="4" w:space="0" w:color="auto"/>
              <w:right w:val="single" w:sz="4" w:space="0" w:color="auto"/>
            </w:tcBorders>
            <w:shd w:val="clear" w:color="auto" w:fill="auto"/>
            <w:vAlign w:val="bottom"/>
            <w:hideMark/>
          </w:tcPr>
          <w:p>
            <w:pPr>
              <w:jc w:val="right"/>
              <w:rPr>
                <w:i/>
                <w:iCs/>
                <w:noProof/>
                <w:color w:val="000000"/>
                <w:sz w:val="16"/>
                <w:szCs w:val="16"/>
              </w:rPr>
            </w:pPr>
            <w:r>
              <w:rPr>
                <w:i/>
                <w:noProof/>
                <w:color w:val="000000"/>
                <w:sz w:val="16"/>
              </w:rPr>
              <w:t> </w:t>
            </w:r>
          </w:p>
        </w:tc>
        <w:tc>
          <w:tcPr>
            <w:tcW w:w="1134" w:type="dxa"/>
            <w:tcBorders>
              <w:top w:val="nil"/>
              <w:left w:val="nil"/>
              <w:bottom w:val="single" w:sz="4" w:space="0" w:color="auto"/>
              <w:right w:val="single" w:sz="4" w:space="0" w:color="auto"/>
            </w:tcBorders>
            <w:shd w:val="clear" w:color="auto" w:fill="auto"/>
            <w:vAlign w:val="bottom"/>
            <w:hideMark/>
          </w:tcPr>
          <w:p>
            <w:pPr>
              <w:jc w:val="right"/>
              <w:rPr>
                <w:i/>
                <w:iCs/>
                <w:noProof/>
                <w:color w:val="000000"/>
                <w:sz w:val="16"/>
                <w:szCs w:val="16"/>
              </w:rPr>
            </w:pPr>
            <w:r>
              <w:rPr>
                <w:i/>
                <w:noProof/>
                <w:color w:val="000000"/>
                <w:sz w:val="16"/>
              </w:rPr>
              <w:t> </w:t>
            </w:r>
          </w:p>
        </w:tc>
        <w:tc>
          <w:tcPr>
            <w:tcW w:w="1418" w:type="dxa"/>
            <w:tcBorders>
              <w:top w:val="nil"/>
              <w:left w:val="nil"/>
              <w:bottom w:val="single" w:sz="4" w:space="0" w:color="auto"/>
              <w:right w:val="single" w:sz="4" w:space="0" w:color="auto"/>
            </w:tcBorders>
            <w:shd w:val="clear" w:color="auto" w:fill="auto"/>
            <w:vAlign w:val="bottom"/>
            <w:hideMark/>
          </w:tcPr>
          <w:p>
            <w:pPr>
              <w:jc w:val="right"/>
              <w:rPr>
                <w:i/>
                <w:iCs/>
                <w:noProof/>
                <w:color w:val="000000"/>
                <w:sz w:val="16"/>
                <w:szCs w:val="16"/>
              </w:rPr>
            </w:pPr>
            <w:r>
              <w:rPr>
                <w:i/>
                <w:noProof/>
                <w:color w:val="000000"/>
                <w:sz w:val="16"/>
              </w:rPr>
              <w:t xml:space="preserve"> 114 605 911</w:t>
            </w:r>
          </w:p>
        </w:tc>
        <w:tc>
          <w:tcPr>
            <w:tcW w:w="1417" w:type="dxa"/>
            <w:tcBorders>
              <w:top w:val="nil"/>
              <w:left w:val="nil"/>
              <w:bottom w:val="single" w:sz="4" w:space="0" w:color="auto"/>
              <w:right w:val="single" w:sz="4" w:space="0" w:color="auto"/>
            </w:tcBorders>
            <w:shd w:val="clear" w:color="auto" w:fill="auto"/>
            <w:vAlign w:val="bottom"/>
            <w:hideMark/>
          </w:tcPr>
          <w:p>
            <w:pPr>
              <w:jc w:val="right"/>
              <w:rPr>
                <w:i/>
                <w:iCs/>
                <w:noProof/>
                <w:color w:val="000000"/>
                <w:sz w:val="16"/>
                <w:szCs w:val="16"/>
              </w:rPr>
            </w:pPr>
            <w:r>
              <w:rPr>
                <w:i/>
                <w:noProof/>
                <w:color w:val="000000"/>
                <w:sz w:val="16"/>
              </w:rPr>
              <w:t> </w:t>
            </w:r>
          </w:p>
        </w:tc>
      </w:tr>
      <w:tr>
        <w:trPr>
          <w:trHeight w:val="270"/>
        </w:trPr>
        <w:tc>
          <w:tcPr>
            <w:tcW w:w="376" w:type="dxa"/>
            <w:tcBorders>
              <w:top w:val="nil"/>
              <w:left w:val="single" w:sz="4" w:space="0" w:color="auto"/>
              <w:bottom w:val="dotted" w:sz="4" w:space="0" w:color="auto"/>
              <w:right w:val="nil"/>
            </w:tcBorders>
            <w:shd w:val="clear" w:color="auto" w:fill="auto"/>
            <w:vAlign w:val="bottom"/>
            <w:hideMark/>
          </w:tcPr>
          <w:p>
            <w:pPr>
              <w:rPr>
                <w:noProof/>
                <w:color w:val="000000"/>
                <w:sz w:val="16"/>
                <w:szCs w:val="16"/>
              </w:rPr>
            </w:pPr>
            <w:r>
              <w:rPr>
                <w:noProof/>
                <w:color w:val="000000"/>
                <w:sz w:val="16"/>
              </w:rPr>
              <w:t>1a</w:t>
            </w:r>
          </w:p>
        </w:tc>
        <w:tc>
          <w:tcPr>
            <w:tcW w:w="2616" w:type="dxa"/>
            <w:tcBorders>
              <w:top w:val="nil"/>
              <w:left w:val="nil"/>
              <w:bottom w:val="dotted" w:sz="4" w:space="0" w:color="auto"/>
              <w:right w:val="single" w:sz="4" w:space="0" w:color="auto"/>
            </w:tcBorders>
            <w:shd w:val="clear" w:color="auto" w:fill="auto"/>
            <w:vAlign w:val="bottom"/>
            <w:hideMark/>
          </w:tcPr>
          <w:p>
            <w:pPr>
              <w:rPr>
                <w:noProof/>
                <w:color w:val="000000"/>
                <w:sz w:val="16"/>
                <w:szCs w:val="16"/>
              </w:rPr>
            </w:pPr>
            <w:r>
              <w:rPr>
                <w:noProof/>
                <w:color w:val="000000"/>
                <w:sz w:val="16"/>
              </w:rPr>
              <w:t>Compétitivité pour la croissance et l'emploi</w:t>
            </w:r>
          </w:p>
        </w:tc>
        <w:tc>
          <w:tcPr>
            <w:tcW w:w="1366" w:type="dxa"/>
            <w:tcBorders>
              <w:top w:val="nil"/>
              <w:left w:val="nil"/>
              <w:bottom w:val="dotted" w:sz="4" w:space="0" w:color="auto"/>
              <w:right w:val="single" w:sz="4" w:space="0" w:color="auto"/>
            </w:tcBorders>
            <w:shd w:val="clear" w:color="auto" w:fill="auto"/>
            <w:vAlign w:val="bottom"/>
            <w:hideMark/>
          </w:tcPr>
          <w:p>
            <w:pPr>
              <w:jc w:val="right"/>
              <w:rPr>
                <w:noProof/>
                <w:color w:val="000000"/>
                <w:sz w:val="16"/>
                <w:szCs w:val="16"/>
              </w:rPr>
            </w:pPr>
            <w:r>
              <w:rPr>
                <w:noProof/>
                <w:color w:val="000000"/>
                <w:sz w:val="16"/>
              </w:rPr>
              <w:t>17 551 688 425</w:t>
            </w:r>
          </w:p>
        </w:tc>
        <w:tc>
          <w:tcPr>
            <w:tcW w:w="1327" w:type="dxa"/>
            <w:tcBorders>
              <w:top w:val="nil"/>
              <w:left w:val="nil"/>
              <w:bottom w:val="dotted" w:sz="4" w:space="0" w:color="auto"/>
              <w:right w:val="single" w:sz="4" w:space="0" w:color="auto"/>
            </w:tcBorders>
            <w:shd w:val="clear" w:color="auto" w:fill="auto"/>
            <w:vAlign w:val="bottom"/>
            <w:hideMark/>
          </w:tcPr>
          <w:p>
            <w:pPr>
              <w:jc w:val="right"/>
              <w:rPr>
                <w:noProof/>
                <w:color w:val="000000"/>
                <w:sz w:val="16"/>
                <w:szCs w:val="16"/>
              </w:rPr>
            </w:pPr>
            <w:r>
              <w:rPr>
                <w:noProof/>
                <w:color w:val="000000"/>
                <w:sz w:val="16"/>
              </w:rPr>
              <w:t>15 798 230 894</w:t>
            </w:r>
          </w:p>
        </w:tc>
        <w:tc>
          <w:tcPr>
            <w:tcW w:w="1134" w:type="dxa"/>
            <w:tcBorders>
              <w:top w:val="nil"/>
              <w:left w:val="nil"/>
              <w:bottom w:val="dotted" w:sz="4" w:space="0" w:color="auto"/>
              <w:right w:val="single" w:sz="4" w:space="0" w:color="auto"/>
            </w:tcBorders>
            <w:shd w:val="clear" w:color="auto" w:fill="auto"/>
            <w:vAlign w:val="bottom"/>
            <w:hideMark/>
          </w:tcPr>
          <w:p>
            <w:pPr>
              <w:jc w:val="right"/>
              <w:rPr>
                <w:noProof/>
                <w:color w:val="000000"/>
                <w:sz w:val="16"/>
                <w:szCs w:val="16"/>
              </w:rPr>
            </w:pPr>
            <w:r>
              <w:rPr>
                <w:noProof/>
                <w:color w:val="000000"/>
                <w:sz w:val="16"/>
              </w:rPr>
              <w:t> </w:t>
            </w:r>
          </w:p>
        </w:tc>
        <w:tc>
          <w:tcPr>
            <w:tcW w:w="1134" w:type="dxa"/>
            <w:tcBorders>
              <w:top w:val="nil"/>
              <w:left w:val="nil"/>
              <w:bottom w:val="dotted" w:sz="4" w:space="0" w:color="auto"/>
              <w:right w:val="single" w:sz="4" w:space="0" w:color="auto"/>
            </w:tcBorders>
            <w:shd w:val="clear" w:color="auto" w:fill="auto"/>
            <w:vAlign w:val="bottom"/>
            <w:hideMark/>
          </w:tcPr>
          <w:p>
            <w:pPr>
              <w:jc w:val="right"/>
              <w:rPr>
                <w:b/>
                <w:bCs/>
                <w:noProof/>
                <w:color w:val="000000"/>
                <w:sz w:val="16"/>
                <w:szCs w:val="16"/>
              </w:rPr>
            </w:pPr>
            <w:r>
              <w:rPr>
                <w:b/>
                <w:noProof/>
                <w:color w:val="000000"/>
                <w:sz w:val="16"/>
              </w:rPr>
              <w:t>- 69 652 000</w:t>
            </w:r>
          </w:p>
        </w:tc>
        <w:tc>
          <w:tcPr>
            <w:tcW w:w="1418" w:type="dxa"/>
            <w:tcBorders>
              <w:top w:val="nil"/>
              <w:left w:val="nil"/>
              <w:bottom w:val="dotted" w:sz="4" w:space="0" w:color="auto"/>
              <w:right w:val="single" w:sz="4" w:space="0" w:color="auto"/>
            </w:tcBorders>
            <w:shd w:val="clear" w:color="auto" w:fill="auto"/>
            <w:vAlign w:val="bottom"/>
            <w:hideMark/>
          </w:tcPr>
          <w:p>
            <w:pPr>
              <w:jc w:val="right"/>
              <w:rPr>
                <w:noProof/>
                <w:color w:val="000000"/>
                <w:sz w:val="16"/>
                <w:szCs w:val="16"/>
              </w:rPr>
            </w:pPr>
            <w:r>
              <w:rPr>
                <w:noProof/>
                <w:color w:val="000000"/>
                <w:sz w:val="16"/>
              </w:rPr>
              <w:t>17 551 688 425</w:t>
            </w:r>
          </w:p>
        </w:tc>
        <w:tc>
          <w:tcPr>
            <w:tcW w:w="1417" w:type="dxa"/>
            <w:tcBorders>
              <w:top w:val="nil"/>
              <w:left w:val="nil"/>
              <w:bottom w:val="dotted" w:sz="4" w:space="0" w:color="auto"/>
              <w:right w:val="single" w:sz="4" w:space="0" w:color="auto"/>
            </w:tcBorders>
            <w:shd w:val="clear" w:color="auto" w:fill="auto"/>
            <w:vAlign w:val="bottom"/>
            <w:hideMark/>
          </w:tcPr>
          <w:p>
            <w:pPr>
              <w:jc w:val="right"/>
              <w:rPr>
                <w:noProof/>
                <w:color w:val="000000"/>
                <w:sz w:val="16"/>
                <w:szCs w:val="16"/>
              </w:rPr>
            </w:pPr>
            <w:r>
              <w:rPr>
                <w:noProof/>
                <w:color w:val="000000"/>
                <w:sz w:val="16"/>
              </w:rPr>
              <w:t>15 728 578 894</w:t>
            </w:r>
          </w:p>
        </w:tc>
      </w:tr>
      <w:tr>
        <w:trPr>
          <w:trHeight w:val="270"/>
        </w:trPr>
        <w:tc>
          <w:tcPr>
            <w:tcW w:w="2992" w:type="dxa"/>
            <w:gridSpan w:val="2"/>
            <w:tcBorders>
              <w:top w:val="dotted" w:sz="4" w:space="0" w:color="auto"/>
              <w:left w:val="single" w:sz="4" w:space="0" w:color="auto"/>
              <w:bottom w:val="dotted" w:sz="4" w:space="0" w:color="auto"/>
              <w:right w:val="single" w:sz="4" w:space="0" w:color="000000"/>
            </w:tcBorders>
            <w:shd w:val="clear" w:color="auto" w:fill="auto"/>
            <w:vAlign w:val="bottom"/>
            <w:hideMark/>
          </w:tcPr>
          <w:p>
            <w:pPr>
              <w:jc w:val="right"/>
              <w:rPr>
                <w:i/>
                <w:iCs/>
                <w:noProof/>
                <w:color w:val="000000"/>
                <w:sz w:val="16"/>
                <w:szCs w:val="16"/>
              </w:rPr>
            </w:pPr>
            <w:r>
              <w:rPr>
                <w:i/>
                <w:noProof/>
                <w:color w:val="000000"/>
                <w:sz w:val="16"/>
              </w:rPr>
              <w:t>Plafond</w:t>
            </w:r>
          </w:p>
        </w:tc>
        <w:tc>
          <w:tcPr>
            <w:tcW w:w="1366" w:type="dxa"/>
            <w:tcBorders>
              <w:top w:val="nil"/>
              <w:left w:val="nil"/>
              <w:bottom w:val="dotted" w:sz="4" w:space="0" w:color="auto"/>
              <w:right w:val="single" w:sz="4" w:space="0" w:color="auto"/>
            </w:tcBorders>
            <w:shd w:val="clear" w:color="auto" w:fill="auto"/>
            <w:vAlign w:val="bottom"/>
            <w:hideMark/>
          </w:tcPr>
          <w:p>
            <w:pPr>
              <w:jc w:val="right"/>
              <w:rPr>
                <w:i/>
                <w:iCs/>
                <w:noProof/>
                <w:color w:val="000000"/>
                <w:sz w:val="16"/>
                <w:szCs w:val="16"/>
              </w:rPr>
            </w:pPr>
            <w:r>
              <w:rPr>
                <w:i/>
                <w:noProof/>
                <w:color w:val="000000"/>
                <w:sz w:val="16"/>
              </w:rPr>
              <w:t>17 666 000 000</w:t>
            </w:r>
          </w:p>
        </w:tc>
        <w:tc>
          <w:tcPr>
            <w:tcW w:w="1327" w:type="dxa"/>
            <w:tcBorders>
              <w:top w:val="nil"/>
              <w:left w:val="nil"/>
              <w:bottom w:val="dotted" w:sz="4" w:space="0" w:color="auto"/>
              <w:right w:val="single" w:sz="4" w:space="0" w:color="auto"/>
            </w:tcBorders>
            <w:shd w:val="clear" w:color="auto" w:fill="auto"/>
            <w:vAlign w:val="bottom"/>
            <w:hideMark/>
          </w:tcPr>
          <w:p>
            <w:pPr>
              <w:jc w:val="right"/>
              <w:rPr>
                <w:i/>
                <w:iCs/>
                <w:noProof/>
                <w:color w:val="000000"/>
                <w:sz w:val="16"/>
                <w:szCs w:val="16"/>
              </w:rPr>
            </w:pPr>
            <w:r>
              <w:rPr>
                <w:i/>
                <w:noProof/>
                <w:color w:val="000000"/>
                <w:sz w:val="16"/>
              </w:rPr>
              <w:t> </w:t>
            </w:r>
          </w:p>
        </w:tc>
        <w:tc>
          <w:tcPr>
            <w:tcW w:w="1134" w:type="dxa"/>
            <w:tcBorders>
              <w:top w:val="nil"/>
              <w:left w:val="nil"/>
              <w:bottom w:val="dotted" w:sz="4" w:space="0" w:color="auto"/>
              <w:right w:val="single" w:sz="4" w:space="0" w:color="auto"/>
            </w:tcBorders>
            <w:shd w:val="clear" w:color="auto" w:fill="auto"/>
            <w:vAlign w:val="bottom"/>
            <w:hideMark/>
          </w:tcPr>
          <w:p>
            <w:pPr>
              <w:jc w:val="right"/>
              <w:rPr>
                <w:i/>
                <w:iCs/>
                <w:noProof/>
                <w:color w:val="000000"/>
                <w:sz w:val="16"/>
                <w:szCs w:val="16"/>
              </w:rPr>
            </w:pPr>
            <w:r>
              <w:rPr>
                <w:i/>
                <w:noProof/>
                <w:color w:val="000000"/>
                <w:sz w:val="16"/>
              </w:rPr>
              <w:t> </w:t>
            </w:r>
          </w:p>
        </w:tc>
        <w:tc>
          <w:tcPr>
            <w:tcW w:w="1134" w:type="dxa"/>
            <w:tcBorders>
              <w:top w:val="nil"/>
              <w:left w:val="nil"/>
              <w:bottom w:val="dotted" w:sz="4" w:space="0" w:color="auto"/>
              <w:right w:val="single" w:sz="4" w:space="0" w:color="auto"/>
            </w:tcBorders>
            <w:shd w:val="clear" w:color="auto" w:fill="auto"/>
            <w:vAlign w:val="bottom"/>
            <w:hideMark/>
          </w:tcPr>
          <w:p>
            <w:pPr>
              <w:jc w:val="right"/>
              <w:rPr>
                <w:i/>
                <w:iCs/>
                <w:noProof/>
                <w:color w:val="000000"/>
                <w:sz w:val="16"/>
                <w:szCs w:val="16"/>
              </w:rPr>
            </w:pPr>
            <w:r>
              <w:rPr>
                <w:i/>
                <w:noProof/>
                <w:color w:val="000000"/>
                <w:sz w:val="16"/>
              </w:rPr>
              <w:t> </w:t>
            </w:r>
          </w:p>
        </w:tc>
        <w:tc>
          <w:tcPr>
            <w:tcW w:w="1418" w:type="dxa"/>
            <w:tcBorders>
              <w:top w:val="nil"/>
              <w:left w:val="nil"/>
              <w:bottom w:val="dotted" w:sz="4" w:space="0" w:color="auto"/>
              <w:right w:val="single" w:sz="4" w:space="0" w:color="auto"/>
            </w:tcBorders>
            <w:shd w:val="clear" w:color="auto" w:fill="auto"/>
            <w:vAlign w:val="bottom"/>
            <w:hideMark/>
          </w:tcPr>
          <w:p>
            <w:pPr>
              <w:jc w:val="right"/>
              <w:rPr>
                <w:i/>
                <w:iCs/>
                <w:noProof/>
                <w:color w:val="000000"/>
                <w:sz w:val="16"/>
                <w:szCs w:val="16"/>
              </w:rPr>
            </w:pPr>
            <w:r>
              <w:rPr>
                <w:i/>
                <w:noProof/>
                <w:color w:val="000000"/>
                <w:sz w:val="16"/>
              </w:rPr>
              <w:t>17 666 000 000</w:t>
            </w:r>
          </w:p>
        </w:tc>
        <w:tc>
          <w:tcPr>
            <w:tcW w:w="1417" w:type="dxa"/>
            <w:tcBorders>
              <w:top w:val="nil"/>
              <w:left w:val="nil"/>
              <w:bottom w:val="dotted" w:sz="4" w:space="0" w:color="auto"/>
              <w:right w:val="single" w:sz="4" w:space="0" w:color="auto"/>
            </w:tcBorders>
            <w:shd w:val="clear" w:color="auto" w:fill="auto"/>
            <w:vAlign w:val="bottom"/>
            <w:hideMark/>
          </w:tcPr>
          <w:p>
            <w:pPr>
              <w:jc w:val="right"/>
              <w:rPr>
                <w:i/>
                <w:iCs/>
                <w:noProof/>
                <w:color w:val="000000"/>
                <w:sz w:val="16"/>
                <w:szCs w:val="16"/>
              </w:rPr>
            </w:pPr>
            <w:r>
              <w:rPr>
                <w:i/>
                <w:noProof/>
                <w:color w:val="000000"/>
                <w:sz w:val="16"/>
              </w:rPr>
              <w:t> </w:t>
            </w:r>
          </w:p>
        </w:tc>
      </w:tr>
      <w:tr>
        <w:trPr>
          <w:trHeight w:val="270"/>
        </w:trPr>
        <w:tc>
          <w:tcPr>
            <w:tcW w:w="2992" w:type="dxa"/>
            <w:gridSpan w:val="2"/>
            <w:tcBorders>
              <w:top w:val="dotted" w:sz="4" w:space="0" w:color="auto"/>
              <w:left w:val="single" w:sz="4" w:space="0" w:color="auto"/>
              <w:bottom w:val="dotted" w:sz="4" w:space="0" w:color="auto"/>
              <w:right w:val="single" w:sz="4" w:space="0" w:color="000000"/>
            </w:tcBorders>
            <w:shd w:val="clear" w:color="auto" w:fill="auto"/>
            <w:vAlign w:val="bottom"/>
            <w:hideMark/>
          </w:tcPr>
          <w:p>
            <w:pPr>
              <w:jc w:val="right"/>
              <w:rPr>
                <w:i/>
                <w:iCs/>
                <w:noProof/>
                <w:color w:val="000000"/>
                <w:sz w:val="16"/>
                <w:szCs w:val="16"/>
              </w:rPr>
            </w:pPr>
            <w:r>
              <w:rPr>
                <w:i/>
                <w:noProof/>
                <w:color w:val="000000"/>
                <w:sz w:val="16"/>
              </w:rPr>
              <w:t>Marge</w:t>
            </w:r>
          </w:p>
        </w:tc>
        <w:tc>
          <w:tcPr>
            <w:tcW w:w="1366" w:type="dxa"/>
            <w:tcBorders>
              <w:top w:val="nil"/>
              <w:left w:val="nil"/>
              <w:bottom w:val="single" w:sz="4" w:space="0" w:color="auto"/>
              <w:right w:val="single" w:sz="4" w:space="0" w:color="auto"/>
            </w:tcBorders>
            <w:shd w:val="clear" w:color="auto" w:fill="auto"/>
            <w:vAlign w:val="bottom"/>
            <w:hideMark/>
          </w:tcPr>
          <w:p>
            <w:pPr>
              <w:jc w:val="right"/>
              <w:rPr>
                <w:i/>
                <w:iCs/>
                <w:noProof/>
                <w:color w:val="000000"/>
                <w:sz w:val="16"/>
                <w:szCs w:val="16"/>
              </w:rPr>
            </w:pPr>
            <w:r>
              <w:rPr>
                <w:i/>
                <w:noProof/>
                <w:color w:val="000000"/>
                <w:sz w:val="16"/>
              </w:rPr>
              <w:t xml:space="preserve"> 114 311 575</w:t>
            </w:r>
          </w:p>
        </w:tc>
        <w:tc>
          <w:tcPr>
            <w:tcW w:w="1327" w:type="dxa"/>
            <w:tcBorders>
              <w:top w:val="nil"/>
              <w:left w:val="nil"/>
              <w:bottom w:val="single" w:sz="4" w:space="0" w:color="auto"/>
              <w:right w:val="single" w:sz="4" w:space="0" w:color="auto"/>
            </w:tcBorders>
            <w:shd w:val="clear" w:color="auto" w:fill="auto"/>
            <w:vAlign w:val="bottom"/>
            <w:hideMark/>
          </w:tcPr>
          <w:p>
            <w:pPr>
              <w:jc w:val="right"/>
              <w:rPr>
                <w:i/>
                <w:iCs/>
                <w:noProof/>
                <w:color w:val="000000"/>
                <w:sz w:val="16"/>
                <w:szCs w:val="16"/>
              </w:rPr>
            </w:pPr>
            <w:r>
              <w:rPr>
                <w:i/>
                <w:noProof/>
                <w:color w:val="000000"/>
                <w:sz w:val="16"/>
              </w:rPr>
              <w:t> </w:t>
            </w:r>
          </w:p>
        </w:tc>
        <w:tc>
          <w:tcPr>
            <w:tcW w:w="1134" w:type="dxa"/>
            <w:tcBorders>
              <w:top w:val="nil"/>
              <w:left w:val="nil"/>
              <w:bottom w:val="single" w:sz="4" w:space="0" w:color="auto"/>
              <w:right w:val="single" w:sz="4" w:space="0" w:color="auto"/>
            </w:tcBorders>
            <w:shd w:val="clear" w:color="auto" w:fill="auto"/>
            <w:vAlign w:val="bottom"/>
            <w:hideMark/>
          </w:tcPr>
          <w:p>
            <w:pPr>
              <w:jc w:val="right"/>
              <w:rPr>
                <w:i/>
                <w:iCs/>
                <w:noProof/>
                <w:color w:val="000000"/>
                <w:sz w:val="16"/>
                <w:szCs w:val="16"/>
              </w:rPr>
            </w:pPr>
            <w:r>
              <w:rPr>
                <w:i/>
                <w:noProof/>
                <w:color w:val="000000"/>
                <w:sz w:val="16"/>
              </w:rPr>
              <w:t> </w:t>
            </w:r>
          </w:p>
        </w:tc>
        <w:tc>
          <w:tcPr>
            <w:tcW w:w="1134" w:type="dxa"/>
            <w:tcBorders>
              <w:top w:val="nil"/>
              <w:left w:val="nil"/>
              <w:bottom w:val="single" w:sz="4" w:space="0" w:color="auto"/>
              <w:right w:val="single" w:sz="4" w:space="0" w:color="auto"/>
            </w:tcBorders>
            <w:shd w:val="clear" w:color="auto" w:fill="auto"/>
            <w:vAlign w:val="bottom"/>
            <w:hideMark/>
          </w:tcPr>
          <w:p>
            <w:pPr>
              <w:jc w:val="right"/>
              <w:rPr>
                <w:i/>
                <w:iCs/>
                <w:noProof/>
                <w:color w:val="000000"/>
                <w:sz w:val="16"/>
                <w:szCs w:val="16"/>
              </w:rPr>
            </w:pPr>
            <w:r>
              <w:rPr>
                <w:i/>
                <w:noProof/>
                <w:color w:val="000000"/>
                <w:sz w:val="16"/>
              </w:rPr>
              <w:t> </w:t>
            </w:r>
          </w:p>
        </w:tc>
        <w:tc>
          <w:tcPr>
            <w:tcW w:w="1418" w:type="dxa"/>
            <w:tcBorders>
              <w:top w:val="nil"/>
              <w:left w:val="nil"/>
              <w:bottom w:val="single" w:sz="4" w:space="0" w:color="auto"/>
              <w:right w:val="single" w:sz="4" w:space="0" w:color="auto"/>
            </w:tcBorders>
            <w:shd w:val="clear" w:color="auto" w:fill="auto"/>
            <w:vAlign w:val="bottom"/>
            <w:hideMark/>
          </w:tcPr>
          <w:p>
            <w:pPr>
              <w:jc w:val="right"/>
              <w:rPr>
                <w:i/>
                <w:iCs/>
                <w:noProof/>
                <w:color w:val="000000"/>
                <w:sz w:val="16"/>
                <w:szCs w:val="16"/>
              </w:rPr>
            </w:pPr>
            <w:r>
              <w:rPr>
                <w:i/>
                <w:noProof/>
                <w:color w:val="000000"/>
                <w:sz w:val="16"/>
              </w:rPr>
              <w:t xml:space="preserve"> 114 311 575</w:t>
            </w:r>
          </w:p>
        </w:tc>
        <w:tc>
          <w:tcPr>
            <w:tcW w:w="1417" w:type="dxa"/>
            <w:tcBorders>
              <w:top w:val="nil"/>
              <w:left w:val="nil"/>
              <w:bottom w:val="single" w:sz="4" w:space="0" w:color="auto"/>
              <w:right w:val="single" w:sz="4" w:space="0" w:color="auto"/>
            </w:tcBorders>
            <w:shd w:val="clear" w:color="auto" w:fill="auto"/>
            <w:vAlign w:val="bottom"/>
            <w:hideMark/>
          </w:tcPr>
          <w:p>
            <w:pPr>
              <w:jc w:val="right"/>
              <w:rPr>
                <w:i/>
                <w:iCs/>
                <w:noProof/>
                <w:color w:val="000000"/>
                <w:sz w:val="16"/>
                <w:szCs w:val="16"/>
              </w:rPr>
            </w:pPr>
            <w:r>
              <w:rPr>
                <w:i/>
                <w:noProof/>
                <w:color w:val="000000"/>
                <w:sz w:val="16"/>
              </w:rPr>
              <w:t> </w:t>
            </w:r>
          </w:p>
        </w:tc>
      </w:tr>
      <w:tr>
        <w:trPr>
          <w:trHeight w:val="270"/>
        </w:trPr>
        <w:tc>
          <w:tcPr>
            <w:tcW w:w="376" w:type="dxa"/>
            <w:tcBorders>
              <w:top w:val="nil"/>
              <w:left w:val="single" w:sz="4" w:space="0" w:color="auto"/>
              <w:bottom w:val="dotted" w:sz="4" w:space="0" w:color="auto"/>
              <w:right w:val="nil"/>
            </w:tcBorders>
            <w:shd w:val="clear" w:color="auto" w:fill="auto"/>
            <w:vAlign w:val="bottom"/>
            <w:hideMark/>
          </w:tcPr>
          <w:p>
            <w:pPr>
              <w:rPr>
                <w:noProof/>
                <w:color w:val="000000"/>
                <w:sz w:val="16"/>
                <w:szCs w:val="16"/>
              </w:rPr>
            </w:pPr>
            <w:r>
              <w:rPr>
                <w:noProof/>
                <w:color w:val="000000"/>
                <w:sz w:val="16"/>
              </w:rPr>
              <w:t xml:space="preserve">1b </w:t>
            </w:r>
          </w:p>
        </w:tc>
        <w:tc>
          <w:tcPr>
            <w:tcW w:w="2616" w:type="dxa"/>
            <w:tcBorders>
              <w:top w:val="nil"/>
              <w:left w:val="nil"/>
              <w:bottom w:val="dotted" w:sz="4" w:space="0" w:color="auto"/>
              <w:right w:val="single" w:sz="4" w:space="0" w:color="auto"/>
            </w:tcBorders>
            <w:shd w:val="clear" w:color="auto" w:fill="auto"/>
            <w:vAlign w:val="bottom"/>
            <w:hideMark/>
          </w:tcPr>
          <w:p>
            <w:pPr>
              <w:rPr>
                <w:noProof/>
                <w:color w:val="000000"/>
                <w:sz w:val="16"/>
                <w:szCs w:val="16"/>
              </w:rPr>
            </w:pPr>
            <w:r>
              <w:rPr>
                <w:noProof/>
                <w:color w:val="000000"/>
                <w:sz w:val="16"/>
              </w:rPr>
              <w:t>Cohésion économique, sociale et territoriale</w:t>
            </w:r>
          </w:p>
        </w:tc>
        <w:tc>
          <w:tcPr>
            <w:tcW w:w="1366" w:type="dxa"/>
            <w:tcBorders>
              <w:top w:val="nil"/>
              <w:left w:val="nil"/>
              <w:bottom w:val="dotted" w:sz="4" w:space="0" w:color="auto"/>
              <w:right w:val="single" w:sz="4" w:space="0" w:color="auto"/>
            </w:tcBorders>
            <w:shd w:val="clear" w:color="auto" w:fill="auto"/>
            <w:vAlign w:val="bottom"/>
            <w:hideMark/>
          </w:tcPr>
          <w:p>
            <w:pPr>
              <w:jc w:val="right"/>
              <w:rPr>
                <w:noProof/>
                <w:color w:val="000000"/>
                <w:sz w:val="16"/>
                <w:szCs w:val="16"/>
              </w:rPr>
            </w:pPr>
            <w:r>
              <w:rPr>
                <w:noProof/>
                <w:color w:val="000000"/>
                <w:sz w:val="16"/>
              </w:rPr>
              <w:t>60 402 991 259</w:t>
            </w:r>
          </w:p>
        </w:tc>
        <w:tc>
          <w:tcPr>
            <w:tcW w:w="1327" w:type="dxa"/>
            <w:tcBorders>
              <w:top w:val="nil"/>
              <w:left w:val="nil"/>
              <w:bottom w:val="dotted" w:sz="4" w:space="0" w:color="auto"/>
              <w:right w:val="single" w:sz="4" w:space="0" w:color="auto"/>
            </w:tcBorders>
            <w:shd w:val="clear" w:color="auto" w:fill="auto"/>
            <w:vAlign w:val="bottom"/>
            <w:hideMark/>
          </w:tcPr>
          <w:p>
            <w:pPr>
              <w:jc w:val="right"/>
              <w:rPr>
                <w:noProof/>
                <w:color w:val="000000"/>
                <w:sz w:val="16"/>
                <w:szCs w:val="16"/>
              </w:rPr>
            </w:pPr>
            <w:r>
              <w:rPr>
                <w:noProof/>
                <w:color w:val="000000"/>
                <w:sz w:val="16"/>
              </w:rPr>
              <w:t>51 124 730 016</w:t>
            </w:r>
          </w:p>
        </w:tc>
        <w:tc>
          <w:tcPr>
            <w:tcW w:w="1134" w:type="dxa"/>
            <w:tcBorders>
              <w:top w:val="nil"/>
              <w:left w:val="nil"/>
              <w:bottom w:val="dotted" w:sz="4" w:space="0" w:color="auto"/>
              <w:right w:val="single" w:sz="4" w:space="0" w:color="auto"/>
            </w:tcBorders>
            <w:shd w:val="clear" w:color="auto" w:fill="auto"/>
            <w:vAlign w:val="bottom"/>
            <w:hideMark/>
          </w:tcPr>
          <w:p>
            <w:pPr>
              <w:jc w:val="right"/>
              <w:rPr>
                <w:noProof/>
                <w:color w:val="000000"/>
                <w:sz w:val="16"/>
                <w:szCs w:val="16"/>
              </w:rPr>
            </w:pPr>
            <w:r>
              <w:rPr>
                <w:noProof/>
                <w:color w:val="000000"/>
                <w:sz w:val="16"/>
              </w:rPr>
              <w:t> </w:t>
            </w:r>
          </w:p>
        </w:tc>
        <w:tc>
          <w:tcPr>
            <w:tcW w:w="1134" w:type="dxa"/>
            <w:tcBorders>
              <w:top w:val="nil"/>
              <w:left w:val="nil"/>
              <w:bottom w:val="dotted" w:sz="4" w:space="0" w:color="auto"/>
              <w:right w:val="single" w:sz="4" w:space="0" w:color="auto"/>
            </w:tcBorders>
            <w:shd w:val="clear" w:color="auto" w:fill="auto"/>
            <w:vAlign w:val="bottom"/>
            <w:hideMark/>
          </w:tcPr>
          <w:p>
            <w:pPr>
              <w:jc w:val="right"/>
              <w:rPr>
                <w:noProof/>
                <w:color w:val="000000"/>
                <w:sz w:val="16"/>
                <w:szCs w:val="16"/>
              </w:rPr>
            </w:pPr>
            <w:r>
              <w:rPr>
                <w:noProof/>
                <w:color w:val="000000"/>
                <w:sz w:val="16"/>
              </w:rPr>
              <w:t> </w:t>
            </w:r>
          </w:p>
        </w:tc>
        <w:tc>
          <w:tcPr>
            <w:tcW w:w="1418" w:type="dxa"/>
            <w:tcBorders>
              <w:top w:val="nil"/>
              <w:left w:val="nil"/>
              <w:bottom w:val="dotted" w:sz="4" w:space="0" w:color="auto"/>
              <w:right w:val="single" w:sz="4" w:space="0" w:color="auto"/>
            </w:tcBorders>
            <w:shd w:val="clear" w:color="auto" w:fill="auto"/>
            <w:vAlign w:val="bottom"/>
            <w:hideMark/>
          </w:tcPr>
          <w:p>
            <w:pPr>
              <w:jc w:val="right"/>
              <w:rPr>
                <w:noProof/>
                <w:color w:val="000000"/>
                <w:sz w:val="16"/>
                <w:szCs w:val="16"/>
              </w:rPr>
            </w:pPr>
            <w:r>
              <w:rPr>
                <w:noProof/>
                <w:color w:val="000000"/>
                <w:sz w:val="16"/>
              </w:rPr>
              <w:t>60 402 991 259</w:t>
            </w:r>
          </w:p>
        </w:tc>
        <w:tc>
          <w:tcPr>
            <w:tcW w:w="1417" w:type="dxa"/>
            <w:tcBorders>
              <w:top w:val="nil"/>
              <w:left w:val="nil"/>
              <w:bottom w:val="dotted" w:sz="4" w:space="0" w:color="auto"/>
              <w:right w:val="single" w:sz="4" w:space="0" w:color="auto"/>
            </w:tcBorders>
            <w:shd w:val="clear" w:color="auto" w:fill="auto"/>
            <w:vAlign w:val="bottom"/>
            <w:hideMark/>
          </w:tcPr>
          <w:p>
            <w:pPr>
              <w:jc w:val="right"/>
              <w:rPr>
                <w:noProof/>
                <w:color w:val="000000"/>
                <w:sz w:val="16"/>
                <w:szCs w:val="16"/>
              </w:rPr>
            </w:pPr>
            <w:r>
              <w:rPr>
                <w:noProof/>
                <w:color w:val="000000"/>
                <w:sz w:val="16"/>
              </w:rPr>
              <w:t>51 124 730 016</w:t>
            </w:r>
          </w:p>
        </w:tc>
      </w:tr>
      <w:tr>
        <w:trPr>
          <w:trHeight w:val="270"/>
        </w:trPr>
        <w:tc>
          <w:tcPr>
            <w:tcW w:w="2992" w:type="dxa"/>
            <w:gridSpan w:val="2"/>
            <w:tcBorders>
              <w:top w:val="dotted" w:sz="4" w:space="0" w:color="auto"/>
              <w:left w:val="single" w:sz="4" w:space="0" w:color="auto"/>
              <w:bottom w:val="dotted" w:sz="4" w:space="0" w:color="auto"/>
              <w:right w:val="single" w:sz="4" w:space="0" w:color="000000"/>
            </w:tcBorders>
            <w:shd w:val="clear" w:color="auto" w:fill="auto"/>
            <w:vAlign w:val="bottom"/>
            <w:hideMark/>
          </w:tcPr>
          <w:p>
            <w:pPr>
              <w:jc w:val="right"/>
              <w:rPr>
                <w:i/>
                <w:iCs/>
                <w:noProof/>
                <w:color w:val="000000"/>
                <w:sz w:val="16"/>
                <w:szCs w:val="16"/>
              </w:rPr>
            </w:pPr>
            <w:r>
              <w:rPr>
                <w:i/>
                <w:noProof/>
                <w:color w:val="000000"/>
                <w:sz w:val="16"/>
              </w:rPr>
              <w:t>dont part relevant de l'instrument de flexibilité</w:t>
            </w:r>
          </w:p>
        </w:tc>
        <w:tc>
          <w:tcPr>
            <w:tcW w:w="1366" w:type="dxa"/>
            <w:tcBorders>
              <w:top w:val="nil"/>
              <w:left w:val="nil"/>
              <w:bottom w:val="dotted" w:sz="4" w:space="0" w:color="auto"/>
              <w:right w:val="single" w:sz="4" w:space="0" w:color="auto"/>
            </w:tcBorders>
            <w:shd w:val="clear" w:color="auto" w:fill="auto"/>
            <w:vAlign w:val="bottom"/>
            <w:hideMark/>
          </w:tcPr>
          <w:p>
            <w:pPr>
              <w:jc w:val="right"/>
              <w:rPr>
                <w:i/>
                <w:iCs/>
                <w:noProof/>
                <w:color w:val="000000"/>
                <w:sz w:val="16"/>
                <w:szCs w:val="16"/>
              </w:rPr>
            </w:pPr>
            <w:r>
              <w:rPr>
                <w:i/>
                <w:noProof/>
                <w:color w:val="000000"/>
                <w:sz w:val="16"/>
              </w:rPr>
              <w:t xml:space="preserve"> 83 285 595</w:t>
            </w:r>
          </w:p>
        </w:tc>
        <w:tc>
          <w:tcPr>
            <w:tcW w:w="1327" w:type="dxa"/>
            <w:tcBorders>
              <w:top w:val="nil"/>
              <w:left w:val="nil"/>
              <w:bottom w:val="dotted" w:sz="4" w:space="0" w:color="auto"/>
              <w:right w:val="single" w:sz="4" w:space="0" w:color="auto"/>
            </w:tcBorders>
            <w:shd w:val="clear" w:color="auto" w:fill="auto"/>
            <w:vAlign w:val="bottom"/>
            <w:hideMark/>
          </w:tcPr>
          <w:p>
            <w:pPr>
              <w:jc w:val="right"/>
              <w:rPr>
                <w:i/>
                <w:iCs/>
                <w:noProof/>
                <w:color w:val="000000"/>
                <w:sz w:val="16"/>
                <w:szCs w:val="16"/>
              </w:rPr>
            </w:pPr>
            <w:r>
              <w:rPr>
                <w:i/>
                <w:noProof/>
                <w:color w:val="000000"/>
                <w:sz w:val="16"/>
              </w:rPr>
              <w:t> </w:t>
            </w:r>
          </w:p>
        </w:tc>
        <w:tc>
          <w:tcPr>
            <w:tcW w:w="1134" w:type="dxa"/>
            <w:tcBorders>
              <w:top w:val="nil"/>
              <w:left w:val="nil"/>
              <w:bottom w:val="dotted" w:sz="4" w:space="0" w:color="auto"/>
              <w:right w:val="single" w:sz="4" w:space="0" w:color="auto"/>
            </w:tcBorders>
            <w:shd w:val="clear" w:color="auto" w:fill="auto"/>
            <w:vAlign w:val="bottom"/>
            <w:hideMark/>
          </w:tcPr>
          <w:p>
            <w:pPr>
              <w:jc w:val="right"/>
              <w:rPr>
                <w:i/>
                <w:iCs/>
                <w:noProof/>
                <w:color w:val="000000"/>
                <w:sz w:val="16"/>
                <w:szCs w:val="16"/>
              </w:rPr>
            </w:pPr>
            <w:r>
              <w:rPr>
                <w:i/>
                <w:noProof/>
                <w:color w:val="000000"/>
                <w:sz w:val="16"/>
              </w:rPr>
              <w:t> </w:t>
            </w:r>
          </w:p>
        </w:tc>
        <w:tc>
          <w:tcPr>
            <w:tcW w:w="1134" w:type="dxa"/>
            <w:tcBorders>
              <w:top w:val="nil"/>
              <w:left w:val="nil"/>
              <w:bottom w:val="dotted" w:sz="4" w:space="0" w:color="auto"/>
              <w:right w:val="single" w:sz="4" w:space="0" w:color="auto"/>
            </w:tcBorders>
            <w:shd w:val="clear" w:color="auto" w:fill="auto"/>
            <w:vAlign w:val="bottom"/>
            <w:hideMark/>
          </w:tcPr>
          <w:p>
            <w:pPr>
              <w:jc w:val="right"/>
              <w:rPr>
                <w:i/>
                <w:iCs/>
                <w:noProof/>
                <w:color w:val="000000"/>
                <w:sz w:val="16"/>
                <w:szCs w:val="16"/>
              </w:rPr>
            </w:pPr>
            <w:r>
              <w:rPr>
                <w:i/>
                <w:noProof/>
                <w:color w:val="000000"/>
                <w:sz w:val="16"/>
              </w:rPr>
              <w:t> </w:t>
            </w:r>
          </w:p>
        </w:tc>
        <w:tc>
          <w:tcPr>
            <w:tcW w:w="1418" w:type="dxa"/>
            <w:tcBorders>
              <w:top w:val="nil"/>
              <w:left w:val="nil"/>
              <w:bottom w:val="dotted" w:sz="4" w:space="0" w:color="auto"/>
              <w:right w:val="single" w:sz="4" w:space="0" w:color="auto"/>
            </w:tcBorders>
            <w:shd w:val="clear" w:color="auto" w:fill="auto"/>
            <w:vAlign w:val="bottom"/>
            <w:hideMark/>
          </w:tcPr>
          <w:p>
            <w:pPr>
              <w:jc w:val="right"/>
              <w:rPr>
                <w:i/>
                <w:iCs/>
                <w:noProof/>
                <w:color w:val="000000"/>
                <w:sz w:val="16"/>
                <w:szCs w:val="16"/>
              </w:rPr>
            </w:pPr>
            <w:r>
              <w:rPr>
                <w:i/>
                <w:noProof/>
                <w:color w:val="000000"/>
                <w:sz w:val="16"/>
              </w:rPr>
              <w:t xml:space="preserve"> 83 285 595</w:t>
            </w:r>
          </w:p>
        </w:tc>
        <w:tc>
          <w:tcPr>
            <w:tcW w:w="1417" w:type="dxa"/>
            <w:tcBorders>
              <w:top w:val="nil"/>
              <w:left w:val="nil"/>
              <w:bottom w:val="dotted" w:sz="4" w:space="0" w:color="auto"/>
              <w:right w:val="single" w:sz="4" w:space="0" w:color="auto"/>
            </w:tcBorders>
            <w:shd w:val="clear" w:color="auto" w:fill="auto"/>
            <w:vAlign w:val="bottom"/>
            <w:hideMark/>
          </w:tcPr>
          <w:p>
            <w:pPr>
              <w:jc w:val="right"/>
              <w:rPr>
                <w:i/>
                <w:iCs/>
                <w:noProof/>
                <w:color w:val="000000"/>
                <w:sz w:val="16"/>
                <w:szCs w:val="16"/>
              </w:rPr>
            </w:pPr>
            <w:r>
              <w:rPr>
                <w:i/>
                <w:noProof/>
                <w:color w:val="000000"/>
                <w:sz w:val="16"/>
              </w:rPr>
              <w:t> </w:t>
            </w:r>
          </w:p>
        </w:tc>
      </w:tr>
      <w:tr>
        <w:trPr>
          <w:trHeight w:val="270"/>
        </w:trPr>
        <w:tc>
          <w:tcPr>
            <w:tcW w:w="2992" w:type="dxa"/>
            <w:gridSpan w:val="2"/>
            <w:tcBorders>
              <w:top w:val="dotted" w:sz="4" w:space="0" w:color="auto"/>
              <w:left w:val="single" w:sz="4" w:space="0" w:color="auto"/>
              <w:bottom w:val="dotted" w:sz="4" w:space="0" w:color="auto"/>
              <w:right w:val="single" w:sz="4" w:space="0" w:color="000000"/>
            </w:tcBorders>
            <w:shd w:val="clear" w:color="auto" w:fill="auto"/>
            <w:vAlign w:val="bottom"/>
            <w:hideMark/>
          </w:tcPr>
          <w:p>
            <w:pPr>
              <w:jc w:val="right"/>
              <w:rPr>
                <w:i/>
                <w:iCs/>
                <w:noProof/>
                <w:color w:val="000000"/>
                <w:sz w:val="16"/>
                <w:szCs w:val="16"/>
              </w:rPr>
            </w:pPr>
            <w:r>
              <w:rPr>
                <w:i/>
                <w:noProof/>
                <w:color w:val="000000"/>
                <w:sz w:val="16"/>
              </w:rPr>
              <w:t>Plafond</w:t>
            </w:r>
          </w:p>
        </w:tc>
        <w:tc>
          <w:tcPr>
            <w:tcW w:w="1366" w:type="dxa"/>
            <w:tcBorders>
              <w:top w:val="nil"/>
              <w:left w:val="nil"/>
              <w:bottom w:val="dotted" w:sz="4" w:space="0" w:color="auto"/>
              <w:right w:val="single" w:sz="4" w:space="0" w:color="auto"/>
            </w:tcBorders>
            <w:shd w:val="clear" w:color="auto" w:fill="auto"/>
            <w:vAlign w:val="bottom"/>
            <w:hideMark/>
          </w:tcPr>
          <w:p>
            <w:pPr>
              <w:jc w:val="right"/>
              <w:rPr>
                <w:i/>
                <w:iCs/>
                <w:noProof/>
                <w:color w:val="000000"/>
                <w:sz w:val="16"/>
                <w:szCs w:val="16"/>
              </w:rPr>
            </w:pPr>
            <w:r>
              <w:rPr>
                <w:i/>
                <w:noProof/>
                <w:color w:val="000000"/>
                <w:sz w:val="16"/>
              </w:rPr>
              <w:t>60 320 000 000</w:t>
            </w:r>
          </w:p>
        </w:tc>
        <w:tc>
          <w:tcPr>
            <w:tcW w:w="1327" w:type="dxa"/>
            <w:tcBorders>
              <w:top w:val="nil"/>
              <w:left w:val="nil"/>
              <w:bottom w:val="dotted" w:sz="4" w:space="0" w:color="auto"/>
              <w:right w:val="single" w:sz="4" w:space="0" w:color="auto"/>
            </w:tcBorders>
            <w:shd w:val="clear" w:color="auto" w:fill="auto"/>
            <w:vAlign w:val="bottom"/>
            <w:hideMark/>
          </w:tcPr>
          <w:p>
            <w:pPr>
              <w:jc w:val="right"/>
              <w:rPr>
                <w:i/>
                <w:iCs/>
                <w:noProof/>
                <w:color w:val="000000"/>
                <w:sz w:val="16"/>
                <w:szCs w:val="16"/>
              </w:rPr>
            </w:pPr>
            <w:r>
              <w:rPr>
                <w:i/>
                <w:noProof/>
                <w:color w:val="000000"/>
                <w:sz w:val="16"/>
              </w:rPr>
              <w:t> </w:t>
            </w:r>
          </w:p>
        </w:tc>
        <w:tc>
          <w:tcPr>
            <w:tcW w:w="1134" w:type="dxa"/>
            <w:tcBorders>
              <w:top w:val="nil"/>
              <w:left w:val="nil"/>
              <w:bottom w:val="dotted" w:sz="4" w:space="0" w:color="auto"/>
              <w:right w:val="single" w:sz="4" w:space="0" w:color="auto"/>
            </w:tcBorders>
            <w:shd w:val="clear" w:color="auto" w:fill="auto"/>
            <w:vAlign w:val="bottom"/>
            <w:hideMark/>
          </w:tcPr>
          <w:p>
            <w:pPr>
              <w:jc w:val="right"/>
              <w:rPr>
                <w:i/>
                <w:iCs/>
                <w:noProof/>
                <w:color w:val="000000"/>
                <w:sz w:val="16"/>
                <w:szCs w:val="16"/>
              </w:rPr>
            </w:pPr>
            <w:r>
              <w:rPr>
                <w:i/>
                <w:noProof/>
                <w:color w:val="000000"/>
                <w:sz w:val="16"/>
              </w:rPr>
              <w:t> </w:t>
            </w:r>
          </w:p>
        </w:tc>
        <w:tc>
          <w:tcPr>
            <w:tcW w:w="1134" w:type="dxa"/>
            <w:tcBorders>
              <w:top w:val="nil"/>
              <w:left w:val="nil"/>
              <w:bottom w:val="dotted" w:sz="4" w:space="0" w:color="auto"/>
              <w:right w:val="single" w:sz="4" w:space="0" w:color="auto"/>
            </w:tcBorders>
            <w:shd w:val="clear" w:color="auto" w:fill="auto"/>
            <w:vAlign w:val="bottom"/>
            <w:hideMark/>
          </w:tcPr>
          <w:p>
            <w:pPr>
              <w:jc w:val="right"/>
              <w:rPr>
                <w:i/>
                <w:iCs/>
                <w:noProof/>
                <w:color w:val="000000"/>
                <w:sz w:val="16"/>
                <w:szCs w:val="16"/>
              </w:rPr>
            </w:pPr>
            <w:r>
              <w:rPr>
                <w:i/>
                <w:noProof/>
                <w:color w:val="000000"/>
                <w:sz w:val="16"/>
              </w:rPr>
              <w:t> </w:t>
            </w:r>
          </w:p>
        </w:tc>
        <w:tc>
          <w:tcPr>
            <w:tcW w:w="1418" w:type="dxa"/>
            <w:tcBorders>
              <w:top w:val="nil"/>
              <w:left w:val="nil"/>
              <w:bottom w:val="dotted" w:sz="4" w:space="0" w:color="auto"/>
              <w:right w:val="single" w:sz="4" w:space="0" w:color="auto"/>
            </w:tcBorders>
            <w:shd w:val="clear" w:color="auto" w:fill="auto"/>
            <w:vAlign w:val="bottom"/>
            <w:hideMark/>
          </w:tcPr>
          <w:p>
            <w:pPr>
              <w:jc w:val="right"/>
              <w:rPr>
                <w:i/>
                <w:iCs/>
                <w:noProof/>
                <w:color w:val="000000"/>
                <w:sz w:val="16"/>
                <w:szCs w:val="16"/>
              </w:rPr>
            </w:pPr>
            <w:r>
              <w:rPr>
                <w:i/>
                <w:noProof/>
                <w:color w:val="000000"/>
                <w:sz w:val="16"/>
              </w:rPr>
              <w:t>60 320 000 000</w:t>
            </w:r>
          </w:p>
        </w:tc>
        <w:tc>
          <w:tcPr>
            <w:tcW w:w="1417" w:type="dxa"/>
            <w:tcBorders>
              <w:top w:val="nil"/>
              <w:left w:val="nil"/>
              <w:bottom w:val="dotted" w:sz="4" w:space="0" w:color="auto"/>
              <w:right w:val="single" w:sz="4" w:space="0" w:color="auto"/>
            </w:tcBorders>
            <w:shd w:val="clear" w:color="auto" w:fill="auto"/>
            <w:vAlign w:val="bottom"/>
            <w:hideMark/>
          </w:tcPr>
          <w:p>
            <w:pPr>
              <w:jc w:val="right"/>
              <w:rPr>
                <w:i/>
                <w:iCs/>
                <w:noProof/>
                <w:color w:val="000000"/>
                <w:sz w:val="16"/>
                <w:szCs w:val="16"/>
              </w:rPr>
            </w:pPr>
            <w:r>
              <w:rPr>
                <w:i/>
                <w:noProof/>
                <w:color w:val="000000"/>
                <w:sz w:val="16"/>
              </w:rPr>
              <w:t> </w:t>
            </w:r>
          </w:p>
        </w:tc>
      </w:tr>
      <w:tr>
        <w:trPr>
          <w:trHeight w:val="270"/>
        </w:trPr>
        <w:tc>
          <w:tcPr>
            <w:tcW w:w="2992" w:type="dxa"/>
            <w:gridSpan w:val="2"/>
            <w:tcBorders>
              <w:top w:val="dotted" w:sz="4" w:space="0" w:color="auto"/>
              <w:left w:val="single" w:sz="4" w:space="0" w:color="auto"/>
              <w:bottom w:val="dotted" w:sz="4" w:space="0" w:color="auto"/>
              <w:right w:val="single" w:sz="4" w:space="0" w:color="000000"/>
            </w:tcBorders>
            <w:shd w:val="clear" w:color="auto" w:fill="auto"/>
            <w:vAlign w:val="bottom"/>
            <w:hideMark/>
          </w:tcPr>
          <w:p>
            <w:pPr>
              <w:jc w:val="right"/>
              <w:rPr>
                <w:i/>
                <w:iCs/>
                <w:noProof/>
                <w:color w:val="000000"/>
                <w:sz w:val="16"/>
                <w:szCs w:val="16"/>
              </w:rPr>
            </w:pPr>
            <w:r>
              <w:rPr>
                <w:i/>
                <w:noProof/>
                <w:color w:val="000000"/>
                <w:sz w:val="16"/>
              </w:rPr>
              <w:t>Marge</w:t>
            </w:r>
          </w:p>
        </w:tc>
        <w:tc>
          <w:tcPr>
            <w:tcW w:w="1366" w:type="dxa"/>
            <w:tcBorders>
              <w:top w:val="nil"/>
              <w:left w:val="nil"/>
              <w:bottom w:val="single" w:sz="4" w:space="0" w:color="auto"/>
              <w:right w:val="single" w:sz="4" w:space="0" w:color="auto"/>
            </w:tcBorders>
            <w:shd w:val="clear" w:color="auto" w:fill="auto"/>
            <w:vAlign w:val="bottom"/>
            <w:hideMark/>
          </w:tcPr>
          <w:p>
            <w:pPr>
              <w:jc w:val="right"/>
              <w:rPr>
                <w:i/>
                <w:iCs/>
                <w:noProof/>
                <w:color w:val="000000"/>
                <w:sz w:val="16"/>
                <w:szCs w:val="16"/>
              </w:rPr>
            </w:pPr>
            <w:r>
              <w:rPr>
                <w:i/>
                <w:noProof/>
                <w:color w:val="000000"/>
                <w:sz w:val="16"/>
              </w:rPr>
              <w:t xml:space="preserve">  294 336</w:t>
            </w:r>
          </w:p>
        </w:tc>
        <w:tc>
          <w:tcPr>
            <w:tcW w:w="1327" w:type="dxa"/>
            <w:tcBorders>
              <w:top w:val="nil"/>
              <w:left w:val="nil"/>
              <w:bottom w:val="single" w:sz="4" w:space="0" w:color="auto"/>
              <w:right w:val="single" w:sz="4" w:space="0" w:color="auto"/>
            </w:tcBorders>
            <w:shd w:val="clear" w:color="auto" w:fill="auto"/>
            <w:vAlign w:val="bottom"/>
            <w:hideMark/>
          </w:tcPr>
          <w:p>
            <w:pPr>
              <w:jc w:val="right"/>
              <w:rPr>
                <w:i/>
                <w:iCs/>
                <w:noProof/>
                <w:color w:val="000000"/>
                <w:sz w:val="16"/>
                <w:szCs w:val="16"/>
              </w:rPr>
            </w:pPr>
            <w:r>
              <w:rPr>
                <w:i/>
                <w:noProof/>
                <w:color w:val="000000"/>
                <w:sz w:val="16"/>
              </w:rPr>
              <w:t> </w:t>
            </w:r>
          </w:p>
        </w:tc>
        <w:tc>
          <w:tcPr>
            <w:tcW w:w="1134" w:type="dxa"/>
            <w:tcBorders>
              <w:top w:val="nil"/>
              <w:left w:val="nil"/>
              <w:bottom w:val="single" w:sz="4" w:space="0" w:color="auto"/>
              <w:right w:val="single" w:sz="4" w:space="0" w:color="auto"/>
            </w:tcBorders>
            <w:shd w:val="clear" w:color="auto" w:fill="auto"/>
            <w:vAlign w:val="bottom"/>
            <w:hideMark/>
          </w:tcPr>
          <w:p>
            <w:pPr>
              <w:jc w:val="right"/>
              <w:rPr>
                <w:i/>
                <w:iCs/>
                <w:noProof/>
                <w:color w:val="000000"/>
                <w:sz w:val="16"/>
                <w:szCs w:val="16"/>
              </w:rPr>
            </w:pPr>
            <w:r>
              <w:rPr>
                <w:i/>
                <w:noProof/>
                <w:color w:val="000000"/>
                <w:sz w:val="16"/>
              </w:rPr>
              <w:t> </w:t>
            </w:r>
          </w:p>
        </w:tc>
        <w:tc>
          <w:tcPr>
            <w:tcW w:w="1134" w:type="dxa"/>
            <w:tcBorders>
              <w:top w:val="nil"/>
              <w:left w:val="nil"/>
              <w:bottom w:val="single" w:sz="4" w:space="0" w:color="auto"/>
              <w:right w:val="single" w:sz="4" w:space="0" w:color="auto"/>
            </w:tcBorders>
            <w:shd w:val="clear" w:color="auto" w:fill="auto"/>
            <w:vAlign w:val="bottom"/>
            <w:hideMark/>
          </w:tcPr>
          <w:p>
            <w:pPr>
              <w:jc w:val="right"/>
              <w:rPr>
                <w:i/>
                <w:iCs/>
                <w:noProof/>
                <w:color w:val="000000"/>
                <w:sz w:val="16"/>
                <w:szCs w:val="16"/>
              </w:rPr>
            </w:pPr>
            <w:r>
              <w:rPr>
                <w:i/>
                <w:noProof/>
                <w:color w:val="000000"/>
                <w:sz w:val="16"/>
              </w:rPr>
              <w:t> </w:t>
            </w:r>
          </w:p>
        </w:tc>
        <w:tc>
          <w:tcPr>
            <w:tcW w:w="1418" w:type="dxa"/>
            <w:tcBorders>
              <w:top w:val="nil"/>
              <w:left w:val="nil"/>
              <w:bottom w:val="single" w:sz="4" w:space="0" w:color="auto"/>
              <w:right w:val="single" w:sz="4" w:space="0" w:color="auto"/>
            </w:tcBorders>
            <w:shd w:val="clear" w:color="auto" w:fill="auto"/>
            <w:vAlign w:val="bottom"/>
            <w:hideMark/>
          </w:tcPr>
          <w:p>
            <w:pPr>
              <w:jc w:val="right"/>
              <w:rPr>
                <w:i/>
                <w:iCs/>
                <w:noProof/>
                <w:color w:val="000000"/>
                <w:sz w:val="16"/>
                <w:szCs w:val="16"/>
              </w:rPr>
            </w:pPr>
            <w:r>
              <w:rPr>
                <w:i/>
                <w:noProof/>
                <w:color w:val="000000"/>
                <w:sz w:val="16"/>
              </w:rPr>
              <w:t xml:space="preserve">  294 336</w:t>
            </w:r>
          </w:p>
        </w:tc>
        <w:tc>
          <w:tcPr>
            <w:tcW w:w="1417" w:type="dxa"/>
            <w:tcBorders>
              <w:top w:val="nil"/>
              <w:left w:val="nil"/>
              <w:bottom w:val="single" w:sz="4" w:space="0" w:color="auto"/>
              <w:right w:val="single" w:sz="4" w:space="0" w:color="auto"/>
            </w:tcBorders>
            <w:shd w:val="clear" w:color="auto" w:fill="auto"/>
            <w:vAlign w:val="bottom"/>
            <w:hideMark/>
          </w:tcPr>
          <w:p>
            <w:pPr>
              <w:jc w:val="right"/>
              <w:rPr>
                <w:i/>
                <w:iCs/>
                <w:noProof/>
                <w:color w:val="000000"/>
                <w:sz w:val="16"/>
                <w:szCs w:val="16"/>
              </w:rPr>
            </w:pPr>
            <w:r>
              <w:rPr>
                <w:i/>
                <w:noProof/>
                <w:color w:val="000000"/>
                <w:sz w:val="16"/>
              </w:rPr>
              <w:t> </w:t>
            </w:r>
          </w:p>
        </w:tc>
      </w:tr>
      <w:tr>
        <w:trPr>
          <w:trHeight w:val="270"/>
        </w:trPr>
        <w:tc>
          <w:tcPr>
            <w:tcW w:w="376" w:type="dxa"/>
            <w:tcBorders>
              <w:top w:val="nil"/>
              <w:left w:val="single" w:sz="4" w:space="0" w:color="auto"/>
              <w:bottom w:val="dotted" w:sz="4" w:space="0" w:color="auto"/>
              <w:right w:val="nil"/>
            </w:tcBorders>
            <w:shd w:val="clear" w:color="auto" w:fill="auto"/>
            <w:vAlign w:val="bottom"/>
            <w:hideMark/>
          </w:tcPr>
          <w:p>
            <w:pPr>
              <w:rPr>
                <w:b/>
                <w:bCs/>
                <w:noProof/>
                <w:color w:val="000000"/>
                <w:sz w:val="16"/>
                <w:szCs w:val="16"/>
              </w:rPr>
            </w:pPr>
            <w:r>
              <w:rPr>
                <w:b/>
                <w:noProof/>
                <w:color w:val="000000"/>
                <w:sz w:val="16"/>
              </w:rPr>
              <w:t>2.</w:t>
            </w:r>
          </w:p>
        </w:tc>
        <w:tc>
          <w:tcPr>
            <w:tcW w:w="2616" w:type="dxa"/>
            <w:tcBorders>
              <w:top w:val="nil"/>
              <w:left w:val="nil"/>
              <w:bottom w:val="dotted" w:sz="4" w:space="0" w:color="auto"/>
              <w:right w:val="single" w:sz="4" w:space="0" w:color="auto"/>
            </w:tcBorders>
            <w:shd w:val="clear" w:color="auto" w:fill="auto"/>
            <w:vAlign w:val="bottom"/>
            <w:hideMark/>
          </w:tcPr>
          <w:p>
            <w:pPr>
              <w:rPr>
                <w:b/>
                <w:bCs/>
                <w:noProof/>
                <w:color w:val="000000"/>
                <w:sz w:val="16"/>
                <w:szCs w:val="16"/>
              </w:rPr>
            </w:pPr>
            <w:r>
              <w:rPr>
                <w:b/>
                <w:noProof/>
                <w:color w:val="000000"/>
                <w:sz w:val="16"/>
              </w:rPr>
              <w:t>Croissance durable: ressources naturelles</w:t>
            </w:r>
          </w:p>
        </w:tc>
        <w:tc>
          <w:tcPr>
            <w:tcW w:w="1366" w:type="dxa"/>
            <w:tcBorders>
              <w:top w:val="nil"/>
              <w:left w:val="nil"/>
              <w:bottom w:val="dotted" w:sz="4" w:space="0" w:color="auto"/>
              <w:right w:val="single" w:sz="4" w:space="0" w:color="auto"/>
            </w:tcBorders>
            <w:shd w:val="clear" w:color="auto" w:fill="auto"/>
            <w:vAlign w:val="bottom"/>
            <w:hideMark/>
          </w:tcPr>
          <w:p>
            <w:pPr>
              <w:jc w:val="right"/>
              <w:rPr>
                <w:b/>
                <w:bCs/>
                <w:noProof/>
                <w:color w:val="000000"/>
                <w:sz w:val="16"/>
                <w:szCs w:val="16"/>
              </w:rPr>
            </w:pPr>
            <w:r>
              <w:rPr>
                <w:b/>
                <w:noProof/>
                <w:color w:val="000000"/>
                <w:sz w:val="16"/>
              </w:rPr>
              <w:t>63 901 960 185</w:t>
            </w:r>
          </w:p>
        </w:tc>
        <w:tc>
          <w:tcPr>
            <w:tcW w:w="1327" w:type="dxa"/>
            <w:tcBorders>
              <w:top w:val="nil"/>
              <w:left w:val="nil"/>
              <w:bottom w:val="dotted" w:sz="4" w:space="0" w:color="auto"/>
              <w:right w:val="single" w:sz="4" w:space="0" w:color="auto"/>
            </w:tcBorders>
            <w:shd w:val="clear" w:color="auto" w:fill="auto"/>
            <w:vAlign w:val="bottom"/>
            <w:hideMark/>
          </w:tcPr>
          <w:p>
            <w:pPr>
              <w:jc w:val="right"/>
              <w:rPr>
                <w:b/>
                <w:bCs/>
                <w:noProof/>
                <w:color w:val="000000"/>
                <w:sz w:val="16"/>
                <w:szCs w:val="16"/>
              </w:rPr>
            </w:pPr>
            <w:r>
              <w:rPr>
                <w:b/>
                <w:noProof/>
                <w:color w:val="000000"/>
                <w:sz w:val="16"/>
              </w:rPr>
              <w:t>55 998 594 804</w:t>
            </w:r>
          </w:p>
        </w:tc>
        <w:tc>
          <w:tcPr>
            <w:tcW w:w="1134" w:type="dxa"/>
            <w:tcBorders>
              <w:top w:val="nil"/>
              <w:left w:val="nil"/>
              <w:bottom w:val="dotted" w:sz="4" w:space="0" w:color="auto"/>
              <w:right w:val="single" w:sz="4" w:space="0" w:color="auto"/>
            </w:tcBorders>
            <w:shd w:val="clear" w:color="auto" w:fill="auto"/>
            <w:vAlign w:val="bottom"/>
            <w:hideMark/>
          </w:tcPr>
          <w:p>
            <w:pPr>
              <w:jc w:val="right"/>
              <w:rPr>
                <w:b/>
                <w:bCs/>
                <w:noProof/>
                <w:color w:val="000000"/>
                <w:sz w:val="16"/>
                <w:szCs w:val="16"/>
              </w:rPr>
            </w:pPr>
            <w:r>
              <w:rPr>
                <w:b/>
                <w:noProof/>
                <w:color w:val="000000"/>
                <w:sz w:val="16"/>
              </w:rPr>
              <w:t> </w:t>
            </w:r>
          </w:p>
        </w:tc>
        <w:tc>
          <w:tcPr>
            <w:tcW w:w="1134" w:type="dxa"/>
            <w:tcBorders>
              <w:top w:val="nil"/>
              <w:left w:val="nil"/>
              <w:bottom w:val="dotted" w:sz="4" w:space="0" w:color="auto"/>
              <w:right w:val="single" w:sz="4" w:space="0" w:color="auto"/>
            </w:tcBorders>
            <w:shd w:val="clear" w:color="auto" w:fill="auto"/>
            <w:vAlign w:val="bottom"/>
            <w:hideMark/>
          </w:tcPr>
          <w:p>
            <w:pPr>
              <w:jc w:val="right"/>
              <w:rPr>
                <w:b/>
                <w:bCs/>
                <w:noProof/>
                <w:color w:val="000000"/>
                <w:sz w:val="16"/>
                <w:szCs w:val="16"/>
              </w:rPr>
            </w:pPr>
            <w:r>
              <w:rPr>
                <w:b/>
                <w:noProof/>
                <w:color w:val="000000"/>
                <w:sz w:val="16"/>
              </w:rPr>
              <w:t> </w:t>
            </w:r>
          </w:p>
        </w:tc>
        <w:tc>
          <w:tcPr>
            <w:tcW w:w="1418" w:type="dxa"/>
            <w:tcBorders>
              <w:top w:val="nil"/>
              <w:left w:val="nil"/>
              <w:bottom w:val="dotted" w:sz="4" w:space="0" w:color="auto"/>
              <w:right w:val="single" w:sz="4" w:space="0" w:color="auto"/>
            </w:tcBorders>
            <w:shd w:val="clear" w:color="auto" w:fill="auto"/>
            <w:vAlign w:val="bottom"/>
            <w:hideMark/>
          </w:tcPr>
          <w:p>
            <w:pPr>
              <w:jc w:val="right"/>
              <w:rPr>
                <w:b/>
                <w:bCs/>
                <w:noProof/>
                <w:color w:val="000000"/>
                <w:sz w:val="16"/>
                <w:szCs w:val="16"/>
              </w:rPr>
            </w:pPr>
            <w:r>
              <w:rPr>
                <w:b/>
                <w:noProof/>
                <w:color w:val="000000"/>
                <w:sz w:val="16"/>
              </w:rPr>
              <w:t>63 901 960 185</w:t>
            </w:r>
          </w:p>
        </w:tc>
        <w:tc>
          <w:tcPr>
            <w:tcW w:w="1417" w:type="dxa"/>
            <w:tcBorders>
              <w:top w:val="nil"/>
              <w:left w:val="nil"/>
              <w:bottom w:val="dotted" w:sz="4" w:space="0" w:color="auto"/>
              <w:right w:val="single" w:sz="4" w:space="0" w:color="auto"/>
            </w:tcBorders>
            <w:shd w:val="clear" w:color="auto" w:fill="auto"/>
            <w:vAlign w:val="bottom"/>
            <w:hideMark/>
          </w:tcPr>
          <w:p>
            <w:pPr>
              <w:jc w:val="right"/>
              <w:rPr>
                <w:b/>
                <w:bCs/>
                <w:noProof/>
                <w:color w:val="000000"/>
                <w:sz w:val="16"/>
                <w:szCs w:val="16"/>
              </w:rPr>
            </w:pPr>
            <w:r>
              <w:rPr>
                <w:b/>
                <w:noProof/>
                <w:color w:val="000000"/>
                <w:sz w:val="16"/>
              </w:rPr>
              <w:t>55 998 594 804</w:t>
            </w:r>
          </w:p>
        </w:tc>
      </w:tr>
      <w:tr>
        <w:trPr>
          <w:trHeight w:val="270"/>
        </w:trPr>
        <w:tc>
          <w:tcPr>
            <w:tcW w:w="2992" w:type="dxa"/>
            <w:gridSpan w:val="2"/>
            <w:tcBorders>
              <w:top w:val="dotted" w:sz="4" w:space="0" w:color="auto"/>
              <w:left w:val="single" w:sz="4" w:space="0" w:color="auto"/>
              <w:bottom w:val="dotted" w:sz="4" w:space="0" w:color="auto"/>
              <w:right w:val="single" w:sz="4" w:space="0" w:color="000000"/>
            </w:tcBorders>
            <w:shd w:val="clear" w:color="auto" w:fill="auto"/>
            <w:vAlign w:val="bottom"/>
            <w:hideMark/>
          </w:tcPr>
          <w:p>
            <w:pPr>
              <w:jc w:val="right"/>
              <w:rPr>
                <w:i/>
                <w:iCs/>
                <w:noProof/>
                <w:color w:val="000000"/>
                <w:sz w:val="16"/>
                <w:szCs w:val="16"/>
              </w:rPr>
            </w:pPr>
            <w:r>
              <w:rPr>
                <w:i/>
                <w:noProof/>
                <w:color w:val="000000"/>
                <w:sz w:val="16"/>
              </w:rPr>
              <w:t>Plafond</w:t>
            </w:r>
          </w:p>
        </w:tc>
        <w:tc>
          <w:tcPr>
            <w:tcW w:w="1366" w:type="dxa"/>
            <w:tcBorders>
              <w:top w:val="nil"/>
              <w:left w:val="nil"/>
              <w:bottom w:val="dotted" w:sz="4" w:space="0" w:color="auto"/>
              <w:right w:val="single" w:sz="4" w:space="0" w:color="auto"/>
            </w:tcBorders>
            <w:shd w:val="clear" w:color="auto" w:fill="auto"/>
            <w:vAlign w:val="bottom"/>
            <w:hideMark/>
          </w:tcPr>
          <w:p>
            <w:pPr>
              <w:jc w:val="right"/>
              <w:rPr>
                <w:i/>
                <w:iCs/>
                <w:noProof/>
                <w:color w:val="000000"/>
                <w:sz w:val="16"/>
                <w:szCs w:val="16"/>
              </w:rPr>
            </w:pPr>
            <w:r>
              <w:rPr>
                <w:i/>
                <w:noProof/>
                <w:color w:val="000000"/>
                <w:sz w:val="16"/>
              </w:rPr>
              <w:t>64 692 000 000</w:t>
            </w:r>
          </w:p>
        </w:tc>
        <w:tc>
          <w:tcPr>
            <w:tcW w:w="1327" w:type="dxa"/>
            <w:tcBorders>
              <w:top w:val="nil"/>
              <w:left w:val="nil"/>
              <w:bottom w:val="dotted" w:sz="4" w:space="0" w:color="auto"/>
              <w:right w:val="single" w:sz="4" w:space="0" w:color="auto"/>
            </w:tcBorders>
            <w:shd w:val="clear" w:color="auto" w:fill="auto"/>
            <w:vAlign w:val="bottom"/>
            <w:hideMark/>
          </w:tcPr>
          <w:p>
            <w:pPr>
              <w:jc w:val="right"/>
              <w:rPr>
                <w:i/>
                <w:iCs/>
                <w:noProof/>
                <w:color w:val="000000"/>
                <w:sz w:val="16"/>
                <w:szCs w:val="16"/>
              </w:rPr>
            </w:pPr>
            <w:r>
              <w:rPr>
                <w:i/>
                <w:noProof/>
                <w:color w:val="000000"/>
                <w:sz w:val="16"/>
              </w:rPr>
              <w:t> </w:t>
            </w:r>
          </w:p>
        </w:tc>
        <w:tc>
          <w:tcPr>
            <w:tcW w:w="1134" w:type="dxa"/>
            <w:tcBorders>
              <w:top w:val="nil"/>
              <w:left w:val="nil"/>
              <w:bottom w:val="dotted" w:sz="4" w:space="0" w:color="auto"/>
              <w:right w:val="single" w:sz="4" w:space="0" w:color="auto"/>
            </w:tcBorders>
            <w:shd w:val="clear" w:color="auto" w:fill="auto"/>
            <w:vAlign w:val="bottom"/>
            <w:hideMark/>
          </w:tcPr>
          <w:p>
            <w:pPr>
              <w:jc w:val="right"/>
              <w:rPr>
                <w:i/>
                <w:iCs/>
                <w:noProof/>
                <w:color w:val="000000"/>
                <w:sz w:val="16"/>
                <w:szCs w:val="16"/>
              </w:rPr>
            </w:pPr>
            <w:r>
              <w:rPr>
                <w:i/>
                <w:noProof/>
                <w:color w:val="000000"/>
                <w:sz w:val="16"/>
              </w:rPr>
              <w:t> </w:t>
            </w:r>
          </w:p>
        </w:tc>
        <w:tc>
          <w:tcPr>
            <w:tcW w:w="1134" w:type="dxa"/>
            <w:tcBorders>
              <w:top w:val="nil"/>
              <w:left w:val="nil"/>
              <w:bottom w:val="dotted" w:sz="4" w:space="0" w:color="auto"/>
              <w:right w:val="single" w:sz="4" w:space="0" w:color="auto"/>
            </w:tcBorders>
            <w:shd w:val="clear" w:color="auto" w:fill="auto"/>
            <w:vAlign w:val="bottom"/>
            <w:hideMark/>
          </w:tcPr>
          <w:p>
            <w:pPr>
              <w:jc w:val="right"/>
              <w:rPr>
                <w:i/>
                <w:iCs/>
                <w:noProof/>
                <w:color w:val="000000"/>
                <w:sz w:val="16"/>
                <w:szCs w:val="16"/>
              </w:rPr>
            </w:pPr>
            <w:r>
              <w:rPr>
                <w:i/>
                <w:noProof/>
                <w:color w:val="000000"/>
                <w:sz w:val="16"/>
              </w:rPr>
              <w:t> </w:t>
            </w:r>
          </w:p>
        </w:tc>
        <w:tc>
          <w:tcPr>
            <w:tcW w:w="1418" w:type="dxa"/>
            <w:tcBorders>
              <w:top w:val="nil"/>
              <w:left w:val="nil"/>
              <w:bottom w:val="dotted" w:sz="4" w:space="0" w:color="auto"/>
              <w:right w:val="single" w:sz="4" w:space="0" w:color="auto"/>
            </w:tcBorders>
            <w:shd w:val="clear" w:color="auto" w:fill="auto"/>
            <w:vAlign w:val="bottom"/>
            <w:hideMark/>
          </w:tcPr>
          <w:p>
            <w:pPr>
              <w:jc w:val="right"/>
              <w:rPr>
                <w:i/>
                <w:iCs/>
                <w:noProof/>
                <w:color w:val="000000"/>
                <w:sz w:val="16"/>
                <w:szCs w:val="16"/>
              </w:rPr>
            </w:pPr>
            <w:r>
              <w:rPr>
                <w:i/>
                <w:noProof/>
                <w:color w:val="000000"/>
                <w:sz w:val="16"/>
              </w:rPr>
              <w:t>64 692 000 000</w:t>
            </w:r>
          </w:p>
        </w:tc>
        <w:tc>
          <w:tcPr>
            <w:tcW w:w="1417" w:type="dxa"/>
            <w:tcBorders>
              <w:top w:val="nil"/>
              <w:left w:val="nil"/>
              <w:bottom w:val="dotted" w:sz="4" w:space="0" w:color="auto"/>
              <w:right w:val="single" w:sz="4" w:space="0" w:color="auto"/>
            </w:tcBorders>
            <w:shd w:val="clear" w:color="auto" w:fill="auto"/>
            <w:vAlign w:val="bottom"/>
            <w:hideMark/>
          </w:tcPr>
          <w:p>
            <w:pPr>
              <w:jc w:val="right"/>
              <w:rPr>
                <w:i/>
                <w:iCs/>
                <w:noProof/>
                <w:color w:val="000000"/>
                <w:sz w:val="16"/>
                <w:szCs w:val="16"/>
              </w:rPr>
            </w:pPr>
            <w:r>
              <w:rPr>
                <w:i/>
                <w:noProof/>
                <w:color w:val="000000"/>
                <w:sz w:val="16"/>
              </w:rPr>
              <w:t> </w:t>
            </w:r>
          </w:p>
        </w:tc>
      </w:tr>
      <w:tr>
        <w:trPr>
          <w:trHeight w:val="270"/>
        </w:trPr>
        <w:tc>
          <w:tcPr>
            <w:tcW w:w="2992" w:type="dxa"/>
            <w:gridSpan w:val="2"/>
            <w:tcBorders>
              <w:top w:val="dotted" w:sz="4" w:space="0" w:color="auto"/>
              <w:left w:val="single" w:sz="4" w:space="0" w:color="auto"/>
              <w:bottom w:val="dotted" w:sz="4" w:space="0" w:color="auto"/>
              <w:right w:val="single" w:sz="4" w:space="0" w:color="000000"/>
            </w:tcBorders>
            <w:shd w:val="clear" w:color="auto" w:fill="auto"/>
            <w:vAlign w:val="bottom"/>
            <w:hideMark/>
          </w:tcPr>
          <w:p>
            <w:pPr>
              <w:jc w:val="right"/>
              <w:rPr>
                <w:i/>
                <w:iCs/>
                <w:noProof/>
                <w:color w:val="000000"/>
                <w:sz w:val="16"/>
                <w:szCs w:val="16"/>
              </w:rPr>
            </w:pPr>
            <w:r>
              <w:rPr>
                <w:i/>
                <w:noProof/>
                <w:color w:val="000000"/>
                <w:sz w:val="16"/>
              </w:rPr>
              <w:t>Marge</w:t>
            </w:r>
          </w:p>
        </w:tc>
        <w:tc>
          <w:tcPr>
            <w:tcW w:w="1366" w:type="dxa"/>
            <w:tcBorders>
              <w:top w:val="nil"/>
              <w:left w:val="nil"/>
              <w:bottom w:val="single" w:sz="4" w:space="0" w:color="auto"/>
              <w:right w:val="single" w:sz="4" w:space="0" w:color="auto"/>
            </w:tcBorders>
            <w:shd w:val="clear" w:color="auto" w:fill="auto"/>
            <w:vAlign w:val="bottom"/>
            <w:hideMark/>
          </w:tcPr>
          <w:p>
            <w:pPr>
              <w:jc w:val="right"/>
              <w:rPr>
                <w:i/>
                <w:iCs/>
                <w:noProof/>
                <w:color w:val="000000"/>
                <w:sz w:val="16"/>
                <w:szCs w:val="16"/>
              </w:rPr>
            </w:pPr>
            <w:r>
              <w:rPr>
                <w:i/>
                <w:noProof/>
                <w:color w:val="000000"/>
                <w:sz w:val="16"/>
              </w:rPr>
              <w:t xml:space="preserve"> 790 039 815</w:t>
            </w:r>
          </w:p>
        </w:tc>
        <w:tc>
          <w:tcPr>
            <w:tcW w:w="1327" w:type="dxa"/>
            <w:tcBorders>
              <w:top w:val="nil"/>
              <w:left w:val="nil"/>
              <w:bottom w:val="single" w:sz="4" w:space="0" w:color="auto"/>
              <w:right w:val="single" w:sz="4" w:space="0" w:color="auto"/>
            </w:tcBorders>
            <w:shd w:val="clear" w:color="auto" w:fill="auto"/>
            <w:vAlign w:val="bottom"/>
            <w:hideMark/>
          </w:tcPr>
          <w:p>
            <w:pPr>
              <w:jc w:val="right"/>
              <w:rPr>
                <w:i/>
                <w:iCs/>
                <w:noProof/>
                <w:color w:val="000000"/>
                <w:sz w:val="16"/>
                <w:szCs w:val="16"/>
              </w:rPr>
            </w:pPr>
            <w:r>
              <w:rPr>
                <w:i/>
                <w:noProof/>
                <w:color w:val="000000"/>
                <w:sz w:val="16"/>
              </w:rPr>
              <w:t> </w:t>
            </w:r>
          </w:p>
        </w:tc>
        <w:tc>
          <w:tcPr>
            <w:tcW w:w="1134" w:type="dxa"/>
            <w:tcBorders>
              <w:top w:val="nil"/>
              <w:left w:val="nil"/>
              <w:bottom w:val="single" w:sz="4" w:space="0" w:color="auto"/>
              <w:right w:val="single" w:sz="4" w:space="0" w:color="auto"/>
            </w:tcBorders>
            <w:shd w:val="clear" w:color="auto" w:fill="auto"/>
            <w:vAlign w:val="bottom"/>
            <w:hideMark/>
          </w:tcPr>
          <w:p>
            <w:pPr>
              <w:jc w:val="right"/>
              <w:rPr>
                <w:i/>
                <w:iCs/>
                <w:noProof/>
                <w:color w:val="000000"/>
                <w:sz w:val="16"/>
                <w:szCs w:val="16"/>
              </w:rPr>
            </w:pPr>
            <w:r>
              <w:rPr>
                <w:i/>
                <w:noProof/>
                <w:color w:val="000000"/>
                <w:sz w:val="16"/>
              </w:rPr>
              <w:t> </w:t>
            </w:r>
          </w:p>
        </w:tc>
        <w:tc>
          <w:tcPr>
            <w:tcW w:w="1134" w:type="dxa"/>
            <w:tcBorders>
              <w:top w:val="nil"/>
              <w:left w:val="nil"/>
              <w:bottom w:val="single" w:sz="4" w:space="0" w:color="auto"/>
              <w:right w:val="single" w:sz="4" w:space="0" w:color="auto"/>
            </w:tcBorders>
            <w:shd w:val="clear" w:color="auto" w:fill="auto"/>
            <w:vAlign w:val="bottom"/>
            <w:hideMark/>
          </w:tcPr>
          <w:p>
            <w:pPr>
              <w:jc w:val="right"/>
              <w:rPr>
                <w:i/>
                <w:iCs/>
                <w:noProof/>
                <w:color w:val="000000"/>
                <w:sz w:val="16"/>
                <w:szCs w:val="16"/>
              </w:rPr>
            </w:pPr>
            <w:r>
              <w:rPr>
                <w:i/>
                <w:noProof/>
                <w:color w:val="000000"/>
                <w:sz w:val="16"/>
              </w:rPr>
              <w:t> </w:t>
            </w:r>
          </w:p>
        </w:tc>
        <w:tc>
          <w:tcPr>
            <w:tcW w:w="1418" w:type="dxa"/>
            <w:tcBorders>
              <w:top w:val="nil"/>
              <w:left w:val="nil"/>
              <w:bottom w:val="single" w:sz="4" w:space="0" w:color="auto"/>
              <w:right w:val="single" w:sz="4" w:space="0" w:color="auto"/>
            </w:tcBorders>
            <w:shd w:val="clear" w:color="auto" w:fill="auto"/>
            <w:vAlign w:val="bottom"/>
            <w:hideMark/>
          </w:tcPr>
          <w:p>
            <w:pPr>
              <w:jc w:val="right"/>
              <w:rPr>
                <w:i/>
                <w:iCs/>
                <w:noProof/>
                <w:color w:val="000000"/>
                <w:sz w:val="16"/>
                <w:szCs w:val="16"/>
              </w:rPr>
            </w:pPr>
            <w:r>
              <w:rPr>
                <w:i/>
                <w:noProof/>
                <w:color w:val="000000"/>
                <w:sz w:val="16"/>
              </w:rPr>
              <w:t xml:space="preserve"> 790 039 815</w:t>
            </w:r>
          </w:p>
        </w:tc>
        <w:tc>
          <w:tcPr>
            <w:tcW w:w="1417" w:type="dxa"/>
            <w:tcBorders>
              <w:top w:val="nil"/>
              <w:left w:val="nil"/>
              <w:bottom w:val="single" w:sz="4" w:space="0" w:color="auto"/>
              <w:right w:val="single" w:sz="4" w:space="0" w:color="auto"/>
            </w:tcBorders>
            <w:shd w:val="clear" w:color="auto" w:fill="auto"/>
            <w:vAlign w:val="bottom"/>
            <w:hideMark/>
          </w:tcPr>
          <w:p>
            <w:pPr>
              <w:jc w:val="right"/>
              <w:rPr>
                <w:i/>
                <w:iCs/>
                <w:noProof/>
                <w:color w:val="000000"/>
                <w:sz w:val="16"/>
                <w:szCs w:val="16"/>
              </w:rPr>
            </w:pPr>
            <w:r>
              <w:rPr>
                <w:i/>
                <w:noProof/>
                <w:color w:val="000000"/>
                <w:sz w:val="16"/>
              </w:rPr>
              <w:t> </w:t>
            </w:r>
          </w:p>
        </w:tc>
      </w:tr>
      <w:tr>
        <w:trPr>
          <w:trHeight w:val="705"/>
        </w:trPr>
        <w:tc>
          <w:tcPr>
            <w:tcW w:w="2992" w:type="dxa"/>
            <w:gridSpan w:val="2"/>
            <w:tcBorders>
              <w:top w:val="dotted" w:sz="4" w:space="0" w:color="auto"/>
              <w:left w:val="single" w:sz="4" w:space="0" w:color="auto"/>
              <w:bottom w:val="dotted" w:sz="4" w:space="0" w:color="auto"/>
              <w:right w:val="single" w:sz="4" w:space="0" w:color="000000"/>
            </w:tcBorders>
            <w:shd w:val="clear" w:color="auto" w:fill="auto"/>
            <w:vAlign w:val="bottom"/>
            <w:hideMark/>
          </w:tcPr>
          <w:p>
            <w:pPr>
              <w:rPr>
                <w:noProof/>
                <w:color w:val="000000"/>
                <w:sz w:val="16"/>
                <w:szCs w:val="16"/>
              </w:rPr>
            </w:pPr>
            <w:r>
              <w:rPr>
                <w:noProof/>
                <w:color w:val="000000"/>
                <w:sz w:val="16"/>
              </w:rPr>
              <w:t>dont: Fonds européen agricole de garantie (FEAGA) — dépenses relatives au marché et paiements directs</w:t>
            </w:r>
          </w:p>
        </w:tc>
        <w:tc>
          <w:tcPr>
            <w:tcW w:w="1366" w:type="dxa"/>
            <w:tcBorders>
              <w:top w:val="nil"/>
              <w:left w:val="nil"/>
              <w:bottom w:val="dotted" w:sz="4" w:space="0" w:color="auto"/>
              <w:right w:val="single" w:sz="4" w:space="0" w:color="auto"/>
            </w:tcBorders>
            <w:shd w:val="clear" w:color="auto" w:fill="auto"/>
            <w:vAlign w:val="bottom"/>
            <w:hideMark/>
          </w:tcPr>
          <w:p>
            <w:pPr>
              <w:jc w:val="right"/>
              <w:rPr>
                <w:noProof/>
                <w:color w:val="000000"/>
                <w:sz w:val="16"/>
                <w:szCs w:val="16"/>
              </w:rPr>
            </w:pPr>
            <w:r>
              <w:rPr>
                <w:noProof/>
                <w:color w:val="000000"/>
                <w:sz w:val="16"/>
              </w:rPr>
              <w:t>43 455 780 762</w:t>
            </w:r>
          </w:p>
        </w:tc>
        <w:tc>
          <w:tcPr>
            <w:tcW w:w="1327" w:type="dxa"/>
            <w:tcBorders>
              <w:top w:val="nil"/>
              <w:left w:val="nil"/>
              <w:bottom w:val="dotted" w:sz="4" w:space="0" w:color="auto"/>
              <w:right w:val="single" w:sz="4" w:space="0" w:color="auto"/>
            </w:tcBorders>
            <w:shd w:val="clear" w:color="auto" w:fill="auto"/>
            <w:vAlign w:val="bottom"/>
            <w:hideMark/>
          </w:tcPr>
          <w:p>
            <w:pPr>
              <w:jc w:val="right"/>
              <w:rPr>
                <w:noProof/>
                <w:color w:val="000000"/>
                <w:sz w:val="16"/>
                <w:szCs w:val="16"/>
              </w:rPr>
            </w:pPr>
            <w:r>
              <w:rPr>
                <w:noProof/>
                <w:color w:val="000000"/>
                <w:sz w:val="16"/>
              </w:rPr>
              <w:t>43 447 624 585</w:t>
            </w:r>
          </w:p>
        </w:tc>
        <w:tc>
          <w:tcPr>
            <w:tcW w:w="1134" w:type="dxa"/>
            <w:tcBorders>
              <w:top w:val="nil"/>
              <w:left w:val="nil"/>
              <w:bottom w:val="dotted" w:sz="4" w:space="0" w:color="auto"/>
              <w:right w:val="single" w:sz="4" w:space="0" w:color="auto"/>
            </w:tcBorders>
            <w:shd w:val="clear" w:color="auto" w:fill="auto"/>
            <w:vAlign w:val="bottom"/>
            <w:hideMark/>
          </w:tcPr>
          <w:p>
            <w:pPr>
              <w:jc w:val="right"/>
              <w:rPr>
                <w:noProof/>
                <w:color w:val="000000"/>
                <w:sz w:val="16"/>
                <w:szCs w:val="16"/>
              </w:rPr>
            </w:pPr>
            <w:r>
              <w:rPr>
                <w:noProof/>
                <w:color w:val="000000"/>
                <w:sz w:val="16"/>
              </w:rPr>
              <w:t> </w:t>
            </w:r>
          </w:p>
        </w:tc>
        <w:tc>
          <w:tcPr>
            <w:tcW w:w="1134" w:type="dxa"/>
            <w:tcBorders>
              <w:top w:val="nil"/>
              <w:left w:val="nil"/>
              <w:bottom w:val="dotted" w:sz="4" w:space="0" w:color="auto"/>
              <w:right w:val="single" w:sz="4" w:space="0" w:color="auto"/>
            </w:tcBorders>
            <w:shd w:val="clear" w:color="auto" w:fill="auto"/>
            <w:vAlign w:val="bottom"/>
            <w:hideMark/>
          </w:tcPr>
          <w:p>
            <w:pPr>
              <w:jc w:val="right"/>
              <w:rPr>
                <w:noProof/>
                <w:color w:val="000000"/>
                <w:sz w:val="16"/>
                <w:szCs w:val="16"/>
              </w:rPr>
            </w:pPr>
            <w:r>
              <w:rPr>
                <w:noProof/>
                <w:color w:val="000000"/>
                <w:sz w:val="16"/>
              </w:rPr>
              <w:t> </w:t>
            </w:r>
          </w:p>
        </w:tc>
        <w:tc>
          <w:tcPr>
            <w:tcW w:w="1418" w:type="dxa"/>
            <w:tcBorders>
              <w:top w:val="nil"/>
              <w:left w:val="nil"/>
              <w:bottom w:val="dotted" w:sz="4" w:space="0" w:color="auto"/>
              <w:right w:val="single" w:sz="4" w:space="0" w:color="auto"/>
            </w:tcBorders>
            <w:shd w:val="clear" w:color="auto" w:fill="auto"/>
            <w:vAlign w:val="bottom"/>
            <w:hideMark/>
          </w:tcPr>
          <w:p>
            <w:pPr>
              <w:jc w:val="right"/>
              <w:rPr>
                <w:noProof/>
                <w:color w:val="000000"/>
                <w:sz w:val="16"/>
                <w:szCs w:val="16"/>
              </w:rPr>
            </w:pPr>
            <w:r>
              <w:rPr>
                <w:noProof/>
                <w:color w:val="000000"/>
                <w:sz w:val="16"/>
              </w:rPr>
              <w:t>43 455 780 762</w:t>
            </w:r>
          </w:p>
        </w:tc>
        <w:tc>
          <w:tcPr>
            <w:tcW w:w="1417" w:type="dxa"/>
            <w:tcBorders>
              <w:top w:val="nil"/>
              <w:left w:val="nil"/>
              <w:bottom w:val="dotted" w:sz="4" w:space="0" w:color="auto"/>
              <w:right w:val="single" w:sz="4" w:space="0" w:color="auto"/>
            </w:tcBorders>
            <w:shd w:val="clear" w:color="auto" w:fill="auto"/>
            <w:vAlign w:val="bottom"/>
            <w:hideMark/>
          </w:tcPr>
          <w:p>
            <w:pPr>
              <w:jc w:val="right"/>
              <w:rPr>
                <w:noProof/>
                <w:color w:val="000000"/>
                <w:sz w:val="16"/>
                <w:szCs w:val="16"/>
              </w:rPr>
            </w:pPr>
            <w:r>
              <w:rPr>
                <w:noProof/>
                <w:color w:val="000000"/>
                <w:sz w:val="16"/>
              </w:rPr>
              <w:t>43 447 624 585</w:t>
            </w:r>
          </w:p>
        </w:tc>
      </w:tr>
      <w:tr>
        <w:trPr>
          <w:trHeight w:val="270"/>
        </w:trPr>
        <w:tc>
          <w:tcPr>
            <w:tcW w:w="2992" w:type="dxa"/>
            <w:gridSpan w:val="2"/>
            <w:tcBorders>
              <w:top w:val="dotted" w:sz="4" w:space="0" w:color="auto"/>
              <w:left w:val="single" w:sz="4" w:space="0" w:color="auto"/>
              <w:bottom w:val="dotted" w:sz="4" w:space="0" w:color="auto"/>
              <w:right w:val="single" w:sz="4" w:space="0" w:color="000000"/>
            </w:tcBorders>
            <w:shd w:val="clear" w:color="auto" w:fill="auto"/>
            <w:vAlign w:val="bottom"/>
            <w:hideMark/>
          </w:tcPr>
          <w:p>
            <w:pPr>
              <w:jc w:val="right"/>
              <w:rPr>
                <w:i/>
                <w:iCs/>
                <w:noProof/>
                <w:color w:val="000000"/>
                <w:sz w:val="16"/>
                <w:szCs w:val="16"/>
              </w:rPr>
            </w:pPr>
            <w:r>
              <w:rPr>
                <w:i/>
                <w:noProof/>
                <w:color w:val="000000"/>
                <w:sz w:val="16"/>
              </w:rPr>
              <w:t>Sous-plafond</w:t>
            </w:r>
          </w:p>
        </w:tc>
        <w:tc>
          <w:tcPr>
            <w:tcW w:w="1366" w:type="dxa"/>
            <w:tcBorders>
              <w:top w:val="nil"/>
              <w:left w:val="nil"/>
              <w:bottom w:val="dotted" w:sz="4" w:space="0" w:color="auto"/>
              <w:right w:val="single" w:sz="4" w:space="0" w:color="auto"/>
            </w:tcBorders>
            <w:shd w:val="clear" w:color="auto" w:fill="auto"/>
            <w:vAlign w:val="bottom"/>
            <w:hideMark/>
          </w:tcPr>
          <w:p>
            <w:pPr>
              <w:jc w:val="right"/>
              <w:rPr>
                <w:i/>
                <w:iCs/>
                <w:noProof/>
                <w:color w:val="000000"/>
                <w:sz w:val="16"/>
                <w:szCs w:val="16"/>
              </w:rPr>
            </w:pPr>
            <w:r>
              <w:rPr>
                <w:i/>
                <w:noProof/>
                <w:color w:val="000000"/>
                <w:sz w:val="16"/>
              </w:rPr>
              <w:t>44 313 000 000</w:t>
            </w:r>
          </w:p>
        </w:tc>
        <w:tc>
          <w:tcPr>
            <w:tcW w:w="1327" w:type="dxa"/>
            <w:tcBorders>
              <w:top w:val="nil"/>
              <w:left w:val="nil"/>
              <w:bottom w:val="dotted" w:sz="4" w:space="0" w:color="auto"/>
              <w:right w:val="single" w:sz="4" w:space="0" w:color="auto"/>
            </w:tcBorders>
            <w:shd w:val="clear" w:color="auto" w:fill="auto"/>
            <w:vAlign w:val="bottom"/>
            <w:hideMark/>
          </w:tcPr>
          <w:p>
            <w:pPr>
              <w:jc w:val="right"/>
              <w:rPr>
                <w:i/>
                <w:iCs/>
                <w:noProof/>
                <w:color w:val="000000"/>
                <w:sz w:val="16"/>
                <w:szCs w:val="16"/>
              </w:rPr>
            </w:pPr>
            <w:r>
              <w:rPr>
                <w:i/>
                <w:noProof/>
                <w:color w:val="000000"/>
                <w:sz w:val="16"/>
              </w:rPr>
              <w:t> </w:t>
            </w:r>
          </w:p>
        </w:tc>
        <w:tc>
          <w:tcPr>
            <w:tcW w:w="1134" w:type="dxa"/>
            <w:tcBorders>
              <w:top w:val="nil"/>
              <w:left w:val="nil"/>
              <w:bottom w:val="dotted" w:sz="4" w:space="0" w:color="auto"/>
              <w:right w:val="single" w:sz="4" w:space="0" w:color="auto"/>
            </w:tcBorders>
            <w:shd w:val="clear" w:color="auto" w:fill="auto"/>
            <w:vAlign w:val="bottom"/>
            <w:hideMark/>
          </w:tcPr>
          <w:p>
            <w:pPr>
              <w:jc w:val="right"/>
              <w:rPr>
                <w:i/>
                <w:iCs/>
                <w:noProof/>
                <w:color w:val="000000"/>
                <w:sz w:val="16"/>
                <w:szCs w:val="16"/>
              </w:rPr>
            </w:pPr>
            <w:r>
              <w:rPr>
                <w:i/>
                <w:noProof/>
                <w:color w:val="000000"/>
                <w:sz w:val="16"/>
              </w:rPr>
              <w:t> </w:t>
            </w:r>
          </w:p>
        </w:tc>
        <w:tc>
          <w:tcPr>
            <w:tcW w:w="1134" w:type="dxa"/>
            <w:tcBorders>
              <w:top w:val="nil"/>
              <w:left w:val="nil"/>
              <w:bottom w:val="dotted" w:sz="4" w:space="0" w:color="auto"/>
              <w:right w:val="single" w:sz="4" w:space="0" w:color="auto"/>
            </w:tcBorders>
            <w:shd w:val="clear" w:color="auto" w:fill="auto"/>
            <w:vAlign w:val="bottom"/>
            <w:hideMark/>
          </w:tcPr>
          <w:p>
            <w:pPr>
              <w:jc w:val="right"/>
              <w:rPr>
                <w:i/>
                <w:iCs/>
                <w:noProof/>
                <w:color w:val="000000"/>
                <w:sz w:val="16"/>
                <w:szCs w:val="16"/>
              </w:rPr>
            </w:pPr>
            <w:r>
              <w:rPr>
                <w:i/>
                <w:noProof/>
                <w:color w:val="000000"/>
                <w:sz w:val="16"/>
              </w:rPr>
              <w:t> </w:t>
            </w:r>
          </w:p>
        </w:tc>
        <w:tc>
          <w:tcPr>
            <w:tcW w:w="1418" w:type="dxa"/>
            <w:tcBorders>
              <w:top w:val="nil"/>
              <w:left w:val="nil"/>
              <w:bottom w:val="dotted" w:sz="4" w:space="0" w:color="auto"/>
              <w:right w:val="single" w:sz="4" w:space="0" w:color="auto"/>
            </w:tcBorders>
            <w:shd w:val="clear" w:color="auto" w:fill="auto"/>
            <w:vAlign w:val="bottom"/>
            <w:hideMark/>
          </w:tcPr>
          <w:p>
            <w:pPr>
              <w:jc w:val="right"/>
              <w:rPr>
                <w:i/>
                <w:iCs/>
                <w:noProof/>
                <w:color w:val="000000"/>
                <w:sz w:val="16"/>
                <w:szCs w:val="16"/>
              </w:rPr>
            </w:pPr>
            <w:r>
              <w:rPr>
                <w:i/>
                <w:noProof/>
                <w:color w:val="000000"/>
                <w:sz w:val="16"/>
              </w:rPr>
              <w:t>44 313 000 000</w:t>
            </w:r>
          </w:p>
        </w:tc>
        <w:tc>
          <w:tcPr>
            <w:tcW w:w="1417" w:type="dxa"/>
            <w:tcBorders>
              <w:top w:val="nil"/>
              <w:left w:val="nil"/>
              <w:bottom w:val="dotted" w:sz="4" w:space="0" w:color="auto"/>
              <w:right w:val="single" w:sz="4" w:space="0" w:color="auto"/>
            </w:tcBorders>
            <w:shd w:val="clear" w:color="auto" w:fill="auto"/>
            <w:vAlign w:val="bottom"/>
            <w:hideMark/>
          </w:tcPr>
          <w:p>
            <w:pPr>
              <w:jc w:val="right"/>
              <w:rPr>
                <w:i/>
                <w:iCs/>
                <w:noProof/>
                <w:color w:val="000000"/>
                <w:sz w:val="16"/>
                <w:szCs w:val="16"/>
              </w:rPr>
            </w:pPr>
            <w:r>
              <w:rPr>
                <w:i/>
                <w:noProof/>
                <w:color w:val="000000"/>
                <w:sz w:val="16"/>
              </w:rPr>
              <w:t> </w:t>
            </w:r>
          </w:p>
        </w:tc>
      </w:tr>
      <w:tr>
        <w:trPr>
          <w:trHeight w:val="270"/>
        </w:trPr>
        <w:tc>
          <w:tcPr>
            <w:tcW w:w="2992" w:type="dxa"/>
            <w:gridSpan w:val="2"/>
            <w:tcBorders>
              <w:top w:val="dotted" w:sz="4" w:space="0" w:color="auto"/>
              <w:left w:val="single" w:sz="4" w:space="0" w:color="auto"/>
              <w:bottom w:val="dotted" w:sz="4" w:space="0" w:color="auto"/>
              <w:right w:val="single" w:sz="4" w:space="0" w:color="000000"/>
            </w:tcBorders>
            <w:shd w:val="clear" w:color="auto" w:fill="auto"/>
            <w:vAlign w:val="bottom"/>
            <w:hideMark/>
          </w:tcPr>
          <w:p>
            <w:pPr>
              <w:jc w:val="right"/>
              <w:rPr>
                <w:i/>
                <w:iCs/>
                <w:noProof/>
                <w:color w:val="000000"/>
                <w:sz w:val="16"/>
                <w:szCs w:val="16"/>
              </w:rPr>
            </w:pPr>
            <w:r>
              <w:rPr>
                <w:i/>
                <w:noProof/>
                <w:color w:val="000000"/>
                <w:sz w:val="16"/>
              </w:rPr>
              <w:t>Transfert net entre le FEAGA et le Feader</w:t>
            </w:r>
          </w:p>
        </w:tc>
        <w:tc>
          <w:tcPr>
            <w:tcW w:w="1366" w:type="dxa"/>
            <w:tcBorders>
              <w:top w:val="nil"/>
              <w:left w:val="nil"/>
              <w:bottom w:val="dotted" w:sz="4" w:space="0" w:color="auto"/>
              <w:right w:val="single" w:sz="4" w:space="0" w:color="auto"/>
            </w:tcBorders>
            <w:shd w:val="clear" w:color="auto" w:fill="auto"/>
            <w:vAlign w:val="bottom"/>
            <w:hideMark/>
          </w:tcPr>
          <w:p>
            <w:pPr>
              <w:jc w:val="right"/>
              <w:rPr>
                <w:i/>
                <w:iCs/>
                <w:noProof/>
                <w:color w:val="000000"/>
                <w:sz w:val="16"/>
                <w:szCs w:val="16"/>
              </w:rPr>
            </w:pPr>
            <w:r>
              <w:rPr>
                <w:i/>
                <w:noProof/>
                <w:color w:val="000000"/>
                <w:sz w:val="16"/>
              </w:rPr>
              <w:t xml:space="preserve"> 123 215 000</w:t>
            </w:r>
          </w:p>
        </w:tc>
        <w:tc>
          <w:tcPr>
            <w:tcW w:w="1327" w:type="dxa"/>
            <w:tcBorders>
              <w:top w:val="nil"/>
              <w:left w:val="nil"/>
              <w:bottom w:val="dotted" w:sz="4" w:space="0" w:color="auto"/>
              <w:right w:val="single" w:sz="4" w:space="0" w:color="auto"/>
            </w:tcBorders>
            <w:shd w:val="clear" w:color="auto" w:fill="auto"/>
            <w:vAlign w:val="bottom"/>
            <w:hideMark/>
          </w:tcPr>
          <w:p>
            <w:pPr>
              <w:jc w:val="right"/>
              <w:rPr>
                <w:i/>
                <w:iCs/>
                <w:noProof/>
                <w:color w:val="000000"/>
                <w:sz w:val="16"/>
                <w:szCs w:val="16"/>
              </w:rPr>
            </w:pPr>
            <w:r>
              <w:rPr>
                <w:i/>
                <w:noProof/>
                <w:color w:val="000000"/>
                <w:sz w:val="16"/>
              </w:rPr>
              <w:t> </w:t>
            </w:r>
          </w:p>
        </w:tc>
        <w:tc>
          <w:tcPr>
            <w:tcW w:w="1134" w:type="dxa"/>
            <w:tcBorders>
              <w:top w:val="nil"/>
              <w:left w:val="nil"/>
              <w:bottom w:val="dotted" w:sz="4" w:space="0" w:color="auto"/>
              <w:right w:val="single" w:sz="4" w:space="0" w:color="auto"/>
            </w:tcBorders>
            <w:shd w:val="clear" w:color="auto" w:fill="auto"/>
            <w:vAlign w:val="bottom"/>
            <w:hideMark/>
          </w:tcPr>
          <w:p>
            <w:pPr>
              <w:jc w:val="right"/>
              <w:rPr>
                <w:i/>
                <w:iCs/>
                <w:noProof/>
                <w:color w:val="000000"/>
                <w:sz w:val="16"/>
                <w:szCs w:val="16"/>
              </w:rPr>
            </w:pPr>
            <w:r>
              <w:rPr>
                <w:i/>
                <w:noProof/>
                <w:color w:val="000000"/>
                <w:sz w:val="16"/>
              </w:rPr>
              <w:t> </w:t>
            </w:r>
          </w:p>
        </w:tc>
        <w:tc>
          <w:tcPr>
            <w:tcW w:w="1134" w:type="dxa"/>
            <w:tcBorders>
              <w:top w:val="nil"/>
              <w:left w:val="nil"/>
              <w:bottom w:val="dotted" w:sz="4" w:space="0" w:color="auto"/>
              <w:right w:val="single" w:sz="4" w:space="0" w:color="auto"/>
            </w:tcBorders>
            <w:shd w:val="clear" w:color="auto" w:fill="auto"/>
            <w:vAlign w:val="bottom"/>
            <w:hideMark/>
          </w:tcPr>
          <w:p>
            <w:pPr>
              <w:jc w:val="right"/>
              <w:rPr>
                <w:i/>
                <w:iCs/>
                <w:noProof/>
                <w:color w:val="000000"/>
                <w:sz w:val="16"/>
                <w:szCs w:val="16"/>
              </w:rPr>
            </w:pPr>
            <w:r>
              <w:rPr>
                <w:i/>
                <w:noProof/>
                <w:color w:val="000000"/>
                <w:sz w:val="16"/>
              </w:rPr>
              <w:t> </w:t>
            </w:r>
          </w:p>
        </w:tc>
        <w:tc>
          <w:tcPr>
            <w:tcW w:w="1418" w:type="dxa"/>
            <w:tcBorders>
              <w:top w:val="nil"/>
              <w:left w:val="nil"/>
              <w:bottom w:val="dotted" w:sz="4" w:space="0" w:color="auto"/>
              <w:right w:val="single" w:sz="4" w:space="0" w:color="auto"/>
            </w:tcBorders>
            <w:shd w:val="clear" w:color="auto" w:fill="auto"/>
            <w:vAlign w:val="bottom"/>
            <w:hideMark/>
          </w:tcPr>
          <w:p>
            <w:pPr>
              <w:jc w:val="right"/>
              <w:rPr>
                <w:i/>
                <w:iCs/>
                <w:noProof/>
                <w:color w:val="000000"/>
                <w:sz w:val="16"/>
                <w:szCs w:val="16"/>
              </w:rPr>
            </w:pPr>
            <w:r>
              <w:rPr>
                <w:i/>
                <w:noProof/>
                <w:color w:val="000000"/>
                <w:sz w:val="16"/>
              </w:rPr>
              <w:t xml:space="preserve"> 123 215 000</w:t>
            </w:r>
          </w:p>
        </w:tc>
        <w:tc>
          <w:tcPr>
            <w:tcW w:w="1417" w:type="dxa"/>
            <w:tcBorders>
              <w:top w:val="nil"/>
              <w:left w:val="nil"/>
              <w:bottom w:val="dotted" w:sz="4" w:space="0" w:color="auto"/>
              <w:right w:val="single" w:sz="4" w:space="0" w:color="auto"/>
            </w:tcBorders>
            <w:shd w:val="clear" w:color="auto" w:fill="auto"/>
            <w:vAlign w:val="bottom"/>
            <w:hideMark/>
          </w:tcPr>
          <w:p>
            <w:pPr>
              <w:jc w:val="right"/>
              <w:rPr>
                <w:i/>
                <w:iCs/>
                <w:noProof/>
                <w:color w:val="000000"/>
                <w:sz w:val="16"/>
                <w:szCs w:val="16"/>
              </w:rPr>
            </w:pPr>
            <w:r>
              <w:rPr>
                <w:i/>
                <w:noProof/>
                <w:color w:val="000000"/>
                <w:sz w:val="16"/>
              </w:rPr>
              <w:t> </w:t>
            </w:r>
          </w:p>
        </w:tc>
      </w:tr>
      <w:tr>
        <w:trPr>
          <w:trHeight w:val="270"/>
        </w:trPr>
        <w:tc>
          <w:tcPr>
            <w:tcW w:w="2992" w:type="dxa"/>
            <w:gridSpan w:val="2"/>
            <w:tcBorders>
              <w:top w:val="dotted" w:sz="4" w:space="0" w:color="auto"/>
              <w:left w:val="single" w:sz="4" w:space="0" w:color="auto"/>
              <w:bottom w:val="dotted" w:sz="4" w:space="0" w:color="auto"/>
              <w:right w:val="single" w:sz="4" w:space="0" w:color="000000"/>
            </w:tcBorders>
            <w:shd w:val="clear" w:color="auto" w:fill="auto"/>
            <w:vAlign w:val="bottom"/>
            <w:hideMark/>
          </w:tcPr>
          <w:p>
            <w:pPr>
              <w:jc w:val="right"/>
              <w:rPr>
                <w:i/>
                <w:iCs/>
                <w:noProof/>
                <w:color w:val="000000"/>
                <w:sz w:val="16"/>
                <w:szCs w:val="16"/>
              </w:rPr>
            </w:pPr>
            <w:r>
              <w:rPr>
                <w:i/>
                <w:noProof/>
                <w:color w:val="000000"/>
                <w:sz w:val="16"/>
              </w:rPr>
              <w:t>Marge</w:t>
            </w:r>
          </w:p>
        </w:tc>
        <w:tc>
          <w:tcPr>
            <w:tcW w:w="1366" w:type="dxa"/>
            <w:tcBorders>
              <w:top w:val="nil"/>
              <w:left w:val="nil"/>
              <w:bottom w:val="single" w:sz="4" w:space="0" w:color="auto"/>
              <w:right w:val="single" w:sz="4" w:space="0" w:color="auto"/>
            </w:tcBorders>
            <w:shd w:val="clear" w:color="auto" w:fill="auto"/>
            <w:vAlign w:val="bottom"/>
            <w:hideMark/>
          </w:tcPr>
          <w:p>
            <w:pPr>
              <w:jc w:val="right"/>
              <w:rPr>
                <w:i/>
                <w:iCs/>
                <w:noProof/>
                <w:color w:val="000000"/>
                <w:sz w:val="16"/>
                <w:szCs w:val="16"/>
              </w:rPr>
            </w:pPr>
            <w:r>
              <w:rPr>
                <w:i/>
                <w:noProof/>
                <w:color w:val="000000"/>
                <w:sz w:val="16"/>
              </w:rPr>
              <w:t xml:space="preserve"> 734 004 238</w:t>
            </w:r>
          </w:p>
        </w:tc>
        <w:tc>
          <w:tcPr>
            <w:tcW w:w="1327" w:type="dxa"/>
            <w:tcBorders>
              <w:top w:val="nil"/>
              <w:left w:val="nil"/>
              <w:bottom w:val="single" w:sz="4" w:space="0" w:color="auto"/>
              <w:right w:val="single" w:sz="4" w:space="0" w:color="auto"/>
            </w:tcBorders>
            <w:shd w:val="clear" w:color="auto" w:fill="auto"/>
            <w:vAlign w:val="bottom"/>
            <w:hideMark/>
          </w:tcPr>
          <w:p>
            <w:pPr>
              <w:jc w:val="right"/>
              <w:rPr>
                <w:i/>
                <w:iCs/>
                <w:noProof/>
                <w:color w:val="000000"/>
                <w:sz w:val="16"/>
                <w:szCs w:val="16"/>
              </w:rPr>
            </w:pPr>
            <w:r>
              <w:rPr>
                <w:i/>
                <w:noProof/>
                <w:color w:val="000000"/>
                <w:sz w:val="16"/>
              </w:rPr>
              <w:t> </w:t>
            </w:r>
          </w:p>
        </w:tc>
        <w:tc>
          <w:tcPr>
            <w:tcW w:w="1134" w:type="dxa"/>
            <w:tcBorders>
              <w:top w:val="nil"/>
              <w:left w:val="nil"/>
              <w:bottom w:val="single" w:sz="4" w:space="0" w:color="auto"/>
              <w:right w:val="single" w:sz="4" w:space="0" w:color="auto"/>
            </w:tcBorders>
            <w:shd w:val="clear" w:color="auto" w:fill="auto"/>
            <w:vAlign w:val="bottom"/>
            <w:hideMark/>
          </w:tcPr>
          <w:p>
            <w:pPr>
              <w:jc w:val="right"/>
              <w:rPr>
                <w:i/>
                <w:iCs/>
                <w:noProof/>
                <w:color w:val="000000"/>
                <w:sz w:val="16"/>
                <w:szCs w:val="16"/>
              </w:rPr>
            </w:pPr>
            <w:r>
              <w:rPr>
                <w:i/>
                <w:noProof/>
                <w:color w:val="000000"/>
                <w:sz w:val="16"/>
              </w:rPr>
              <w:t> </w:t>
            </w:r>
          </w:p>
        </w:tc>
        <w:tc>
          <w:tcPr>
            <w:tcW w:w="1134" w:type="dxa"/>
            <w:tcBorders>
              <w:top w:val="nil"/>
              <w:left w:val="nil"/>
              <w:bottom w:val="single" w:sz="4" w:space="0" w:color="auto"/>
              <w:right w:val="single" w:sz="4" w:space="0" w:color="auto"/>
            </w:tcBorders>
            <w:shd w:val="clear" w:color="auto" w:fill="auto"/>
            <w:vAlign w:val="bottom"/>
            <w:hideMark/>
          </w:tcPr>
          <w:p>
            <w:pPr>
              <w:jc w:val="right"/>
              <w:rPr>
                <w:i/>
                <w:iCs/>
                <w:noProof/>
                <w:color w:val="000000"/>
                <w:sz w:val="16"/>
                <w:szCs w:val="16"/>
              </w:rPr>
            </w:pPr>
            <w:r>
              <w:rPr>
                <w:i/>
                <w:noProof/>
                <w:color w:val="000000"/>
                <w:sz w:val="16"/>
              </w:rPr>
              <w:t> </w:t>
            </w:r>
          </w:p>
        </w:tc>
        <w:tc>
          <w:tcPr>
            <w:tcW w:w="1418" w:type="dxa"/>
            <w:tcBorders>
              <w:top w:val="nil"/>
              <w:left w:val="nil"/>
              <w:bottom w:val="single" w:sz="4" w:space="0" w:color="auto"/>
              <w:right w:val="single" w:sz="4" w:space="0" w:color="auto"/>
            </w:tcBorders>
            <w:shd w:val="clear" w:color="auto" w:fill="auto"/>
            <w:vAlign w:val="bottom"/>
            <w:hideMark/>
          </w:tcPr>
          <w:p>
            <w:pPr>
              <w:jc w:val="right"/>
              <w:rPr>
                <w:i/>
                <w:iCs/>
                <w:noProof/>
                <w:color w:val="000000"/>
                <w:sz w:val="16"/>
                <w:szCs w:val="16"/>
              </w:rPr>
            </w:pPr>
            <w:r>
              <w:rPr>
                <w:i/>
                <w:noProof/>
                <w:color w:val="000000"/>
                <w:sz w:val="16"/>
              </w:rPr>
              <w:t xml:space="preserve"> 734 004 238</w:t>
            </w:r>
          </w:p>
        </w:tc>
        <w:tc>
          <w:tcPr>
            <w:tcW w:w="1417" w:type="dxa"/>
            <w:tcBorders>
              <w:top w:val="nil"/>
              <w:left w:val="nil"/>
              <w:bottom w:val="single" w:sz="4" w:space="0" w:color="auto"/>
              <w:right w:val="single" w:sz="4" w:space="0" w:color="auto"/>
            </w:tcBorders>
            <w:shd w:val="clear" w:color="auto" w:fill="auto"/>
            <w:vAlign w:val="bottom"/>
            <w:hideMark/>
          </w:tcPr>
          <w:p>
            <w:pPr>
              <w:jc w:val="right"/>
              <w:rPr>
                <w:i/>
                <w:iCs/>
                <w:noProof/>
                <w:color w:val="000000"/>
                <w:sz w:val="16"/>
                <w:szCs w:val="16"/>
              </w:rPr>
            </w:pPr>
            <w:r>
              <w:rPr>
                <w:i/>
                <w:noProof/>
                <w:color w:val="000000"/>
                <w:sz w:val="16"/>
              </w:rPr>
              <w:t> </w:t>
            </w:r>
          </w:p>
        </w:tc>
      </w:tr>
      <w:tr>
        <w:trPr>
          <w:trHeight w:val="270"/>
        </w:trPr>
        <w:tc>
          <w:tcPr>
            <w:tcW w:w="376" w:type="dxa"/>
            <w:tcBorders>
              <w:top w:val="nil"/>
              <w:left w:val="single" w:sz="4" w:space="0" w:color="auto"/>
              <w:bottom w:val="dotted" w:sz="4" w:space="0" w:color="auto"/>
              <w:right w:val="nil"/>
            </w:tcBorders>
            <w:shd w:val="clear" w:color="auto" w:fill="auto"/>
            <w:vAlign w:val="bottom"/>
            <w:hideMark/>
          </w:tcPr>
          <w:p>
            <w:pPr>
              <w:rPr>
                <w:b/>
                <w:bCs/>
                <w:noProof/>
                <w:color w:val="000000"/>
                <w:sz w:val="16"/>
                <w:szCs w:val="16"/>
              </w:rPr>
            </w:pPr>
            <w:r>
              <w:rPr>
                <w:b/>
                <w:noProof/>
                <w:color w:val="000000"/>
                <w:sz w:val="16"/>
              </w:rPr>
              <w:t>3.</w:t>
            </w:r>
          </w:p>
        </w:tc>
        <w:tc>
          <w:tcPr>
            <w:tcW w:w="2616" w:type="dxa"/>
            <w:tcBorders>
              <w:top w:val="nil"/>
              <w:left w:val="nil"/>
              <w:bottom w:val="dotted" w:sz="4" w:space="0" w:color="auto"/>
              <w:right w:val="single" w:sz="4" w:space="0" w:color="auto"/>
            </w:tcBorders>
            <w:shd w:val="clear" w:color="auto" w:fill="auto"/>
            <w:vAlign w:val="bottom"/>
            <w:hideMark/>
          </w:tcPr>
          <w:p>
            <w:pPr>
              <w:rPr>
                <w:b/>
                <w:bCs/>
                <w:noProof/>
                <w:color w:val="000000"/>
                <w:sz w:val="16"/>
                <w:szCs w:val="16"/>
              </w:rPr>
            </w:pPr>
            <w:r>
              <w:rPr>
                <w:b/>
                <w:noProof/>
                <w:color w:val="000000"/>
                <w:sz w:val="16"/>
              </w:rPr>
              <w:t>Sécurité et citoyenneté</w:t>
            </w:r>
          </w:p>
        </w:tc>
        <w:tc>
          <w:tcPr>
            <w:tcW w:w="1366" w:type="dxa"/>
            <w:tcBorders>
              <w:top w:val="nil"/>
              <w:left w:val="nil"/>
              <w:bottom w:val="dotted" w:sz="4" w:space="0" w:color="auto"/>
              <w:right w:val="single" w:sz="4" w:space="0" w:color="auto"/>
            </w:tcBorders>
            <w:shd w:val="clear" w:color="auto" w:fill="auto"/>
            <w:vAlign w:val="bottom"/>
            <w:hideMark/>
          </w:tcPr>
          <w:p>
            <w:pPr>
              <w:jc w:val="right"/>
              <w:rPr>
                <w:b/>
                <w:bCs/>
                <w:noProof/>
                <w:color w:val="000000"/>
                <w:sz w:val="16"/>
                <w:szCs w:val="16"/>
              </w:rPr>
            </w:pPr>
            <w:r>
              <w:rPr>
                <w:b/>
                <w:noProof/>
                <w:color w:val="000000"/>
                <w:sz w:val="16"/>
              </w:rPr>
              <w:t>2 357 076 847</w:t>
            </w:r>
          </w:p>
        </w:tc>
        <w:tc>
          <w:tcPr>
            <w:tcW w:w="1327" w:type="dxa"/>
            <w:tcBorders>
              <w:top w:val="nil"/>
              <w:left w:val="nil"/>
              <w:bottom w:val="dotted" w:sz="4" w:space="0" w:color="auto"/>
              <w:right w:val="single" w:sz="4" w:space="0" w:color="auto"/>
            </w:tcBorders>
            <w:shd w:val="clear" w:color="auto" w:fill="auto"/>
            <w:vAlign w:val="bottom"/>
            <w:hideMark/>
          </w:tcPr>
          <w:p>
            <w:pPr>
              <w:jc w:val="right"/>
              <w:rPr>
                <w:b/>
                <w:bCs/>
                <w:noProof/>
                <w:color w:val="000000"/>
                <w:sz w:val="16"/>
                <w:szCs w:val="16"/>
              </w:rPr>
            </w:pPr>
            <w:r>
              <w:rPr>
                <w:b/>
                <w:noProof/>
                <w:color w:val="000000"/>
                <w:sz w:val="16"/>
              </w:rPr>
              <w:t>1 859 513 795</w:t>
            </w:r>
          </w:p>
        </w:tc>
        <w:tc>
          <w:tcPr>
            <w:tcW w:w="1134" w:type="dxa"/>
            <w:tcBorders>
              <w:top w:val="nil"/>
              <w:left w:val="nil"/>
              <w:bottom w:val="dotted" w:sz="4" w:space="0" w:color="auto"/>
              <w:right w:val="single" w:sz="4" w:space="0" w:color="auto"/>
            </w:tcBorders>
            <w:shd w:val="clear" w:color="auto" w:fill="auto"/>
            <w:vAlign w:val="bottom"/>
            <w:hideMark/>
          </w:tcPr>
          <w:p>
            <w:pPr>
              <w:jc w:val="right"/>
              <w:rPr>
                <w:b/>
                <w:bCs/>
                <w:noProof/>
                <w:color w:val="000000"/>
                <w:sz w:val="16"/>
                <w:szCs w:val="16"/>
              </w:rPr>
            </w:pPr>
            <w:r>
              <w:rPr>
                <w:b/>
                <w:noProof/>
                <w:color w:val="000000"/>
                <w:sz w:val="16"/>
              </w:rPr>
              <w:t xml:space="preserve"> 75 772 000</w:t>
            </w:r>
          </w:p>
        </w:tc>
        <w:tc>
          <w:tcPr>
            <w:tcW w:w="1134" w:type="dxa"/>
            <w:tcBorders>
              <w:top w:val="nil"/>
              <w:left w:val="nil"/>
              <w:bottom w:val="dotted" w:sz="4" w:space="0" w:color="auto"/>
              <w:right w:val="single" w:sz="4" w:space="0" w:color="auto"/>
            </w:tcBorders>
            <w:shd w:val="clear" w:color="auto" w:fill="auto"/>
            <w:vAlign w:val="bottom"/>
            <w:hideMark/>
          </w:tcPr>
          <w:p>
            <w:pPr>
              <w:jc w:val="right"/>
              <w:rPr>
                <w:b/>
                <w:bCs/>
                <w:noProof/>
                <w:color w:val="000000"/>
                <w:sz w:val="16"/>
                <w:szCs w:val="16"/>
              </w:rPr>
            </w:pPr>
            <w:r>
              <w:rPr>
                <w:b/>
                <w:noProof/>
                <w:color w:val="000000"/>
                <w:sz w:val="16"/>
              </w:rPr>
              <w:t xml:space="preserve"> 69 652 000</w:t>
            </w:r>
          </w:p>
        </w:tc>
        <w:tc>
          <w:tcPr>
            <w:tcW w:w="1418" w:type="dxa"/>
            <w:tcBorders>
              <w:top w:val="nil"/>
              <w:left w:val="nil"/>
              <w:bottom w:val="dotted" w:sz="4" w:space="0" w:color="auto"/>
              <w:right w:val="single" w:sz="4" w:space="0" w:color="auto"/>
            </w:tcBorders>
            <w:shd w:val="clear" w:color="auto" w:fill="auto"/>
            <w:vAlign w:val="bottom"/>
            <w:hideMark/>
          </w:tcPr>
          <w:p>
            <w:pPr>
              <w:jc w:val="right"/>
              <w:rPr>
                <w:b/>
                <w:bCs/>
                <w:noProof/>
                <w:color w:val="000000"/>
                <w:sz w:val="16"/>
                <w:szCs w:val="16"/>
              </w:rPr>
            </w:pPr>
            <w:r>
              <w:rPr>
                <w:b/>
                <w:noProof/>
                <w:color w:val="000000"/>
                <w:sz w:val="16"/>
              </w:rPr>
              <w:t>2 432 848 847</w:t>
            </w:r>
          </w:p>
        </w:tc>
        <w:tc>
          <w:tcPr>
            <w:tcW w:w="1417" w:type="dxa"/>
            <w:tcBorders>
              <w:top w:val="nil"/>
              <w:left w:val="nil"/>
              <w:bottom w:val="dotted" w:sz="4" w:space="0" w:color="auto"/>
              <w:right w:val="single" w:sz="4" w:space="0" w:color="auto"/>
            </w:tcBorders>
            <w:shd w:val="clear" w:color="auto" w:fill="auto"/>
            <w:vAlign w:val="bottom"/>
            <w:hideMark/>
          </w:tcPr>
          <w:p>
            <w:pPr>
              <w:jc w:val="right"/>
              <w:rPr>
                <w:b/>
                <w:bCs/>
                <w:noProof/>
                <w:color w:val="000000"/>
                <w:sz w:val="16"/>
                <w:szCs w:val="16"/>
              </w:rPr>
            </w:pPr>
            <w:r>
              <w:rPr>
                <w:b/>
                <w:noProof/>
                <w:color w:val="000000"/>
                <w:sz w:val="16"/>
              </w:rPr>
              <w:t>1 929 165 795</w:t>
            </w:r>
          </w:p>
        </w:tc>
      </w:tr>
      <w:tr>
        <w:trPr>
          <w:trHeight w:val="270"/>
        </w:trPr>
        <w:tc>
          <w:tcPr>
            <w:tcW w:w="2992" w:type="dxa"/>
            <w:gridSpan w:val="2"/>
            <w:tcBorders>
              <w:top w:val="dotted" w:sz="4" w:space="0" w:color="auto"/>
              <w:left w:val="single" w:sz="4" w:space="0" w:color="auto"/>
              <w:bottom w:val="dotted" w:sz="4" w:space="0" w:color="auto"/>
              <w:right w:val="single" w:sz="4" w:space="0" w:color="000000"/>
            </w:tcBorders>
            <w:shd w:val="clear" w:color="auto" w:fill="auto"/>
            <w:vAlign w:val="bottom"/>
            <w:hideMark/>
          </w:tcPr>
          <w:p>
            <w:pPr>
              <w:jc w:val="right"/>
              <w:rPr>
                <w:i/>
                <w:iCs/>
                <w:noProof/>
                <w:color w:val="000000"/>
                <w:sz w:val="16"/>
                <w:szCs w:val="16"/>
              </w:rPr>
            </w:pPr>
            <w:r>
              <w:rPr>
                <w:i/>
                <w:noProof/>
                <w:color w:val="000000"/>
                <w:sz w:val="16"/>
              </w:rPr>
              <w:t>Plafond</w:t>
            </w:r>
          </w:p>
        </w:tc>
        <w:tc>
          <w:tcPr>
            <w:tcW w:w="1366" w:type="dxa"/>
            <w:tcBorders>
              <w:top w:val="nil"/>
              <w:left w:val="nil"/>
              <w:bottom w:val="dotted" w:sz="4" w:space="0" w:color="auto"/>
              <w:right w:val="single" w:sz="4" w:space="0" w:color="auto"/>
            </w:tcBorders>
            <w:shd w:val="clear" w:color="auto" w:fill="auto"/>
            <w:vAlign w:val="bottom"/>
            <w:hideMark/>
          </w:tcPr>
          <w:p>
            <w:pPr>
              <w:jc w:val="right"/>
              <w:rPr>
                <w:i/>
                <w:iCs/>
                <w:noProof/>
                <w:color w:val="000000"/>
                <w:sz w:val="16"/>
                <w:szCs w:val="16"/>
              </w:rPr>
            </w:pPr>
            <w:r>
              <w:rPr>
                <w:i/>
                <w:noProof/>
                <w:color w:val="000000"/>
                <w:sz w:val="16"/>
              </w:rPr>
              <w:t>2 456 000 000</w:t>
            </w:r>
          </w:p>
        </w:tc>
        <w:tc>
          <w:tcPr>
            <w:tcW w:w="1327" w:type="dxa"/>
            <w:tcBorders>
              <w:top w:val="nil"/>
              <w:left w:val="nil"/>
              <w:bottom w:val="dotted" w:sz="4" w:space="0" w:color="auto"/>
              <w:right w:val="single" w:sz="4" w:space="0" w:color="auto"/>
            </w:tcBorders>
            <w:shd w:val="clear" w:color="auto" w:fill="auto"/>
            <w:vAlign w:val="bottom"/>
            <w:hideMark/>
          </w:tcPr>
          <w:p>
            <w:pPr>
              <w:jc w:val="right"/>
              <w:rPr>
                <w:i/>
                <w:iCs/>
                <w:noProof/>
                <w:color w:val="000000"/>
                <w:sz w:val="16"/>
                <w:szCs w:val="16"/>
              </w:rPr>
            </w:pPr>
            <w:r>
              <w:rPr>
                <w:i/>
                <w:noProof/>
                <w:color w:val="000000"/>
                <w:sz w:val="16"/>
              </w:rPr>
              <w:t> </w:t>
            </w:r>
          </w:p>
        </w:tc>
        <w:tc>
          <w:tcPr>
            <w:tcW w:w="1134" w:type="dxa"/>
            <w:tcBorders>
              <w:top w:val="nil"/>
              <w:left w:val="nil"/>
              <w:bottom w:val="dotted" w:sz="4" w:space="0" w:color="auto"/>
              <w:right w:val="single" w:sz="4" w:space="0" w:color="auto"/>
            </w:tcBorders>
            <w:shd w:val="clear" w:color="auto" w:fill="auto"/>
            <w:vAlign w:val="bottom"/>
            <w:hideMark/>
          </w:tcPr>
          <w:p>
            <w:pPr>
              <w:jc w:val="right"/>
              <w:rPr>
                <w:i/>
                <w:iCs/>
                <w:noProof/>
                <w:color w:val="000000"/>
                <w:sz w:val="16"/>
                <w:szCs w:val="16"/>
              </w:rPr>
            </w:pPr>
            <w:r>
              <w:rPr>
                <w:i/>
                <w:noProof/>
                <w:color w:val="000000"/>
                <w:sz w:val="16"/>
              </w:rPr>
              <w:t> </w:t>
            </w:r>
          </w:p>
        </w:tc>
        <w:tc>
          <w:tcPr>
            <w:tcW w:w="1134" w:type="dxa"/>
            <w:tcBorders>
              <w:top w:val="nil"/>
              <w:left w:val="nil"/>
              <w:bottom w:val="dotted" w:sz="4" w:space="0" w:color="auto"/>
              <w:right w:val="single" w:sz="4" w:space="0" w:color="auto"/>
            </w:tcBorders>
            <w:shd w:val="clear" w:color="auto" w:fill="auto"/>
            <w:vAlign w:val="bottom"/>
            <w:hideMark/>
          </w:tcPr>
          <w:p>
            <w:pPr>
              <w:jc w:val="right"/>
              <w:rPr>
                <w:i/>
                <w:iCs/>
                <w:noProof/>
                <w:color w:val="000000"/>
                <w:sz w:val="16"/>
                <w:szCs w:val="16"/>
              </w:rPr>
            </w:pPr>
            <w:r>
              <w:rPr>
                <w:i/>
                <w:noProof/>
                <w:color w:val="000000"/>
                <w:sz w:val="16"/>
              </w:rPr>
              <w:t> </w:t>
            </w:r>
          </w:p>
        </w:tc>
        <w:tc>
          <w:tcPr>
            <w:tcW w:w="1418" w:type="dxa"/>
            <w:tcBorders>
              <w:top w:val="nil"/>
              <w:left w:val="nil"/>
              <w:bottom w:val="dotted" w:sz="4" w:space="0" w:color="auto"/>
              <w:right w:val="single" w:sz="4" w:space="0" w:color="auto"/>
            </w:tcBorders>
            <w:shd w:val="clear" w:color="auto" w:fill="auto"/>
            <w:vAlign w:val="bottom"/>
            <w:hideMark/>
          </w:tcPr>
          <w:p>
            <w:pPr>
              <w:jc w:val="right"/>
              <w:rPr>
                <w:i/>
                <w:iCs/>
                <w:noProof/>
                <w:color w:val="000000"/>
                <w:sz w:val="16"/>
                <w:szCs w:val="16"/>
              </w:rPr>
            </w:pPr>
            <w:r>
              <w:rPr>
                <w:i/>
                <w:noProof/>
                <w:color w:val="000000"/>
                <w:sz w:val="16"/>
              </w:rPr>
              <w:t>2 456 000 000</w:t>
            </w:r>
          </w:p>
        </w:tc>
        <w:tc>
          <w:tcPr>
            <w:tcW w:w="1417" w:type="dxa"/>
            <w:tcBorders>
              <w:top w:val="nil"/>
              <w:left w:val="nil"/>
              <w:bottom w:val="dotted" w:sz="4" w:space="0" w:color="auto"/>
              <w:right w:val="single" w:sz="4" w:space="0" w:color="auto"/>
            </w:tcBorders>
            <w:shd w:val="clear" w:color="auto" w:fill="auto"/>
            <w:vAlign w:val="bottom"/>
            <w:hideMark/>
          </w:tcPr>
          <w:p>
            <w:pPr>
              <w:jc w:val="right"/>
              <w:rPr>
                <w:i/>
                <w:iCs/>
                <w:noProof/>
                <w:color w:val="000000"/>
                <w:sz w:val="16"/>
                <w:szCs w:val="16"/>
              </w:rPr>
            </w:pPr>
            <w:r>
              <w:rPr>
                <w:i/>
                <w:noProof/>
                <w:color w:val="000000"/>
                <w:sz w:val="16"/>
              </w:rPr>
              <w:t> </w:t>
            </w:r>
          </w:p>
        </w:tc>
      </w:tr>
      <w:tr>
        <w:trPr>
          <w:trHeight w:val="270"/>
        </w:trPr>
        <w:tc>
          <w:tcPr>
            <w:tcW w:w="2992" w:type="dxa"/>
            <w:gridSpan w:val="2"/>
            <w:tcBorders>
              <w:top w:val="dotted" w:sz="4" w:space="0" w:color="auto"/>
              <w:left w:val="single" w:sz="4" w:space="0" w:color="auto"/>
              <w:bottom w:val="dotted" w:sz="4" w:space="0" w:color="auto"/>
              <w:right w:val="single" w:sz="4" w:space="0" w:color="000000"/>
            </w:tcBorders>
            <w:shd w:val="clear" w:color="auto" w:fill="auto"/>
            <w:vAlign w:val="bottom"/>
            <w:hideMark/>
          </w:tcPr>
          <w:p>
            <w:pPr>
              <w:jc w:val="right"/>
              <w:rPr>
                <w:i/>
                <w:iCs/>
                <w:noProof/>
                <w:color w:val="000000"/>
                <w:sz w:val="16"/>
                <w:szCs w:val="16"/>
              </w:rPr>
            </w:pPr>
            <w:r>
              <w:rPr>
                <w:i/>
                <w:noProof/>
                <w:color w:val="000000"/>
                <w:sz w:val="16"/>
              </w:rPr>
              <w:t>Marge</w:t>
            </w:r>
          </w:p>
        </w:tc>
        <w:tc>
          <w:tcPr>
            <w:tcW w:w="1366" w:type="dxa"/>
            <w:tcBorders>
              <w:top w:val="nil"/>
              <w:left w:val="nil"/>
              <w:bottom w:val="single" w:sz="4" w:space="0" w:color="auto"/>
              <w:right w:val="single" w:sz="4" w:space="0" w:color="auto"/>
            </w:tcBorders>
            <w:shd w:val="clear" w:color="auto" w:fill="auto"/>
            <w:vAlign w:val="bottom"/>
            <w:hideMark/>
          </w:tcPr>
          <w:p>
            <w:pPr>
              <w:jc w:val="right"/>
              <w:rPr>
                <w:i/>
                <w:iCs/>
                <w:noProof/>
                <w:color w:val="000000"/>
                <w:sz w:val="16"/>
                <w:szCs w:val="16"/>
              </w:rPr>
            </w:pPr>
            <w:r>
              <w:rPr>
                <w:i/>
                <w:noProof/>
                <w:color w:val="000000"/>
                <w:sz w:val="16"/>
              </w:rPr>
              <w:t xml:space="preserve"> 98 923 153</w:t>
            </w:r>
          </w:p>
        </w:tc>
        <w:tc>
          <w:tcPr>
            <w:tcW w:w="1327" w:type="dxa"/>
            <w:tcBorders>
              <w:top w:val="nil"/>
              <w:left w:val="nil"/>
              <w:bottom w:val="single" w:sz="4" w:space="0" w:color="auto"/>
              <w:right w:val="single" w:sz="4" w:space="0" w:color="auto"/>
            </w:tcBorders>
            <w:shd w:val="clear" w:color="auto" w:fill="auto"/>
            <w:vAlign w:val="bottom"/>
            <w:hideMark/>
          </w:tcPr>
          <w:p>
            <w:pPr>
              <w:jc w:val="right"/>
              <w:rPr>
                <w:i/>
                <w:iCs/>
                <w:noProof/>
                <w:color w:val="000000"/>
                <w:sz w:val="16"/>
                <w:szCs w:val="16"/>
              </w:rPr>
            </w:pPr>
            <w:r>
              <w:rPr>
                <w:i/>
                <w:noProof/>
                <w:color w:val="000000"/>
                <w:sz w:val="16"/>
              </w:rPr>
              <w:t> </w:t>
            </w:r>
          </w:p>
        </w:tc>
        <w:tc>
          <w:tcPr>
            <w:tcW w:w="1134" w:type="dxa"/>
            <w:tcBorders>
              <w:top w:val="nil"/>
              <w:left w:val="nil"/>
              <w:bottom w:val="single" w:sz="4" w:space="0" w:color="auto"/>
              <w:right w:val="single" w:sz="4" w:space="0" w:color="auto"/>
            </w:tcBorders>
            <w:shd w:val="clear" w:color="auto" w:fill="auto"/>
            <w:vAlign w:val="bottom"/>
            <w:hideMark/>
          </w:tcPr>
          <w:p>
            <w:pPr>
              <w:jc w:val="right"/>
              <w:rPr>
                <w:i/>
                <w:iCs/>
                <w:noProof/>
                <w:color w:val="000000"/>
                <w:sz w:val="16"/>
                <w:szCs w:val="16"/>
              </w:rPr>
            </w:pPr>
            <w:r>
              <w:rPr>
                <w:i/>
                <w:noProof/>
                <w:color w:val="000000"/>
                <w:sz w:val="16"/>
              </w:rPr>
              <w:t> </w:t>
            </w:r>
          </w:p>
        </w:tc>
        <w:tc>
          <w:tcPr>
            <w:tcW w:w="1134" w:type="dxa"/>
            <w:tcBorders>
              <w:top w:val="nil"/>
              <w:left w:val="nil"/>
              <w:bottom w:val="single" w:sz="4" w:space="0" w:color="auto"/>
              <w:right w:val="single" w:sz="4" w:space="0" w:color="auto"/>
            </w:tcBorders>
            <w:shd w:val="clear" w:color="auto" w:fill="auto"/>
            <w:vAlign w:val="bottom"/>
            <w:hideMark/>
          </w:tcPr>
          <w:p>
            <w:pPr>
              <w:jc w:val="right"/>
              <w:rPr>
                <w:i/>
                <w:iCs/>
                <w:noProof/>
                <w:color w:val="000000"/>
                <w:sz w:val="16"/>
                <w:szCs w:val="16"/>
              </w:rPr>
            </w:pPr>
            <w:r>
              <w:rPr>
                <w:i/>
                <w:noProof/>
                <w:color w:val="000000"/>
                <w:sz w:val="16"/>
              </w:rPr>
              <w:t> </w:t>
            </w:r>
          </w:p>
        </w:tc>
        <w:tc>
          <w:tcPr>
            <w:tcW w:w="1418" w:type="dxa"/>
            <w:tcBorders>
              <w:top w:val="nil"/>
              <w:left w:val="nil"/>
              <w:bottom w:val="single" w:sz="4" w:space="0" w:color="auto"/>
              <w:right w:val="single" w:sz="4" w:space="0" w:color="auto"/>
            </w:tcBorders>
            <w:shd w:val="clear" w:color="auto" w:fill="auto"/>
            <w:vAlign w:val="bottom"/>
            <w:hideMark/>
          </w:tcPr>
          <w:p>
            <w:pPr>
              <w:jc w:val="right"/>
              <w:rPr>
                <w:i/>
                <w:iCs/>
                <w:noProof/>
                <w:color w:val="000000"/>
                <w:sz w:val="16"/>
                <w:szCs w:val="16"/>
              </w:rPr>
            </w:pPr>
            <w:r>
              <w:rPr>
                <w:i/>
                <w:noProof/>
                <w:color w:val="000000"/>
                <w:sz w:val="16"/>
              </w:rPr>
              <w:t xml:space="preserve"> 23 151 153</w:t>
            </w:r>
          </w:p>
        </w:tc>
        <w:tc>
          <w:tcPr>
            <w:tcW w:w="1417" w:type="dxa"/>
            <w:tcBorders>
              <w:top w:val="nil"/>
              <w:left w:val="nil"/>
              <w:bottom w:val="single" w:sz="4" w:space="0" w:color="auto"/>
              <w:right w:val="single" w:sz="4" w:space="0" w:color="auto"/>
            </w:tcBorders>
            <w:shd w:val="clear" w:color="auto" w:fill="auto"/>
            <w:vAlign w:val="bottom"/>
            <w:hideMark/>
          </w:tcPr>
          <w:p>
            <w:pPr>
              <w:jc w:val="right"/>
              <w:rPr>
                <w:i/>
                <w:iCs/>
                <w:noProof/>
                <w:color w:val="000000"/>
                <w:sz w:val="16"/>
                <w:szCs w:val="16"/>
              </w:rPr>
            </w:pPr>
            <w:r>
              <w:rPr>
                <w:i/>
                <w:noProof/>
                <w:color w:val="000000"/>
                <w:sz w:val="16"/>
              </w:rPr>
              <w:t> </w:t>
            </w:r>
          </w:p>
        </w:tc>
      </w:tr>
      <w:tr>
        <w:trPr>
          <w:trHeight w:val="270"/>
        </w:trPr>
        <w:tc>
          <w:tcPr>
            <w:tcW w:w="376" w:type="dxa"/>
            <w:tcBorders>
              <w:top w:val="nil"/>
              <w:left w:val="single" w:sz="4" w:space="0" w:color="auto"/>
              <w:bottom w:val="dotted" w:sz="4" w:space="0" w:color="auto"/>
              <w:right w:val="nil"/>
            </w:tcBorders>
            <w:shd w:val="clear" w:color="auto" w:fill="auto"/>
            <w:vAlign w:val="bottom"/>
            <w:hideMark/>
          </w:tcPr>
          <w:p>
            <w:pPr>
              <w:rPr>
                <w:b/>
                <w:bCs/>
                <w:noProof/>
                <w:color w:val="000000"/>
                <w:sz w:val="16"/>
                <w:szCs w:val="16"/>
              </w:rPr>
            </w:pPr>
            <w:r>
              <w:rPr>
                <w:b/>
                <w:noProof/>
                <w:color w:val="000000"/>
                <w:sz w:val="16"/>
              </w:rPr>
              <w:t>4.</w:t>
            </w:r>
          </w:p>
        </w:tc>
        <w:tc>
          <w:tcPr>
            <w:tcW w:w="2616" w:type="dxa"/>
            <w:tcBorders>
              <w:top w:val="nil"/>
              <w:left w:val="nil"/>
              <w:bottom w:val="dotted" w:sz="4" w:space="0" w:color="auto"/>
              <w:right w:val="single" w:sz="4" w:space="0" w:color="auto"/>
            </w:tcBorders>
            <w:shd w:val="clear" w:color="auto" w:fill="auto"/>
            <w:vAlign w:val="bottom"/>
            <w:hideMark/>
          </w:tcPr>
          <w:p>
            <w:pPr>
              <w:rPr>
                <w:b/>
                <w:bCs/>
                <w:noProof/>
                <w:color w:val="000000"/>
                <w:sz w:val="16"/>
                <w:szCs w:val="16"/>
              </w:rPr>
            </w:pPr>
            <w:r>
              <w:rPr>
                <w:b/>
                <w:noProof/>
                <w:color w:val="000000"/>
                <w:sz w:val="16"/>
              </w:rPr>
              <w:t>L'Europe dans le monde</w:t>
            </w:r>
          </w:p>
        </w:tc>
        <w:tc>
          <w:tcPr>
            <w:tcW w:w="1366" w:type="dxa"/>
            <w:tcBorders>
              <w:top w:val="nil"/>
              <w:left w:val="nil"/>
              <w:bottom w:val="dotted" w:sz="4" w:space="0" w:color="auto"/>
              <w:right w:val="single" w:sz="4" w:space="0" w:color="auto"/>
            </w:tcBorders>
            <w:shd w:val="clear" w:color="auto" w:fill="auto"/>
            <w:vAlign w:val="bottom"/>
            <w:hideMark/>
          </w:tcPr>
          <w:p>
            <w:pPr>
              <w:jc w:val="right"/>
              <w:rPr>
                <w:b/>
                <w:bCs/>
                <w:noProof/>
                <w:color w:val="000000"/>
                <w:sz w:val="16"/>
                <w:szCs w:val="16"/>
              </w:rPr>
            </w:pPr>
            <w:r>
              <w:rPr>
                <w:b/>
                <w:noProof/>
                <w:color w:val="000000"/>
                <w:sz w:val="16"/>
              </w:rPr>
              <w:t>8 410 899 029</w:t>
            </w:r>
          </w:p>
        </w:tc>
        <w:tc>
          <w:tcPr>
            <w:tcW w:w="1327" w:type="dxa"/>
            <w:tcBorders>
              <w:top w:val="nil"/>
              <w:left w:val="nil"/>
              <w:bottom w:val="dotted" w:sz="4" w:space="0" w:color="auto"/>
              <w:right w:val="single" w:sz="4" w:space="0" w:color="auto"/>
            </w:tcBorders>
            <w:shd w:val="clear" w:color="auto" w:fill="auto"/>
            <w:vAlign w:val="bottom"/>
            <w:hideMark/>
          </w:tcPr>
          <w:p>
            <w:pPr>
              <w:jc w:val="right"/>
              <w:rPr>
                <w:b/>
                <w:bCs/>
                <w:noProof/>
                <w:color w:val="000000"/>
                <w:sz w:val="16"/>
                <w:szCs w:val="16"/>
              </w:rPr>
            </w:pPr>
            <w:r>
              <w:rPr>
                <w:b/>
                <w:noProof/>
                <w:color w:val="000000"/>
                <w:sz w:val="16"/>
              </w:rPr>
              <w:t>7 422 489 907</w:t>
            </w:r>
          </w:p>
        </w:tc>
        <w:tc>
          <w:tcPr>
            <w:tcW w:w="1134" w:type="dxa"/>
            <w:tcBorders>
              <w:top w:val="nil"/>
              <w:left w:val="nil"/>
              <w:bottom w:val="dotted" w:sz="4" w:space="0" w:color="auto"/>
              <w:right w:val="single" w:sz="4" w:space="0" w:color="auto"/>
            </w:tcBorders>
            <w:shd w:val="clear" w:color="auto" w:fill="auto"/>
            <w:vAlign w:val="bottom"/>
            <w:hideMark/>
          </w:tcPr>
          <w:p>
            <w:pPr>
              <w:jc w:val="right"/>
              <w:rPr>
                <w:b/>
                <w:bCs/>
                <w:noProof/>
                <w:color w:val="000000"/>
                <w:sz w:val="16"/>
                <w:szCs w:val="16"/>
              </w:rPr>
            </w:pPr>
            <w:r>
              <w:rPr>
                <w:b/>
                <w:noProof/>
                <w:color w:val="000000"/>
                <w:sz w:val="16"/>
              </w:rPr>
              <w:t> </w:t>
            </w:r>
          </w:p>
        </w:tc>
        <w:tc>
          <w:tcPr>
            <w:tcW w:w="1134" w:type="dxa"/>
            <w:tcBorders>
              <w:top w:val="nil"/>
              <w:left w:val="nil"/>
              <w:bottom w:val="dotted" w:sz="4" w:space="0" w:color="auto"/>
              <w:right w:val="single" w:sz="4" w:space="0" w:color="auto"/>
            </w:tcBorders>
            <w:shd w:val="clear" w:color="auto" w:fill="auto"/>
            <w:vAlign w:val="bottom"/>
            <w:hideMark/>
          </w:tcPr>
          <w:p>
            <w:pPr>
              <w:jc w:val="right"/>
              <w:rPr>
                <w:b/>
                <w:bCs/>
                <w:noProof/>
                <w:color w:val="000000"/>
                <w:sz w:val="16"/>
                <w:szCs w:val="16"/>
              </w:rPr>
            </w:pPr>
            <w:r>
              <w:rPr>
                <w:b/>
                <w:noProof/>
                <w:color w:val="000000"/>
                <w:sz w:val="16"/>
              </w:rPr>
              <w:t> </w:t>
            </w:r>
          </w:p>
        </w:tc>
        <w:tc>
          <w:tcPr>
            <w:tcW w:w="1418" w:type="dxa"/>
            <w:tcBorders>
              <w:top w:val="nil"/>
              <w:left w:val="nil"/>
              <w:bottom w:val="dotted" w:sz="4" w:space="0" w:color="auto"/>
              <w:right w:val="single" w:sz="4" w:space="0" w:color="auto"/>
            </w:tcBorders>
            <w:shd w:val="clear" w:color="auto" w:fill="auto"/>
            <w:vAlign w:val="bottom"/>
            <w:hideMark/>
          </w:tcPr>
          <w:p>
            <w:pPr>
              <w:jc w:val="right"/>
              <w:rPr>
                <w:b/>
                <w:bCs/>
                <w:noProof/>
                <w:color w:val="000000"/>
                <w:sz w:val="16"/>
                <w:szCs w:val="16"/>
              </w:rPr>
            </w:pPr>
            <w:r>
              <w:rPr>
                <w:b/>
                <w:noProof/>
                <w:color w:val="000000"/>
                <w:sz w:val="16"/>
              </w:rPr>
              <w:t>8 410 899 029</w:t>
            </w:r>
          </w:p>
        </w:tc>
        <w:tc>
          <w:tcPr>
            <w:tcW w:w="1417" w:type="dxa"/>
            <w:tcBorders>
              <w:top w:val="nil"/>
              <w:left w:val="nil"/>
              <w:bottom w:val="dotted" w:sz="4" w:space="0" w:color="auto"/>
              <w:right w:val="single" w:sz="4" w:space="0" w:color="auto"/>
            </w:tcBorders>
            <w:shd w:val="clear" w:color="auto" w:fill="auto"/>
            <w:vAlign w:val="bottom"/>
            <w:hideMark/>
          </w:tcPr>
          <w:p>
            <w:pPr>
              <w:jc w:val="right"/>
              <w:rPr>
                <w:b/>
                <w:bCs/>
                <w:noProof/>
                <w:color w:val="000000"/>
                <w:sz w:val="16"/>
                <w:szCs w:val="16"/>
              </w:rPr>
            </w:pPr>
            <w:r>
              <w:rPr>
                <w:b/>
                <w:noProof/>
                <w:color w:val="000000"/>
                <w:sz w:val="16"/>
              </w:rPr>
              <w:t>7 422 489 907</w:t>
            </w:r>
          </w:p>
        </w:tc>
      </w:tr>
      <w:tr>
        <w:trPr>
          <w:trHeight w:val="270"/>
        </w:trPr>
        <w:tc>
          <w:tcPr>
            <w:tcW w:w="2992" w:type="dxa"/>
            <w:gridSpan w:val="2"/>
            <w:tcBorders>
              <w:top w:val="dotted" w:sz="4" w:space="0" w:color="auto"/>
              <w:left w:val="single" w:sz="4" w:space="0" w:color="auto"/>
              <w:bottom w:val="dotted" w:sz="4" w:space="0" w:color="auto"/>
              <w:right w:val="single" w:sz="4" w:space="0" w:color="000000"/>
            </w:tcBorders>
            <w:shd w:val="clear" w:color="auto" w:fill="auto"/>
            <w:vAlign w:val="bottom"/>
            <w:hideMark/>
          </w:tcPr>
          <w:p>
            <w:pPr>
              <w:jc w:val="right"/>
              <w:rPr>
                <w:i/>
                <w:iCs/>
                <w:noProof/>
                <w:color w:val="000000"/>
                <w:sz w:val="16"/>
                <w:szCs w:val="16"/>
              </w:rPr>
            </w:pPr>
            <w:r>
              <w:rPr>
                <w:i/>
                <w:noProof/>
                <w:color w:val="000000"/>
                <w:sz w:val="16"/>
              </w:rPr>
              <w:t>Plafond</w:t>
            </w:r>
          </w:p>
        </w:tc>
        <w:tc>
          <w:tcPr>
            <w:tcW w:w="1366" w:type="dxa"/>
            <w:tcBorders>
              <w:top w:val="nil"/>
              <w:left w:val="nil"/>
              <w:bottom w:val="dotted" w:sz="4" w:space="0" w:color="auto"/>
              <w:right w:val="single" w:sz="4" w:space="0" w:color="auto"/>
            </w:tcBorders>
            <w:shd w:val="clear" w:color="auto" w:fill="auto"/>
            <w:vAlign w:val="bottom"/>
            <w:hideMark/>
          </w:tcPr>
          <w:p>
            <w:pPr>
              <w:jc w:val="right"/>
              <w:rPr>
                <w:noProof/>
                <w:color w:val="000000"/>
                <w:sz w:val="16"/>
                <w:szCs w:val="16"/>
              </w:rPr>
            </w:pPr>
            <w:r>
              <w:rPr>
                <w:noProof/>
                <w:color w:val="000000"/>
                <w:sz w:val="16"/>
              </w:rPr>
              <w:t>8 749 000 000</w:t>
            </w:r>
          </w:p>
        </w:tc>
        <w:tc>
          <w:tcPr>
            <w:tcW w:w="1327" w:type="dxa"/>
            <w:tcBorders>
              <w:top w:val="nil"/>
              <w:left w:val="nil"/>
              <w:bottom w:val="dotted" w:sz="4" w:space="0" w:color="auto"/>
              <w:right w:val="single" w:sz="4" w:space="0" w:color="auto"/>
            </w:tcBorders>
            <w:shd w:val="clear" w:color="auto" w:fill="auto"/>
            <w:vAlign w:val="bottom"/>
            <w:hideMark/>
          </w:tcPr>
          <w:p>
            <w:pPr>
              <w:jc w:val="right"/>
              <w:rPr>
                <w:noProof/>
                <w:color w:val="000000"/>
                <w:sz w:val="16"/>
                <w:szCs w:val="16"/>
              </w:rPr>
            </w:pPr>
            <w:r>
              <w:rPr>
                <w:noProof/>
                <w:color w:val="000000"/>
                <w:sz w:val="16"/>
              </w:rPr>
              <w:t> </w:t>
            </w:r>
          </w:p>
        </w:tc>
        <w:tc>
          <w:tcPr>
            <w:tcW w:w="1134" w:type="dxa"/>
            <w:tcBorders>
              <w:top w:val="nil"/>
              <w:left w:val="nil"/>
              <w:bottom w:val="dotted" w:sz="4" w:space="0" w:color="auto"/>
              <w:right w:val="single" w:sz="4" w:space="0" w:color="auto"/>
            </w:tcBorders>
            <w:shd w:val="clear" w:color="auto" w:fill="auto"/>
            <w:vAlign w:val="bottom"/>
            <w:hideMark/>
          </w:tcPr>
          <w:p>
            <w:pPr>
              <w:jc w:val="right"/>
              <w:rPr>
                <w:noProof/>
                <w:color w:val="000000"/>
                <w:sz w:val="16"/>
                <w:szCs w:val="16"/>
              </w:rPr>
            </w:pPr>
            <w:r>
              <w:rPr>
                <w:noProof/>
                <w:color w:val="000000"/>
                <w:sz w:val="16"/>
              </w:rPr>
              <w:t> </w:t>
            </w:r>
          </w:p>
        </w:tc>
        <w:tc>
          <w:tcPr>
            <w:tcW w:w="1134" w:type="dxa"/>
            <w:tcBorders>
              <w:top w:val="nil"/>
              <w:left w:val="nil"/>
              <w:bottom w:val="dotted" w:sz="4" w:space="0" w:color="auto"/>
              <w:right w:val="single" w:sz="4" w:space="0" w:color="auto"/>
            </w:tcBorders>
            <w:shd w:val="clear" w:color="auto" w:fill="auto"/>
            <w:vAlign w:val="bottom"/>
            <w:hideMark/>
          </w:tcPr>
          <w:p>
            <w:pPr>
              <w:jc w:val="right"/>
              <w:rPr>
                <w:noProof/>
                <w:color w:val="000000"/>
                <w:sz w:val="16"/>
                <w:szCs w:val="16"/>
              </w:rPr>
            </w:pPr>
            <w:r>
              <w:rPr>
                <w:noProof/>
                <w:color w:val="000000"/>
                <w:sz w:val="16"/>
              </w:rPr>
              <w:t> </w:t>
            </w:r>
          </w:p>
        </w:tc>
        <w:tc>
          <w:tcPr>
            <w:tcW w:w="1418" w:type="dxa"/>
            <w:tcBorders>
              <w:top w:val="nil"/>
              <w:left w:val="nil"/>
              <w:bottom w:val="dotted" w:sz="4" w:space="0" w:color="auto"/>
              <w:right w:val="single" w:sz="4" w:space="0" w:color="auto"/>
            </w:tcBorders>
            <w:shd w:val="clear" w:color="auto" w:fill="auto"/>
            <w:vAlign w:val="bottom"/>
            <w:hideMark/>
          </w:tcPr>
          <w:p>
            <w:pPr>
              <w:jc w:val="right"/>
              <w:rPr>
                <w:noProof/>
                <w:color w:val="000000"/>
                <w:sz w:val="16"/>
                <w:szCs w:val="16"/>
              </w:rPr>
            </w:pPr>
            <w:r>
              <w:rPr>
                <w:noProof/>
                <w:color w:val="000000"/>
                <w:sz w:val="16"/>
              </w:rPr>
              <w:t>8 749 000 000</w:t>
            </w:r>
          </w:p>
        </w:tc>
        <w:tc>
          <w:tcPr>
            <w:tcW w:w="1417" w:type="dxa"/>
            <w:tcBorders>
              <w:top w:val="nil"/>
              <w:left w:val="nil"/>
              <w:bottom w:val="dotted" w:sz="4" w:space="0" w:color="auto"/>
              <w:right w:val="single" w:sz="4" w:space="0" w:color="auto"/>
            </w:tcBorders>
            <w:shd w:val="clear" w:color="auto" w:fill="auto"/>
            <w:vAlign w:val="bottom"/>
            <w:hideMark/>
          </w:tcPr>
          <w:p>
            <w:pPr>
              <w:jc w:val="right"/>
              <w:rPr>
                <w:noProof/>
                <w:color w:val="000000"/>
                <w:sz w:val="16"/>
                <w:szCs w:val="16"/>
              </w:rPr>
            </w:pPr>
            <w:r>
              <w:rPr>
                <w:noProof/>
                <w:color w:val="000000"/>
                <w:sz w:val="16"/>
              </w:rPr>
              <w:t> </w:t>
            </w:r>
          </w:p>
        </w:tc>
      </w:tr>
      <w:tr>
        <w:trPr>
          <w:trHeight w:val="270"/>
        </w:trPr>
        <w:tc>
          <w:tcPr>
            <w:tcW w:w="2992" w:type="dxa"/>
            <w:gridSpan w:val="2"/>
            <w:tcBorders>
              <w:top w:val="dotted" w:sz="4" w:space="0" w:color="auto"/>
              <w:left w:val="single" w:sz="4" w:space="0" w:color="auto"/>
              <w:bottom w:val="dotted" w:sz="4" w:space="0" w:color="auto"/>
              <w:right w:val="single" w:sz="4" w:space="0" w:color="000000"/>
            </w:tcBorders>
            <w:shd w:val="clear" w:color="auto" w:fill="auto"/>
            <w:vAlign w:val="bottom"/>
            <w:hideMark/>
          </w:tcPr>
          <w:p>
            <w:pPr>
              <w:jc w:val="right"/>
              <w:rPr>
                <w:i/>
                <w:iCs/>
                <w:noProof/>
                <w:color w:val="000000"/>
                <w:sz w:val="16"/>
                <w:szCs w:val="16"/>
              </w:rPr>
            </w:pPr>
            <w:r>
              <w:rPr>
                <w:i/>
                <w:noProof/>
                <w:color w:val="000000"/>
                <w:sz w:val="16"/>
              </w:rPr>
              <w:t>Marge</w:t>
            </w:r>
          </w:p>
        </w:tc>
        <w:tc>
          <w:tcPr>
            <w:tcW w:w="1366" w:type="dxa"/>
            <w:tcBorders>
              <w:top w:val="nil"/>
              <w:left w:val="nil"/>
              <w:bottom w:val="single" w:sz="4" w:space="0" w:color="auto"/>
              <w:right w:val="single" w:sz="4" w:space="0" w:color="auto"/>
            </w:tcBorders>
            <w:shd w:val="clear" w:color="auto" w:fill="auto"/>
            <w:vAlign w:val="bottom"/>
            <w:hideMark/>
          </w:tcPr>
          <w:p>
            <w:pPr>
              <w:jc w:val="right"/>
              <w:rPr>
                <w:i/>
                <w:iCs/>
                <w:noProof/>
                <w:color w:val="000000"/>
                <w:sz w:val="16"/>
                <w:szCs w:val="16"/>
              </w:rPr>
            </w:pPr>
            <w:r>
              <w:rPr>
                <w:i/>
                <w:noProof/>
                <w:color w:val="000000"/>
                <w:sz w:val="16"/>
              </w:rPr>
              <w:t xml:space="preserve"> 338 100 971</w:t>
            </w:r>
          </w:p>
        </w:tc>
        <w:tc>
          <w:tcPr>
            <w:tcW w:w="1327" w:type="dxa"/>
            <w:tcBorders>
              <w:top w:val="nil"/>
              <w:left w:val="nil"/>
              <w:bottom w:val="single" w:sz="4" w:space="0" w:color="auto"/>
              <w:right w:val="single" w:sz="4" w:space="0" w:color="auto"/>
            </w:tcBorders>
            <w:shd w:val="clear" w:color="auto" w:fill="auto"/>
            <w:vAlign w:val="bottom"/>
            <w:hideMark/>
          </w:tcPr>
          <w:p>
            <w:pPr>
              <w:jc w:val="right"/>
              <w:rPr>
                <w:i/>
                <w:iCs/>
                <w:noProof/>
                <w:color w:val="000000"/>
                <w:sz w:val="16"/>
                <w:szCs w:val="16"/>
              </w:rPr>
            </w:pPr>
            <w:r>
              <w:rPr>
                <w:i/>
                <w:noProof/>
                <w:color w:val="000000"/>
                <w:sz w:val="16"/>
              </w:rPr>
              <w:t> </w:t>
            </w:r>
          </w:p>
        </w:tc>
        <w:tc>
          <w:tcPr>
            <w:tcW w:w="1134" w:type="dxa"/>
            <w:tcBorders>
              <w:top w:val="nil"/>
              <w:left w:val="nil"/>
              <w:bottom w:val="single" w:sz="4" w:space="0" w:color="auto"/>
              <w:right w:val="single" w:sz="4" w:space="0" w:color="auto"/>
            </w:tcBorders>
            <w:shd w:val="clear" w:color="auto" w:fill="auto"/>
            <w:vAlign w:val="bottom"/>
            <w:hideMark/>
          </w:tcPr>
          <w:p>
            <w:pPr>
              <w:jc w:val="right"/>
              <w:rPr>
                <w:i/>
                <w:iCs/>
                <w:noProof/>
                <w:color w:val="000000"/>
                <w:sz w:val="16"/>
                <w:szCs w:val="16"/>
              </w:rPr>
            </w:pPr>
            <w:r>
              <w:rPr>
                <w:i/>
                <w:noProof/>
                <w:color w:val="000000"/>
                <w:sz w:val="16"/>
              </w:rPr>
              <w:t> </w:t>
            </w:r>
          </w:p>
        </w:tc>
        <w:tc>
          <w:tcPr>
            <w:tcW w:w="1134" w:type="dxa"/>
            <w:tcBorders>
              <w:top w:val="nil"/>
              <w:left w:val="nil"/>
              <w:bottom w:val="single" w:sz="4" w:space="0" w:color="auto"/>
              <w:right w:val="single" w:sz="4" w:space="0" w:color="auto"/>
            </w:tcBorders>
            <w:shd w:val="clear" w:color="auto" w:fill="auto"/>
            <w:vAlign w:val="bottom"/>
            <w:hideMark/>
          </w:tcPr>
          <w:p>
            <w:pPr>
              <w:jc w:val="right"/>
              <w:rPr>
                <w:i/>
                <w:iCs/>
                <w:noProof/>
                <w:color w:val="000000"/>
                <w:sz w:val="16"/>
                <w:szCs w:val="16"/>
              </w:rPr>
            </w:pPr>
            <w:r>
              <w:rPr>
                <w:i/>
                <w:noProof/>
                <w:color w:val="000000"/>
                <w:sz w:val="16"/>
              </w:rPr>
              <w:t> </w:t>
            </w:r>
          </w:p>
        </w:tc>
        <w:tc>
          <w:tcPr>
            <w:tcW w:w="1418" w:type="dxa"/>
            <w:tcBorders>
              <w:top w:val="nil"/>
              <w:left w:val="nil"/>
              <w:bottom w:val="single" w:sz="4" w:space="0" w:color="auto"/>
              <w:right w:val="single" w:sz="4" w:space="0" w:color="auto"/>
            </w:tcBorders>
            <w:shd w:val="clear" w:color="auto" w:fill="auto"/>
            <w:vAlign w:val="bottom"/>
            <w:hideMark/>
          </w:tcPr>
          <w:p>
            <w:pPr>
              <w:jc w:val="right"/>
              <w:rPr>
                <w:i/>
                <w:iCs/>
                <w:noProof/>
                <w:color w:val="000000"/>
                <w:sz w:val="16"/>
                <w:szCs w:val="16"/>
              </w:rPr>
            </w:pPr>
            <w:r>
              <w:rPr>
                <w:i/>
                <w:noProof/>
                <w:color w:val="000000"/>
                <w:sz w:val="16"/>
              </w:rPr>
              <w:t xml:space="preserve"> 338 100 971</w:t>
            </w:r>
          </w:p>
        </w:tc>
        <w:tc>
          <w:tcPr>
            <w:tcW w:w="1417" w:type="dxa"/>
            <w:tcBorders>
              <w:top w:val="nil"/>
              <w:left w:val="nil"/>
              <w:bottom w:val="single" w:sz="4" w:space="0" w:color="auto"/>
              <w:right w:val="single" w:sz="4" w:space="0" w:color="auto"/>
            </w:tcBorders>
            <w:shd w:val="clear" w:color="auto" w:fill="auto"/>
            <w:vAlign w:val="bottom"/>
            <w:hideMark/>
          </w:tcPr>
          <w:p>
            <w:pPr>
              <w:jc w:val="right"/>
              <w:rPr>
                <w:i/>
                <w:iCs/>
                <w:noProof/>
                <w:color w:val="000000"/>
                <w:sz w:val="16"/>
                <w:szCs w:val="16"/>
              </w:rPr>
            </w:pPr>
            <w:r>
              <w:rPr>
                <w:i/>
                <w:noProof/>
                <w:color w:val="000000"/>
                <w:sz w:val="16"/>
              </w:rPr>
              <w:t> </w:t>
            </w:r>
          </w:p>
        </w:tc>
      </w:tr>
      <w:tr>
        <w:trPr>
          <w:trHeight w:val="270"/>
        </w:trPr>
        <w:tc>
          <w:tcPr>
            <w:tcW w:w="376" w:type="dxa"/>
            <w:tcBorders>
              <w:top w:val="nil"/>
              <w:left w:val="single" w:sz="4" w:space="0" w:color="auto"/>
              <w:bottom w:val="dotted" w:sz="4" w:space="0" w:color="auto"/>
              <w:right w:val="nil"/>
            </w:tcBorders>
            <w:shd w:val="clear" w:color="auto" w:fill="auto"/>
            <w:vAlign w:val="bottom"/>
            <w:hideMark/>
          </w:tcPr>
          <w:p>
            <w:pPr>
              <w:rPr>
                <w:b/>
                <w:bCs/>
                <w:noProof/>
                <w:color w:val="000000"/>
                <w:sz w:val="16"/>
                <w:szCs w:val="16"/>
              </w:rPr>
            </w:pPr>
            <w:r>
              <w:rPr>
                <w:b/>
                <w:noProof/>
                <w:color w:val="000000"/>
                <w:sz w:val="16"/>
              </w:rPr>
              <w:t>5.</w:t>
            </w:r>
          </w:p>
        </w:tc>
        <w:tc>
          <w:tcPr>
            <w:tcW w:w="2616" w:type="dxa"/>
            <w:tcBorders>
              <w:top w:val="nil"/>
              <w:left w:val="nil"/>
              <w:bottom w:val="dotted" w:sz="4" w:space="0" w:color="auto"/>
              <w:right w:val="single" w:sz="4" w:space="0" w:color="auto"/>
            </w:tcBorders>
            <w:shd w:val="clear" w:color="auto" w:fill="auto"/>
            <w:vAlign w:val="bottom"/>
            <w:hideMark/>
          </w:tcPr>
          <w:p>
            <w:pPr>
              <w:rPr>
                <w:b/>
                <w:bCs/>
                <w:noProof/>
                <w:color w:val="000000"/>
                <w:sz w:val="16"/>
                <w:szCs w:val="16"/>
              </w:rPr>
            </w:pPr>
            <w:r>
              <w:rPr>
                <w:b/>
                <w:noProof/>
                <w:color w:val="000000"/>
                <w:sz w:val="16"/>
              </w:rPr>
              <w:t>Administration</w:t>
            </w:r>
          </w:p>
        </w:tc>
        <w:tc>
          <w:tcPr>
            <w:tcW w:w="1366" w:type="dxa"/>
            <w:tcBorders>
              <w:top w:val="nil"/>
              <w:left w:val="nil"/>
              <w:bottom w:val="dotted" w:sz="4" w:space="0" w:color="auto"/>
              <w:right w:val="single" w:sz="4" w:space="0" w:color="auto"/>
            </w:tcBorders>
            <w:shd w:val="clear" w:color="auto" w:fill="auto"/>
            <w:vAlign w:val="bottom"/>
            <w:hideMark/>
          </w:tcPr>
          <w:p>
            <w:pPr>
              <w:jc w:val="right"/>
              <w:rPr>
                <w:b/>
                <w:bCs/>
                <w:noProof/>
                <w:color w:val="000000"/>
                <w:sz w:val="16"/>
                <w:szCs w:val="16"/>
              </w:rPr>
            </w:pPr>
            <w:r>
              <w:rPr>
                <w:b/>
                <w:noProof/>
                <w:color w:val="000000"/>
                <w:sz w:val="16"/>
              </w:rPr>
              <w:t>8 660 469 063</w:t>
            </w:r>
          </w:p>
        </w:tc>
        <w:tc>
          <w:tcPr>
            <w:tcW w:w="1327" w:type="dxa"/>
            <w:tcBorders>
              <w:top w:val="nil"/>
              <w:left w:val="nil"/>
              <w:bottom w:val="dotted" w:sz="4" w:space="0" w:color="auto"/>
              <w:right w:val="single" w:sz="4" w:space="0" w:color="auto"/>
            </w:tcBorders>
            <w:shd w:val="clear" w:color="auto" w:fill="auto"/>
            <w:vAlign w:val="bottom"/>
            <w:hideMark/>
          </w:tcPr>
          <w:p>
            <w:pPr>
              <w:jc w:val="right"/>
              <w:rPr>
                <w:b/>
                <w:bCs/>
                <w:noProof/>
                <w:color w:val="000000"/>
                <w:sz w:val="16"/>
                <w:szCs w:val="16"/>
              </w:rPr>
            </w:pPr>
            <w:r>
              <w:rPr>
                <w:b/>
                <w:noProof/>
                <w:color w:val="000000"/>
                <w:sz w:val="16"/>
              </w:rPr>
              <w:t>8 658 756 179</w:t>
            </w:r>
          </w:p>
        </w:tc>
        <w:tc>
          <w:tcPr>
            <w:tcW w:w="1134" w:type="dxa"/>
            <w:tcBorders>
              <w:top w:val="nil"/>
              <w:left w:val="nil"/>
              <w:bottom w:val="dotted" w:sz="4" w:space="0" w:color="auto"/>
              <w:right w:val="single" w:sz="4" w:space="0" w:color="auto"/>
            </w:tcBorders>
            <w:shd w:val="clear" w:color="auto" w:fill="auto"/>
            <w:vAlign w:val="bottom"/>
            <w:hideMark/>
          </w:tcPr>
          <w:p>
            <w:pPr>
              <w:jc w:val="right"/>
              <w:rPr>
                <w:b/>
                <w:bCs/>
                <w:noProof/>
                <w:color w:val="000000"/>
                <w:sz w:val="16"/>
                <w:szCs w:val="16"/>
              </w:rPr>
            </w:pPr>
            <w:r>
              <w:rPr>
                <w:b/>
                <w:noProof/>
                <w:color w:val="000000"/>
                <w:sz w:val="16"/>
              </w:rPr>
              <w:t> </w:t>
            </w:r>
          </w:p>
        </w:tc>
        <w:tc>
          <w:tcPr>
            <w:tcW w:w="1134" w:type="dxa"/>
            <w:tcBorders>
              <w:top w:val="nil"/>
              <w:left w:val="nil"/>
              <w:bottom w:val="dotted" w:sz="4" w:space="0" w:color="auto"/>
              <w:right w:val="single" w:sz="4" w:space="0" w:color="auto"/>
            </w:tcBorders>
            <w:shd w:val="clear" w:color="auto" w:fill="auto"/>
            <w:vAlign w:val="bottom"/>
            <w:hideMark/>
          </w:tcPr>
          <w:p>
            <w:pPr>
              <w:jc w:val="right"/>
              <w:rPr>
                <w:b/>
                <w:bCs/>
                <w:noProof/>
                <w:color w:val="000000"/>
                <w:sz w:val="16"/>
                <w:szCs w:val="16"/>
              </w:rPr>
            </w:pPr>
            <w:r>
              <w:rPr>
                <w:b/>
                <w:noProof/>
                <w:color w:val="000000"/>
                <w:sz w:val="16"/>
              </w:rPr>
              <w:t> </w:t>
            </w:r>
          </w:p>
        </w:tc>
        <w:tc>
          <w:tcPr>
            <w:tcW w:w="1418" w:type="dxa"/>
            <w:tcBorders>
              <w:top w:val="nil"/>
              <w:left w:val="nil"/>
              <w:bottom w:val="dotted" w:sz="4" w:space="0" w:color="auto"/>
              <w:right w:val="single" w:sz="4" w:space="0" w:color="auto"/>
            </w:tcBorders>
            <w:shd w:val="clear" w:color="auto" w:fill="auto"/>
            <w:vAlign w:val="bottom"/>
            <w:hideMark/>
          </w:tcPr>
          <w:p>
            <w:pPr>
              <w:jc w:val="right"/>
              <w:rPr>
                <w:b/>
                <w:bCs/>
                <w:noProof/>
                <w:color w:val="000000"/>
                <w:sz w:val="16"/>
                <w:szCs w:val="16"/>
              </w:rPr>
            </w:pPr>
            <w:r>
              <w:rPr>
                <w:b/>
                <w:noProof/>
                <w:color w:val="000000"/>
                <w:sz w:val="16"/>
              </w:rPr>
              <w:t>8 660 469 063</w:t>
            </w:r>
          </w:p>
        </w:tc>
        <w:tc>
          <w:tcPr>
            <w:tcW w:w="1417" w:type="dxa"/>
            <w:tcBorders>
              <w:top w:val="nil"/>
              <w:left w:val="nil"/>
              <w:bottom w:val="dotted" w:sz="4" w:space="0" w:color="auto"/>
              <w:right w:val="single" w:sz="4" w:space="0" w:color="auto"/>
            </w:tcBorders>
            <w:shd w:val="clear" w:color="auto" w:fill="auto"/>
            <w:vAlign w:val="bottom"/>
            <w:hideMark/>
          </w:tcPr>
          <w:p>
            <w:pPr>
              <w:jc w:val="right"/>
              <w:rPr>
                <w:b/>
                <w:bCs/>
                <w:noProof/>
                <w:color w:val="000000"/>
                <w:sz w:val="16"/>
                <w:szCs w:val="16"/>
              </w:rPr>
            </w:pPr>
            <w:r>
              <w:rPr>
                <w:b/>
                <w:noProof/>
                <w:color w:val="000000"/>
                <w:sz w:val="16"/>
              </w:rPr>
              <w:t>8 658 756 179</w:t>
            </w:r>
          </w:p>
        </w:tc>
      </w:tr>
      <w:tr>
        <w:trPr>
          <w:trHeight w:val="270"/>
        </w:trPr>
        <w:tc>
          <w:tcPr>
            <w:tcW w:w="2992" w:type="dxa"/>
            <w:gridSpan w:val="2"/>
            <w:tcBorders>
              <w:top w:val="dotted" w:sz="4" w:space="0" w:color="auto"/>
              <w:left w:val="single" w:sz="4" w:space="0" w:color="auto"/>
              <w:bottom w:val="dotted" w:sz="4" w:space="0" w:color="auto"/>
              <w:right w:val="single" w:sz="4" w:space="0" w:color="000000"/>
            </w:tcBorders>
            <w:shd w:val="clear" w:color="auto" w:fill="auto"/>
            <w:vAlign w:val="bottom"/>
            <w:hideMark/>
          </w:tcPr>
          <w:p>
            <w:pPr>
              <w:jc w:val="right"/>
              <w:rPr>
                <w:i/>
                <w:iCs/>
                <w:noProof/>
                <w:color w:val="000000"/>
                <w:sz w:val="16"/>
                <w:szCs w:val="16"/>
              </w:rPr>
            </w:pPr>
            <w:r>
              <w:rPr>
                <w:i/>
                <w:noProof/>
                <w:color w:val="000000"/>
                <w:sz w:val="16"/>
              </w:rPr>
              <w:t>Plafond</w:t>
            </w:r>
          </w:p>
        </w:tc>
        <w:tc>
          <w:tcPr>
            <w:tcW w:w="1366" w:type="dxa"/>
            <w:tcBorders>
              <w:top w:val="nil"/>
              <w:left w:val="nil"/>
              <w:bottom w:val="dotted" w:sz="4" w:space="0" w:color="auto"/>
              <w:right w:val="single" w:sz="4" w:space="0" w:color="auto"/>
            </w:tcBorders>
            <w:shd w:val="clear" w:color="auto" w:fill="auto"/>
            <w:vAlign w:val="bottom"/>
            <w:hideMark/>
          </w:tcPr>
          <w:p>
            <w:pPr>
              <w:jc w:val="right"/>
              <w:rPr>
                <w:i/>
                <w:iCs/>
                <w:noProof/>
                <w:color w:val="000000"/>
                <w:sz w:val="16"/>
                <w:szCs w:val="16"/>
              </w:rPr>
            </w:pPr>
            <w:r>
              <w:rPr>
                <w:i/>
                <w:noProof/>
                <w:color w:val="000000"/>
                <w:sz w:val="16"/>
              </w:rPr>
              <w:t>9 076 000 000</w:t>
            </w:r>
          </w:p>
        </w:tc>
        <w:tc>
          <w:tcPr>
            <w:tcW w:w="1327" w:type="dxa"/>
            <w:tcBorders>
              <w:top w:val="nil"/>
              <w:left w:val="nil"/>
              <w:bottom w:val="dotted" w:sz="4" w:space="0" w:color="auto"/>
              <w:right w:val="single" w:sz="4" w:space="0" w:color="auto"/>
            </w:tcBorders>
            <w:shd w:val="clear" w:color="auto" w:fill="auto"/>
            <w:vAlign w:val="bottom"/>
            <w:hideMark/>
          </w:tcPr>
          <w:p>
            <w:pPr>
              <w:jc w:val="right"/>
              <w:rPr>
                <w:i/>
                <w:iCs/>
                <w:noProof/>
                <w:color w:val="000000"/>
                <w:sz w:val="16"/>
                <w:szCs w:val="16"/>
              </w:rPr>
            </w:pPr>
            <w:r>
              <w:rPr>
                <w:i/>
                <w:noProof/>
                <w:color w:val="000000"/>
                <w:sz w:val="16"/>
              </w:rPr>
              <w:t> </w:t>
            </w:r>
          </w:p>
        </w:tc>
        <w:tc>
          <w:tcPr>
            <w:tcW w:w="1134" w:type="dxa"/>
            <w:tcBorders>
              <w:top w:val="nil"/>
              <w:left w:val="nil"/>
              <w:bottom w:val="dotted" w:sz="4" w:space="0" w:color="auto"/>
              <w:right w:val="single" w:sz="4" w:space="0" w:color="auto"/>
            </w:tcBorders>
            <w:shd w:val="clear" w:color="auto" w:fill="auto"/>
            <w:vAlign w:val="bottom"/>
            <w:hideMark/>
          </w:tcPr>
          <w:p>
            <w:pPr>
              <w:jc w:val="right"/>
              <w:rPr>
                <w:i/>
                <w:iCs/>
                <w:noProof/>
                <w:color w:val="000000"/>
                <w:sz w:val="16"/>
                <w:szCs w:val="16"/>
              </w:rPr>
            </w:pPr>
            <w:r>
              <w:rPr>
                <w:i/>
                <w:noProof/>
                <w:color w:val="000000"/>
                <w:sz w:val="16"/>
              </w:rPr>
              <w:t> </w:t>
            </w:r>
          </w:p>
        </w:tc>
        <w:tc>
          <w:tcPr>
            <w:tcW w:w="1134" w:type="dxa"/>
            <w:tcBorders>
              <w:top w:val="nil"/>
              <w:left w:val="nil"/>
              <w:bottom w:val="dotted" w:sz="4" w:space="0" w:color="auto"/>
              <w:right w:val="single" w:sz="4" w:space="0" w:color="auto"/>
            </w:tcBorders>
            <w:shd w:val="clear" w:color="auto" w:fill="auto"/>
            <w:vAlign w:val="bottom"/>
            <w:hideMark/>
          </w:tcPr>
          <w:p>
            <w:pPr>
              <w:jc w:val="right"/>
              <w:rPr>
                <w:i/>
                <w:iCs/>
                <w:noProof/>
                <w:color w:val="000000"/>
                <w:sz w:val="16"/>
                <w:szCs w:val="16"/>
              </w:rPr>
            </w:pPr>
            <w:r>
              <w:rPr>
                <w:i/>
                <w:noProof/>
                <w:color w:val="000000"/>
                <w:sz w:val="16"/>
              </w:rPr>
              <w:t> </w:t>
            </w:r>
          </w:p>
        </w:tc>
        <w:tc>
          <w:tcPr>
            <w:tcW w:w="1418" w:type="dxa"/>
            <w:tcBorders>
              <w:top w:val="nil"/>
              <w:left w:val="nil"/>
              <w:bottom w:val="dotted" w:sz="4" w:space="0" w:color="auto"/>
              <w:right w:val="single" w:sz="4" w:space="0" w:color="auto"/>
            </w:tcBorders>
            <w:shd w:val="clear" w:color="auto" w:fill="auto"/>
            <w:vAlign w:val="bottom"/>
            <w:hideMark/>
          </w:tcPr>
          <w:p>
            <w:pPr>
              <w:jc w:val="right"/>
              <w:rPr>
                <w:i/>
                <w:iCs/>
                <w:noProof/>
                <w:color w:val="000000"/>
                <w:sz w:val="16"/>
                <w:szCs w:val="16"/>
              </w:rPr>
            </w:pPr>
            <w:r>
              <w:rPr>
                <w:i/>
                <w:noProof/>
                <w:color w:val="000000"/>
                <w:sz w:val="16"/>
              </w:rPr>
              <w:t>9 076 000 000</w:t>
            </w:r>
          </w:p>
        </w:tc>
        <w:tc>
          <w:tcPr>
            <w:tcW w:w="1417" w:type="dxa"/>
            <w:tcBorders>
              <w:top w:val="nil"/>
              <w:left w:val="nil"/>
              <w:bottom w:val="dotted" w:sz="4" w:space="0" w:color="auto"/>
              <w:right w:val="single" w:sz="4" w:space="0" w:color="auto"/>
            </w:tcBorders>
            <w:shd w:val="clear" w:color="auto" w:fill="auto"/>
            <w:vAlign w:val="bottom"/>
            <w:hideMark/>
          </w:tcPr>
          <w:p>
            <w:pPr>
              <w:jc w:val="right"/>
              <w:rPr>
                <w:i/>
                <w:iCs/>
                <w:noProof/>
                <w:color w:val="000000"/>
                <w:sz w:val="16"/>
                <w:szCs w:val="16"/>
              </w:rPr>
            </w:pPr>
            <w:r>
              <w:rPr>
                <w:i/>
                <w:noProof/>
                <w:color w:val="000000"/>
                <w:sz w:val="16"/>
              </w:rPr>
              <w:t> </w:t>
            </w:r>
          </w:p>
        </w:tc>
      </w:tr>
      <w:tr>
        <w:trPr>
          <w:trHeight w:val="270"/>
        </w:trPr>
        <w:tc>
          <w:tcPr>
            <w:tcW w:w="2992" w:type="dxa"/>
            <w:gridSpan w:val="2"/>
            <w:tcBorders>
              <w:top w:val="dotted" w:sz="4" w:space="0" w:color="auto"/>
              <w:left w:val="single" w:sz="4" w:space="0" w:color="auto"/>
              <w:bottom w:val="dotted" w:sz="4" w:space="0" w:color="auto"/>
              <w:right w:val="single" w:sz="4" w:space="0" w:color="000000"/>
            </w:tcBorders>
            <w:shd w:val="clear" w:color="auto" w:fill="auto"/>
            <w:vAlign w:val="bottom"/>
            <w:hideMark/>
          </w:tcPr>
          <w:p>
            <w:pPr>
              <w:jc w:val="right"/>
              <w:rPr>
                <w:i/>
                <w:iCs/>
                <w:noProof/>
                <w:color w:val="000000"/>
                <w:sz w:val="16"/>
                <w:szCs w:val="16"/>
              </w:rPr>
            </w:pPr>
            <w:r>
              <w:rPr>
                <w:i/>
                <w:noProof/>
                <w:color w:val="000000"/>
                <w:sz w:val="16"/>
              </w:rPr>
              <w:t>Marge</w:t>
            </w:r>
          </w:p>
        </w:tc>
        <w:tc>
          <w:tcPr>
            <w:tcW w:w="1366" w:type="dxa"/>
            <w:tcBorders>
              <w:top w:val="nil"/>
              <w:left w:val="nil"/>
              <w:bottom w:val="single" w:sz="4" w:space="0" w:color="auto"/>
              <w:right w:val="single" w:sz="4" w:space="0" w:color="auto"/>
            </w:tcBorders>
            <w:shd w:val="clear" w:color="auto" w:fill="auto"/>
            <w:vAlign w:val="bottom"/>
            <w:hideMark/>
          </w:tcPr>
          <w:p>
            <w:pPr>
              <w:jc w:val="right"/>
              <w:rPr>
                <w:i/>
                <w:iCs/>
                <w:noProof/>
                <w:color w:val="000000"/>
                <w:sz w:val="16"/>
                <w:szCs w:val="16"/>
              </w:rPr>
            </w:pPr>
            <w:r>
              <w:rPr>
                <w:i/>
                <w:noProof/>
                <w:color w:val="000000"/>
                <w:sz w:val="16"/>
              </w:rPr>
              <w:t xml:space="preserve"> 415 530 937</w:t>
            </w:r>
          </w:p>
        </w:tc>
        <w:tc>
          <w:tcPr>
            <w:tcW w:w="1327" w:type="dxa"/>
            <w:tcBorders>
              <w:top w:val="nil"/>
              <w:left w:val="nil"/>
              <w:bottom w:val="single" w:sz="4" w:space="0" w:color="auto"/>
              <w:right w:val="single" w:sz="4" w:space="0" w:color="auto"/>
            </w:tcBorders>
            <w:shd w:val="clear" w:color="auto" w:fill="auto"/>
            <w:vAlign w:val="bottom"/>
            <w:hideMark/>
          </w:tcPr>
          <w:p>
            <w:pPr>
              <w:jc w:val="right"/>
              <w:rPr>
                <w:i/>
                <w:iCs/>
                <w:noProof/>
                <w:color w:val="000000"/>
                <w:sz w:val="16"/>
                <w:szCs w:val="16"/>
              </w:rPr>
            </w:pPr>
            <w:r>
              <w:rPr>
                <w:i/>
                <w:noProof/>
                <w:color w:val="000000"/>
                <w:sz w:val="16"/>
              </w:rPr>
              <w:t> </w:t>
            </w:r>
          </w:p>
        </w:tc>
        <w:tc>
          <w:tcPr>
            <w:tcW w:w="1134" w:type="dxa"/>
            <w:tcBorders>
              <w:top w:val="nil"/>
              <w:left w:val="nil"/>
              <w:bottom w:val="single" w:sz="4" w:space="0" w:color="auto"/>
              <w:right w:val="single" w:sz="4" w:space="0" w:color="auto"/>
            </w:tcBorders>
            <w:shd w:val="clear" w:color="auto" w:fill="auto"/>
            <w:vAlign w:val="bottom"/>
            <w:hideMark/>
          </w:tcPr>
          <w:p>
            <w:pPr>
              <w:jc w:val="right"/>
              <w:rPr>
                <w:i/>
                <w:iCs/>
                <w:noProof/>
                <w:color w:val="000000"/>
                <w:sz w:val="16"/>
                <w:szCs w:val="16"/>
              </w:rPr>
            </w:pPr>
            <w:r>
              <w:rPr>
                <w:i/>
                <w:noProof/>
                <w:color w:val="000000"/>
                <w:sz w:val="16"/>
              </w:rPr>
              <w:t> </w:t>
            </w:r>
          </w:p>
        </w:tc>
        <w:tc>
          <w:tcPr>
            <w:tcW w:w="1134" w:type="dxa"/>
            <w:tcBorders>
              <w:top w:val="nil"/>
              <w:left w:val="nil"/>
              <w:bottom w:val="single" w:sz="4" w:space="0" w:color="auto"/>
              <w:right w:val="single" w:sz="4" w:space="0" w:color="auto"/>
            </w:tcBorders>
            <w:shd w:val="clear" w:color="auto" w:fill="auto"/>
            <w:vAlign w:val="bottom"/>
            <w:hideMark/>
          </w:tcPr>
          <w:p>
            <w:pPr>
              <w:jc w:val="right"/>
              <w:rPr>
                <w:i/>
                <w:iCs/>
                <w:noProof/>
                <w:color w:val="000000"/>
                <w:sz w:val="16"/>
                <w:szCs w:val="16"/>
              </w:rPr>
            </w:pPr>
            <w:r>
              <w:rPr>
                <w:i/>
                <w:noProof/>
                <w:color w:val="000000"/>
                <w:sz w:val="16"/>
              </w:rPr>
              <w:t> </w:t>
            </w:r>
          </w:p>
        </w:tc>
        <w:tc>
          <w:tcPr>
            <w:tcW w:w="1418" w:type="dxa"/>
            <w:tcBorders>
              <w:top w:val="nil"/>
              <w:left w:val="nil"/>
              <w:bottom w:val="single" w:sz="4" w:space="0" w:color="auto"/>
              <w:right w:val="single" w:sz="4" w:space="0" w:color="auto"/>
            </w:tcBorders>
            <w:shd w:val="clear" w:color="auto" w:fill="auto"/>
            <w:vAlign w:val="bottom"/>
            <w:hideMark/>
          </w:tcPr>
          <w:p>
            <w:pPr>
              <w:jc w:val="right"/>
              <w:rPr>
                <w:i/>
                <w:iCs/>
                <w:noProof/>
                <w:color w:val="000000"/>
                <w:sz w:val="16"/>
                <w:szCs w:val="16"/>
              </w:rPr>
            </w:pPr>
            <w:r>
              <w:rPr>
                <w:i/>
                <w:noProof/>
                <w:color w:val="000000"/>
                <w:sz w:val="16"/>
              </w:rPr>
              <w:t xml:space="preserve"> 415 530 937</w:t>
            </w:r>
          </w:p>
        </w:tc>
        <w:tc>
          <w:tcPr>
            <w:tcW w:w="1417" w:type="dxa"/>
            <w:tcBorders>
              <w:top w:val="nil"/>
              <w:left w:val="nil"/>
              <w:bottom w:val="single" w:sz="4" w:space="0" w:color="auto"/>
              <w:right w:val="single" w:sz="4" w:space="0" w:color="auto"/>
            </w:tcBorders>
            <w:shd w:val="clear" w:color="auto" w:fill="auto"/>
            <w:vAlign w:val="bottom"/>
            <w:hideMark/>
          </w:tcPr>
          <w:p>
            <w:pPr>
              <w:jc w:val="right"/>
              <w:rPr>
                <w:i/>
                <w:iCs/>
                <w:noProof/>
                <w:color w:val="000000"/>
                <w:sz w:val="16"/>
                <w:szCs w:val="16"/>
              </w:rPr>
            </w:pPr>
            <w:r>
              <w:rPr>
                <w:i/>
                <w:noProof/>
                <w:color w:val="000000"/>
                <w:sz w:val="16"/>
              </w:rPr>
              <w:t> </w:t>
            </w:r>
          </w:p>
        </w:tc>
      </w:tr>
      <w:tr>
        <w:trPr>
          <w:trHeight w:val="525"/>
        </w:trPr>
        <w:tc>
          <w:tcPr>
            <w:tcW w:w="2992" w:type="dxa"/>
            <w:gridSpan w:val="2"/>
            <w:tcBorders>
              <w:top w:val="dotted" w:sz="4" w:space="0" w:color="auto"/>
              <w:left w:val="single" w:sz="4" w:space="0" w:color="auto"/>
              <w:bottom w:val="dotted" w:sz="4" w:space="0" w:color="auto"/>
              <w:right w:val="single" w:sz="4" w:space="0" w:color="000000"/>
            </w:tcBorders>
            <w:shd w:val="clear" w:color="auto" w:fill="auto"/>
            <w:vAlign w:val="bottom"/>
            <w:hideMark/>
          </w:tcPr>
          <w:p>
            <w:pPr>
              <w:rPr>
                <w:noProof/>
                <w:color w:val="000000"/>
                <w:sz w:val="16"/>
                <w:szCs w:val="16"/>
              </w:rPr>
            </w:pPr>
            <w:r>
              <w:rPr>
                <w:noProof/>
                <w:color w:val="000000"/>
                <w:sz w:val="16"/>
              </w:rPr>
              <w:t>dont: dépenses administratives des institutions</w:t>
            </w:r>
          </w:p>
        </w:tc>
        <w:tc>
          <w:tcPr>
            <w:tcW w:w="1366" w:type="dxa"/>
            <w:tcBorders>
              <w:top w:val="nil"/>
              <w:left w:val="nil"/>
              <w:bottom w:val="dotted" w:sz="4" w:space="0" w:color="auto"/>
              <w:right w:val="single" w:sz="4" w:space="0" w:color="auto"/>
            </w:tcBorders>
            <w:shd w:val="clear" w:color="auto" w:fill="auto"/>
            <w:vAlign w:val="bottom"/>
            <w:hideMark/>
          </w:tcPr>
          <w:p>
            <w:pPr>
              <w:jc w:val="right"/>
              <w:rPr>
                <w:noProof/>
                <w:color w:val="000000"/>
                <w:sz w:val="16"/>
                <w:szCs w:val="16"/>
              </w:rPr>
            </w:pPr>
            <w:r>
              <w:rPr>
                <w:noProof/>
                <w:color w:val="000000"/>
                <w:sz w:val="16"/>
              </w:rPr>
              <w:t>6 941 188 663</w:t>
            </w:r>
          </w:p>
        </w:tc>
        <w:tc>
          <w:tcPr>
            <w:tcW w:w="1327" w:type="dxa"/>
            <w:tcBorders>
              <w:top w:val="nil"/>
              <w:left w:val="nil"/>
              <w:bottom w:val="dotted" w:sz="4" w:space="0" w:color="auto"/>
              <w:right w:val="single" w:sz="4" w:space="0" w:color="auto"/>
            </w:tcBorders>
            <w:shd w:val="clear" w:color="auto" w:fill="auto"/>
            <w:vAlign w:val="bottom"/>
            <w:hideMark/>
          </w:tcPr>
          <w:p>
            <w:pPr>
              <w:jc w:val="right"/>
              <w:rPr>
                <w:noProof/>
                <w:color w:val="000000"/>
                <w:sz w:val="16"/>
                <w:szCs w:val="16"/>
              </w:rPr>
            </w:pPr>
            <w:r>
              <w:rPr>
                <w:noProof/>
                <w:color w:val="000000"/>
                <w:sz w:val="16"/>
              </w:rPr>
              <w:t>6 939 475 779</w:t>
            </w:r>
          </w:p>
        </w:tc>
        <w:tc>
          <w:tcPr>
            <w:tcW w:w="1134" w:type="dxa"/>
            <w:tcBorders>
              <w:top w:val="nil"/>
              <w:left w:val="nil"/>
              <w:bottom w:val="dotted" w:sz="4" w:space="0" w:color="auto"/>
              <w:right w:val="single" w:sz="4" w:space="0" w:color="auto"/>
            </w:tcBorders>
            <w:shd w:val="clear" w:color="auto" w:fill="auto"/>
            <w:vAlign w:val="bottom"/>
            <w:hideMark/>
          </w:tcPr>
          <w:p>
            <w:pPr>
              <w:jc w:val="right"/>
              <w:rPr>
                <w:noProof/>
                <w:color w:val="000000"/>
                <w:sz w:val="16"/>
                <w:szCs w:val="16"/>
              </w:rPr>
            </w:pPr>
            <w:r>
              <w:rPr>
                <w:noProof/>
                <w:color w:val="000000"/>
                <w:sz w:val="16"/>
              </w:rPr>
              <w:t> </w:t>
            </w:r>
          </w:p>
        </w:tc>
        <w:tc>
          <w:tcPr>
            <w:tcW w:w="1134" w:type="dxa"/>
            <w:tcBorders>
              <w:top w:val="nil"/>
              <w:left w:val="nil"/>
              <w:bottom w:val="dotted" w:sz="4" w:space="0" w:color="auto"/>
              <w:right w:val="single" w:sz="4" w:space="0" w:color="auto"/>
            </w:tcBorders>
            <w:shd w:val="clear" w:color="auto" w:fill="auto"/>
            <w:vAlign w:val="bottom"/>
            <w:hideMark/>
          </w:tcPr>
          <w:p>
            <w:pPr>
              <w:jc w:val="right"/>
              <w:rPr>
                <w:noProof/>
                <w:color w:val="000000"/>
                <w:sz w:val="16"/>
                <w:szCs w:val="16"/>
              </w:rPr>
            </w:pPr>
            <w:r>
              <w:rPr>
                <w:noProof/>
                <w:color w:val="000000"/>
                <w:sz w:val="16"/>
              </w:rPr>
              <w:t> </w:t>
            </w:r>
          </w:p>
        </w:tc>
        <w:tc>
          <w:tcPr>
            <w:tcW w:w="1418" w:type="dxa"/>
            <w:tcBorders>
              <w:top w:val="nil"/>
              <w:left w:val="nil"/>
              <w:bottom w:val="dotted" w:sz="4" w:space="0" w:color="auto"/>
              <w:right w:val="single" w:sz="4" w:space="0" w:color="auto"/>
            </w:tcBorders>
            <w:shd w:val="clear" w:color="auto" w:fill="auto"/>
            <w:vAlign w:val="bottom"/>
            <w:hideMark/>
          </w:tcPr>
          <w:p>
            <w:pPr>
              <w:jc w:val="right"/>
              <w:rPr>
                <w:noProof/>
                <w:color w:val="000000"/>
                <w:sz w:val="16"/>
                <w:szCs w:val="16"/>
              </w:rPr>
            </w:pPr>
            <w:r>
              <w:rPr>
                <w:noProof/>
                <w:color w:val="000000"/>
                <w:sz w:val="16"/>
              </w:rPr>
              <w:t>6 941 188 663</w:t>
            </w:r>
          </w:p>
        </w:tc>
        <w:tc>
          <w:tcPr>
            <w:tcW w:w="1417" w:type="dxa"/>
            <w:tcBorders>
              <w:top w:val="nil"/>
              <w:left w:val="nil"/>
              <w:bottom w:val="dotted" w:sz="4" w:space="0" w:color="auto"/>
              <w:right w:val="single" w:sz="4" w:space="0" w:color="auto"/>
            </w:tcBorders>
            <w:shd w:val="clear" w:color="auto" w:fill="auto"/>
            <w:vAlign w:val="bottom"/>
            <w:hideMark/>
          </w:tcPr>
          <w:p>
            <w:pPr>
              <w:jc w:val="right"/>
              <w:rPr>
                <w:noProof/>
                <w:color w:val="000000"/>
                <w:sz w:val="16"/>
                <w:szCs w:val="16"/>
              </w:rPr>
            </w:pPr>
            <w:r>
              <w:rPr>
                <w:noProof/>
                <w:color w:val="000000"/>
                <w:sz w:val="16"/>
              </w:rPr>
              <w:t>6 939 475 779</w:t>
            </w:r>
          </w:p>
        </w:tc>
      </w:tr>
      <w:tr>
        <w:trPr>
          <w:trHeight w:val="270"/>
        </w:trPr>
        <w:tc>
          <w:tcPr>
            <w:tcW w:w="2992" w:type="dxa"/>
            <w:gridSpan w:val="2"/>
            <w:tcBorders>
              <w:top w:val="dotted" w:sz="4" w:space="0" w:color="auto"/>
              <w:left w:val="single" w:sz="4" w:space="0" w:color="auto"/>
              <w:bottom w:val="dotted" w:sz="4" w:space="0" w:color="auto"/>
              <w:right w:val="single" w:sz="4" w:space="0" w:color="000000"/>
            </w:tcBorders>
            <w:shd w:val="clear" w:color="auto" w:fill="auto"/>
            <w:vAlign w:val="bottom"/>
            <w:hideMark/>
          </w:tcPr>
          <w:p>
            <w:pPr>
              <w:jc w:val="right"/>
              <w:rPr>
                <w:i/>
                <w:iCs/>
                <w:noProof/>
                <w:color w:val="000000"/>
                <w:sz w:val="16"/>
                <w:szCs w:val="16"/>
              </w:rPr>
            </w:pPr>
            <w:r>
              <w:rPr>
                <w:i/>
                <w:noProof/>
                <w:color w:val="000000"/>
                <w:sz w:val="16"/>
              </w:rPr>
              <w:t>Sous-plafond</w:t>
            </w:r>
          </w:p>
        </w:tc>
        <w:tc>
          <w:tcPr>
            <w:tcW w:w="1366" w:type="dxa"/>
            <w:tcBorders>
              <w:top w:val="nil"/>
              <w:left w:val="nil"/>
              <w:bottom w:val="dotted" w:sz="4" w:space="0" w:color="auto"/>
              <w:right w:val="single" w:sz="4" w:space="0" w:color="auto"/>
            </w:tcBorders>
            <w:shd w:val="clear" w:color="auto" w:fill="auto"/>
            <w:vAlign w:val="bottom"/>
            <w:hideMark/>
          </w:tcPr>
          <w:p>
            <w:pPr>
              <w:jc w:val="right"/>
              <w:rPr>
                <w:i/>
                <w:iCs/>
                <w:noProof/>
                <w:color w:val="000000"/>
                <w:sz w:val="16"/>
                <w:szCs w:val="16"/>
              </w:rPr>
            </w:pPr>
            <w:r>
              <w:rPr>
                <w:i/>
                <w:noProof/>
                <w:color w:val="000000"/>
                <w:sz w:val="16"/>
              </w:rPr>
              <w:t>7 056 000 000</w:t>
            </w:r>
          </w:p>
        </w:tc>
        <w:tc>
          <w:tcPr>
            <w:tcW w:w="1327" w:type="dxa"/>
            <w:tcBorders>
              <w:top w:val="nil"/>
              <w:left w:val="nil"/>
              <w:bottom w:val="dotted" w:sz="4" w:space="0" w:color="auto"/>
              <w:right w:val="single" w:sz="4" w:space="0" w:color="auto"/>
            </w:tcBorders>
            <w:shd w:val="clear" w:color="auto" w:fill="auto"/>
            <w:vAlign w:val="bottom"/>
            <w:hideMark/>
          </w:tcPr>
          <w:p>
            <w:pPr>
              <w:jc w:val="right"/>
              <w:rPr>
                <w:i/>
                <w:iCs/>
                <w:noProof/>
                <w:color w:val="000000"/>
                <w:sz w:val="16"/>
                <w:szCs w:val="16"/>
              </w:rPr>
            </w:pPr>
            <w:r>
              <w:rPr>
                <w:i/>
                <w:noProof/>
                <w:color w:val="000000"/>
                <w:sz w:val="16"/>
              </w:rPr>
              <w:t> </w:t>
            </w:r>
          </w:p>
        </w:tc>
        <w:tc>
          <w:tcPr>
            <w:tcW w:w="1134" w:type="dxa"/>
            <w:tcBorders>
              <w:top w:val="nil"/>
              <w:left w:val="nil"/>
              <w:bottom w:val="dotted" w:sz="4" w:space="0" w:color="auto"/>
              <w:right w:val="single" w:sz="4" w:space="0" w:color="auto"/>
            </w:tcBorders>
            <w:shd w:val="clear" w:color="auto" w:fill="auto"/>
            <w:vAlign w:val="bottom"/>
            <w:hideMark/>
          </w:tcPr>
          <w:p>
            <w:pPr>
              <w:jc w:val="right"/>
              <w:rPr>
                <w:i/>
                <w:iCs/>
                <w:noProof/>
                <w:color w:val="000000"/>
                <w:sz w:val="16"/>
                <w:szCs w:val="16"/>
              </w:rPr>
            </w:pPr>
            <w:r>
              <w:rPr>
                <w:i/>
                <w:noProof/>
                <w:color w:val="000000"/>
                <w:sz w:val="16"/>
              </w:rPr>
              <w:t> </w:t>
            </w:r>
          </w:p>
        </w:tc>
        <w:tc>
          <w:tcPr>
            <w:tcW w:w="1134" w:type="dxa"/>
            <w:tcBorders>
              <w:top w:val="nil"/>
              <w:left w:val="nil"/>
              <w:bottom w:val="dotted" w:sz="4" w:space="0" w:color="auto"/>
              <w:right w:val="single" w:sz="4" w:space="0" w:color="auto"/>
            </w:tcBorders>
            <w:shd w:val="clear" w:color="auto" w:fill="auto"/>
            <w:vAlign w:val="bottom"/>
            <w:hideMark/>
          </w:tcPr>
          <w:p>
            <w:pPr>
              <w:jc w:val="right"/>
              <w:rPr>
                <w:i/>
                <w:iCs/>
                <w:noProof/>
                <w:color w:val="000000"/>
                <w:sz w:val="16"/>
                <w:szCs w:val="16"/>
              </w:rPr>
            </w:pPr>
            <w:r>
              <w:rPr>
                <w:i/>
                <w:noProof/>
                <w:color w:val="000000"/>
                <w:sz w:val="16"/>
              </w:rPr>
              <w:t> </w:t>
            </w:r>
          </w:p>
        </w:tc>
        <w:tc>
          <w:tcPr>
            <w:tcW w:w="1418" w:type="dxa"/>
            <w:tcBorders>
              <w:top w:val="nil"/>
              <w:left w:val="nil"/>
              <w:bottom w:val="dotted" w:sz="4" w:space="0" w:color="auto"/>
              <w:right w:val="single" w:sz="4" w:space="0" w:color="auto"/>
            </w:tcBorders>
            <w:shd w:val="clear" w:color="auto" w:fill="auto"/>
            <w:vAlign w:val="bottom"/>
            <w:hideMark/>
          </w:tcPr>
          <w:p>
            <w:pPr>
              <w:jc w:val="right"/>
              <w:rPr>
                <w:i/>
                <w:iCs/>
                <w:noProof/>
                <w:color w:val="000000"/>
                <w:sz w:val="16"/>
                <w:szCs w:val="16"/>
              </w:rPr>
            </w:pPr>
            <w:r>
              <w:rPr>
                <w:i/>
                <w:noProof/>
                <w:color w:val="000000"/>
                <w:sz w:val="16"/>
              </w:rPr>
              <w:t>7 056 000 000</w:t>
            </w:r>
          </w:p>
        </w:tc>
        <w:tc>
          <w:tcPr>
            <w:tcW w:w="1417" w:type="dxa"/>
            <w:tcBorders>
              <w:top w:val="nil"/>
              <w:left w:val="nil"/>
              <w:bottom w:val="dotted" w:sz="4" w:space="0" w:color="auto"/>
              <w:right w:val="single" w:sz="4" w:space="0" w:color="auto"/>
            </w:tcBorders>
            <w:shd w:val="clear" w:color="auto" w:fill="auto"/>
            <w:vAlign w:val="bottom"/>
            <w:hideMark/>
          </w:tcPr>
          <w:p>
            <w:pPr>
              <w:jc w:val="right"/>
              <w:rPr>
                <w:i/>
                <w:iCs/>
                <w:noProof/>
                <w:color w:val="000000"/>
                <w:sz w:val="16"/>
                <w:szCs w:val="16"/>
              </w:rPr>
            </w:pPr>
            <w:r>
              <w:rPr>
                <w:i/>
                <w:noProof/>
                <w:color w:val="000000"/>
                <w:sz w:val="16"/>
              </w:rPr>
              <w:t> </w:t>
            </w:r>
          </w:p>
        </w:tc>
      </w:tr>
      <w:tr>
        <w:trPr>
          <w:trHeight w:val="270"/>
        </w:trPr>
        <w:tc>
          <w:tcPr>
            <w:tcW w:w="2992" w:type="dxa"/>
            <w:gridSpan w:val="2"/>
            <w:tcBorders>
              <w:top w:val="dotted" w:sz="4" w:space="0" w:color="auto"/>
              <w:left w:val="single" w:sz="4" w:space="0" w:color="auto"/>
              <w:bottom w:val="dotted" w:sz="4" w:space="0" w:color="auto"/>
              <w:right w:val="single" w:sz="4" w:space="0" w:color="000000"/>
            </w:tcBorders>
            <w:shd w:val="clear" w:color="auto" w:fill="auto"/>
            <w:vAlign w:val="bottom"/>
            <w:hideMark/>
          </w:tcPr>
          <w:p>
            <w:pPr>
              <w:jc w:val="right"/>
              <w:rPr>
                <w:i/>
                <w:iCs/>
                <w:noProof/>
                <w:color w:val="000000"/>
                <w:sz w:val="16"/>
                <w:szCs w:val="16"/>
              </w:rPr>
            </w:pPr>
            <w:r>
              <w:rPr>
                <w:i/>
                <w:noProof/>
                <w:color w:val="000000"/>
                <w:sz w:val="16"/>
              </w:rPr>
              <w:t>Marge</w:t>
            </w:r>
          </w:p>
        </w:tc>
        <w:tc>
          <w:tcPr>
            <w:tcW w:w="1366" w:type="dxa"/>
            <w:tcBorders>
              <w:top w:val="nil"/>
              <w:left w:val="nil"/>
              <w:bottom w:val="single" w:sz="4" w:space="0" w:color="auto"/>
              <w:right w:val="single" w:sz="4" w:space="0" w:color="auto"/>
            </w:tcBorders>
            <w:shd w:val="clear" w:color="auto" w:fill="auto"/>
            <w:vAlign w:val="bottom"/>
            <w:hideMark/>
          </w:tcPr>
          <w:p>
            <w:pPr>
              <w:jc w:val="right"/>
              <w:rPr>
                <w:i/>
                <w:iCs/>
                <w:noProof/>
                <w:color w:val="000000"/>
                <w:sz w:val="16"/>
                <w:szCs w:val="16"/>
              </w:rPr>
            </w:pPr>
            <w:r>
              <w:rPr>
                <w:i/>
                <w:noProof/>
                <w:color w:val="000000"/>
                <w:sz w:val="16"/>
              </w:rPr>
              <w:t xml:space="preserve"> 114 811 337</w:t>
            </w:r>
          </w:p>
        </w:tc>
        <w:tc>
          <w:tcPr>
            <w:tcW w:w="1327" w:type="dxa"/>
            <w:tcBorders>
              <w:top w:val="nil"/>
              <w:left w:val="nil"/>
              <w:bottom w:val="single" w:sz="4" w:space="0" w:color="auto"/>
              <w:right w:val="single" w:sz="4" w:space="0" w:color="auto"/>
            </w:tcBorders>
            <w:shd w:val="clear" w:color="auto" w:fill="auto"/>
            <w:vAlign w:val="bottom"/>
            <w:hideMark/>
          </w:tcPr>
          <w:p>
            <w:pPr>
              <w:jc w:val="right"/>
              <w:rPr>
                <w:i/>
                <w:iCs/>
                <w:noProof/>
                <w:color w:val="000000"/>
                <w:sz w:val="16"/>
                <w:szCs w:val="16"/>
              </w:rPr>
            </w:pPr>
            <w:r>
              <w:rPr>
                <w:i/>
                <w:noProof/>
                <w:color w:val="000000"/>
                <w:sz w:val="16"/>
              </w:rPr>
              <w:t> </w:t>
            </w:r>
          </w:p>
        </w:tc>
        <w:tc>
          <w:tcPr>
            <w:tcW w:w="1134" w:type="dxa"/>
            <w:tcBorders>
              <w:top w:val="nil"/>
              <w:left w:val="nil"/>
              <w:bottom w:val="single" w:sz="4" w:space="0" w:color="auto"/>
              <w:right w:val="single" w:sz="4" w:space="0" w:color="auto"/>
            </w:tcBorders>
            <w:shd w:val="clear" w:color="auto" w:fill="auto"/>
            <w:vAlign w:val="bottom"/>
            <w:hideMark/>
          </w:tcPr>
          <w:p>
            <w:pPr>
              <w:jc w:val="right"/>
              <w:rPr>
                <w:i/>
                <w:iCs/>
                <w:noProof/>
                <w:color w:val="000000"/>
                <w:sz w:val="16"/>
                <w:szCs w:val="16"/>
              </w:rPr>
            </w:pPr>
            <w:r>
              <w:rPr>
                <w:i/>
                <w:noProof/>
                <w:color w:val="000000"/>
                <w:sz w:val="16"/>
              </w:rPr>
              <w:t> </w:t>
            </w:r>
          </w:p>
        </w:tc>
        <w:tc>
          <w:tcPr>
            <w:tcW w:w="1134" w:type="dxa"/>
            <w:tcBorders>
              <w:top w:val="nil"/>
              <w:left w:val="nil"/>
              <w:bottom w:val="single" w:sz="4" w:space="0" w:color="auto"/>
              <w:right w:val="single" w:sz="4" w:space="0" w:color="auto"/>
            </w:tcBorders>
            <w:shd w:val="clear" w:color="auto" w:fill="auto"/>
            <w:vAlign w:val="bottom"/>
            <w:hideMark/>
          </w:tcPr>
          <w:p>
            <w:pPr>
              <w:jc w:val="right"/>
              <w:rPr>
                <w:i/>
                <w:iCs/>
                <w:noProof/>
                <w:color w:val="000000"/>
                <w:sz w:val="16"/>
                <w:szCs w:val="16"/>
              </w:rPr>
            </w:pPr>
            <w:r>
              <w:rPr>
                <w:i/>
                <w:noProof/>
                <w:color w:val="000000"/>
                <w:sz w:val="16"/>
              </w:rPr>
              <w:t> </w:t>
            </w:r>
          </w:p>
        </w:tc>
        <w:tc>
          <w:tcPr>
            <w:tcW w:w="1418" w:type="dxa"/>
            <w:tcBorders>
              <w:top w:val="nil"/>
              <w:left w:val="nil"/>
              <w:bottom w:val="single" w:sz="4" w:space="0" w:color="auto"/>
              <w:right w:val="single" w:sz="4" w:space="0" w:color="auto"/>
            </w:tcBorders>
            <w:shd w:val="clear" w:color="auto" w:fill="auto"/>
            <w:vAlign w:val="bottom"/>
            <w:hideMark/>
          </w:tcPr>
          <w:p>
            <w:pPr>
              <w:jc w:val="right"/>
              <w:rPr>
                <w:i/>
                <w:iCs/>
                <w:noProof/>
                <w:color w:val="000000"/>
                <w:sz w:val="16"/>
                <w:szCs w:val="16"/>
              </w:rPr>
            </w:pPr>
            <w:r>
              <w:rPr>
                <w:i/>
                <w:noProof/>
                <w:color w:val="000000"/>
                <w:sz w:val="16"/>
              </w:rPr>
              <w:t xml:space="preserve"> 114 811 337</w:t>
            </w:r>
          </w:p>
        </w:tc>
        <w:tc>
          <w:tcPr>
            <w:tcW w:w="1417" w:type="dxa"/>
            <w:tcBorders>
              <w:top w:val="nil"/>
              <w:left w:val="nil"/>
              <w:bottom w:val="single" w:sz="4" w:space="0" w:color="auto"/>
              <w:right w:val="single" w:sz="4" w:space="0" w:color="auto"/>
            </w:tcBorders>
            <w:shd w:val="clear" w:color="auto" w:fill="auto"/>
            <w:vAlign w:val="bottom"/>
            <w:hideMark/>
          </w:tcPr>
          <w:p>
            <w:pPr>
              <w:jc w:val="right"/>
              <w:rPr>
                <w:i/>
                <w:iCs/>
                <w:noProof/>
                <w:color w:val="000000"/>
                <w:sz w:val="16"/>
                <w:szCs w:val="16"/>
              </w:rPr>
            </w:pPr>
            <w:r>
              <w:rPr>
                <w:i/>
                <w:noProof/>
                <w:color w:val="000000"/>
                <w:sz w:val="16"/>
              </w:rPr>
              <w:t> </w:t>
            </w:r>
          </w:p>
        </w:tc>
      </w:tr>
      <w:tr>
        <w:trPr>
          <w:trHeight w:val="270"/>
        </w:trPr>
        <w:tc>
          <w:tcPr>
            <w:tcW w:w="376" w:type="dxa"/>
            <w:tcBorders>
              <w:top w:val="nil"/>
              <w:left w:val="single" w:sz="4" w:space="0" w:color="auto"/>
              <w:bottom w:val="dotted" w:sz="4" w:space="0" w:color="auto"/>
              <w:right w:val="nil"/>
            </w:tcBorders>
            <w:shd w:val="clear" w:color="auto" w:fill="auto"/>
            <w:vAlign w:val="bottom"/>
            <w:hideMark/>
          </w:tcPr>
          <w:p>
            <w:pPr>
              <w:rPr>
                <w:b/>
                <w:bCs/>
                <w:noProof/>
                <w:color w:val="000000"/>
                <w:sz w:val="16"/>
                <w:szCs w:val="16"/>
              </w:rPr>
            </w:pPr>
            <w:r>
              <w:rPr>
                <w:b/>
                <w:noProof/>
                <w:color w:val="000000"/>
                <w:sz w:val="16"/>
              </w:rPr>
              <w:t>6.</w:t>
            </w:r>
          </w:p>
        </w:tc>
        <w:tc>
          <w:tcPr>
            <w:tcW w:w="2616" w:type="dxa"/>
            <w:tcBorders>
              <w:top w:val="nil"/>
              <w:left w:val="nil"/>
              <w:bottom w:val="dotted" w:sz="4" w:space="0" w:color="auto"/>
              <w:right w:val="single" w:sz="4" w:space="0" w:color="auto"/>
            </w:tcBorders>
            <w:shd w:val="clear" w:color="auto" w:fill="auto"/>
            <w:vAlign w:val="bottom"/>
            <w:hideMark/>
          </w:tcPr>
          <w:p>
            <w:pPr>
              <w:rPr>
                <w:b/>
                <w:bCs/>
                <w:noProof/>
                <w:color w:val="000000"/>
                <w:sz w:val="16"/>
                <w:szCs w:val="16"/>
              </w:rPr>
            </w:pPr>
            <w:r>
              <w:rPr>
                <w:b/>
                <w:noProof/>
                <w:color w:val="000000"/>
                <w:sz w:val="16"/>
              </w:rPr>
              <w:t>Compensations</w:t>
            </w:r>
          </w:p>
        </w:tc>
        <w:tc>
          <w:tcPr>
            <w:tcW w:w="1366" w:type="dxa"/>
            <w:tcBorders>
              <w:top w:val="nil"/>
              <w:left w:val="nil"/>
              <w:bottom w:val="dotted" w:sz="4" w:space="0" w:color="auto"/>
              <w:right w:val="single" w:sz="4" w:space="0" w:color="auto"/>
            </w:tcBorders>
            <w:shd w:val="clear" w:color="auto" w:fill="auto"/>
            <w:vAlign w:val="bottom"/>
            <w:hideMark/>
          </w:tcPr>
          <w:p>
            <w:pPr>
              <w:jc w:val="right"/>
              <w:rPr>
                <w:b/>
                <w:bCs/>
                <w:noProof/>
                <w:color w:val="000000"/>
                <w:sz w:val="16"/>
                <w:szCs w:val="16"/>
              </w:rPr>
            </w:pPr>
            <w:r>
              <w:rPr>
                <w:b/>
                <w:noProof/>
                <w:color w:val="000000"/>
                <w:sz w:val="16"/>
              </w:rPr>
              <w:t xml:space="preserve">   </w:t>
            </w:r>
          </w:p>
        </w:tc>
        <w:tc>
          <w:tcPr>
            <w:tcW w:w="1327" w:type="dxa"/>
            <w:tcBorders>
              <w:top w:val="nil"/>
              <w:left w:val="nil"/>
              <w:bottom w:val="dotted" w:sz="4" w:space="0" w:color="auto"/>
              <w:right w:val="single" w:sz="4" w:space="0" w:color="auto"/>
            </w:tcBorders>
            <w:shd w:val="clear" w:color="auto" w:fill="auto"/>
            <w:vAlign w:val="bottom"/>
            <w:hideMark/>
          </w:tcPr>
          <w:p>
            <w:pPr>
              <w:jc w:val="right"/>
              <w:rPr>
                <w:b/>
                <w:bCs/>
                <w:noProof/>
                <w:color w:val="000000"/>
                <w:sz w:val="16"/>
                <w:szCs w:val="16"/>
              </w:rPr>
            </w:pPr>
            <w:r>
              <w:rPr>
                <w:b/>
                <w:noProof/>
                <w:color w:val="000000"/>
                <w:sz w:val="16"/>
              </w:rPr>
              <w:t xml:space="preserve">   </w:t>
            </w:r>
          </w:p>
        </w:tc>
        <w:tc>
          <w:tcPr>
            <w:tcW w:w="1134" w:type="dxa"/>
            <w:tcBorders>
              <w:top w:val="nil"/>
              <w:left w:val="nil"/>
              <w:bottom w:val="dotted" w:sz="4" w:space="0" w:color="auto"/>
              <w:right w:val="single" w:sz="4" w:space="0" w:color="auto"/>
            </w:tcBorders>
            <w:shd w:val="clear" w:color="auto" w:fill="auto"/>
            <w:vAlign w:val="bottom"/>
            <w:hideMark/>
          </w:tcPr>
          <w:p>
            <w:pPr>
              <w:jc w:val="right"/>
              <w:rPr>
                <w:b/>
                <w:bCs/>
                <w:noProof/>
                <w:color w:val="000000"/>
                <w:sz w:val="16"/>
                <w:szCs w:val="16"/>
              </w:rPr>
            </w:pPr>
            <w:r>
              <w:rPr>
                <w:b/>
                <w:noProof/>
                <w:color w:val="000000"/>
                <w:sz w:val="16"/>
              </w:rPr>
              <w:t> </w:t>
            </w:r>
          </w:p>
        </w:tc>
        <w:tc>
          <w:tcPr>
            <w:tcW w:w="1134" w:type="dxa"/>
            <w:tcBorders>
              <w:top w:val="nil"/>
              <w:left w:val="nil"/>
              <w:bottom w:val="dotted" w:sz="4" w:space="0" w:color="auto"/>
              <w:right w:val="single" w:sz="4" w:space="0" w:color="auto"/>
            </w:tcBorders>
            <w:shd w:val="clear" w:color="auto" w:fill="auto"/>
            <w:vAlign w:val="bottom"/>
            <w:hideMark/>
          </w:tcPr>
          <w:p>
            <w:pPr>
              <w:jc w:val="right"/>
              <w:rPr>
                <w:b/>
                <w:bCs/>
                <w:noProof/>
                <w:color w:val="000000"/>
                <w:sz w:val="16"/>
                <w:szCs w:val="16"/>
              </w:rPr>
            </w:pPr>
            <w:r>
              <w:rPr>
                <w:b/>
                <w:noProof/>
                <w:color w:val="000000"/>
                <w:sz w:val="16"/>
              </w:rPr>
              <w:t> </w:t>
            </w:r>
          </w:p>
        </w:tc>
        <w:tc>
          <w:tcPr>
            <w:tcW w:w="1418" w:type="dxa"/>
            <w:tcBorders>
              <w:top w:val="nil"/>
              <w:left w:val="nil"/>
              <w:bottom w:val="dotted" w:sz="4" w:space="0" w:color="auto"/>
              <w:right w:val="single" w:sz="4" w:space="0" w:color="auto"/>
            </w:tcBorders>
            <w:shd w:val="clear" w:color="auto" w:fill="auto"/>
            <w:vAlign w:val="bottom"/>
            <w:hideMark/>
          </w:tcPr>
          <w:p>
            <w:pPr>
              <w:jc w:val="right"/>
              <w:rPr>
                <w:b/>
                <w:bCs/>
                <w:noProof/>
                <w:color w:val="000000"/>
                <w:sz w:val="16"/>
                <w:szCs w:val="16"/>
              </w:rPr>
            </w:pPr>
            <w:r>
              <w:rPr>
                <w:b/>
                <w:noProof/>
                <w:color w:val="000000"/>
                <w:sz w:val="16"/>
              </w:rPr>
              <w:t xml:space="preserve">   </w:t>
            </w:r>
          </w:p>
        </w:tc>
        <w:tc>
          <w:tcPr>
            <w:tcW w:w="1417" w:type="dxa"/>
            <w:tcBorders>
              <w:top w:val="nil"/>
              <w:left w:val="nil"/>
              <w:bottom w:val="dotted" w:sz="4" w:space="0" w:color="auto"/>
              <w:right w:val="single" w:sz="4" w:space="0" w:color="auto"/>
            </w:tcBorders>
            <w:shd w:val="clear" w:color="auto" w:fill="auto"/>
            <w:vAlign w:val="bottom"/>
            <w:hideMark/>
          </w:tcPr>
          <w:p>
            <w:pPr>
              <w:jc w:val="right"/>
              <w:rPr>
                <w:b/>
                <w:bCs/>
                <w:noProof/>
                <w:color w:val="000000"/>
                <w:sz w:val="16"/>
                <w:szCs w:val="16"/>
              </w:rPr>
            </w:pPr>
            <w:r>
              <w:rPr>
                <w:b/>
                <w:noProof/>
                <w:color w:val="000000"/>
                <w:sz w:val="16"/>
              </w:rPr>
              <w:t xml:space="preserve">   </w:t>
            </w:r>
          </w:p>
        </w:tc>
      </w:tr>
      <w:tr>
        <w:trPr>
          <w:trHeight w:val="270"/>
        </w:trPr>
        <w:tc>
          <w:tcPr>
            <w:tcW w:w="2992" w:type="dxa"/>
            <w:gridSpan w:val="2"/>
            <w:tcBorders>
              <w:top w:val="dotted" w:sz="4" w:space="0" w:color="auto"/>
              <w:left w:val="single" w:sz="4" w:space="0" w:color="auto"/>
              <w:bottom w:val="dotted" w:sz="4" w:space="0" w:color="auto"/>
              <w:right w:val="single" w:sz="4" w:space="0" w:color="000000"/>
            </w:tcBorders>
            <w:shd w:val="clear" w:color="auto" w:fill="auto"/>
            <w:vAlign w:val="bottom"/>
            <w:hideMark/>
          </w:tcPr>
          <w:p>
            <w:pPr>
              <w:jc w:val="right"/>
              <w:rPr>
                <w:i/>
                <w:iCs/>
                <w:noProof/>
                <w:color w:val="000000"/>
                <w:sz w:val="16"/>
                <w:szCs w:val="16"/>
              </w:rPr>
            </w:pPr>
            <w:r>
              <w:rPr>
                <w:i/>
                <w:noProof/>
                <w:color w:val="000000"/>
                <w:sz w:val="16"/>
              </w:rPr>
              <w:t>Plafond</w:t>
            </w:r>
          </w:p>
        </w:tc>
        <w:tc>
          <w:tcPr>
            <w:tcW w:w="1366" w:type="dxa"/>
            <w:tcBorders>
              <w:top w:val="nil"/>
              <w:left w:val="nil"/>
              <w:bottom w:val="dotted" w:sz="4" w:space="0" w:color="auto"/>
              <w:right w:val="single" w:sz="4" w:space="0" w:color="auto"/>
            </w:tcBorders>
            <w:shd w:val="clear" w:color="auto" w:fill="auto"/>
            <w:vAlign w:val="bottom"/>
            <w:hideMark/>
          </w:tcPr>
          <w:p>
            <w:pPr>
              <w:jc w:val="right"/>
              <w:rPr>
                <w:i/>
                <w:iCs/>
                <w:noProof/>
                <w:color w:val="000000"/>
                <w:sz w:val="16"/>
                <w:szCs w:val="16"/>
              </w:rPr>
            </w:pPr>
            <w:r>
              <w:rPr>
                <w:i/>
                <w:noProof/>
                <w:color w:val="000000"/>
                <w:sz w:val="16"/>
              </w:rPr>
              <w:t xml:space="preserve">   </w:t>
            </w:r>
          </w:p>
        </w:tc>
        <w:tc>
          <w:tcPr>
            <w:tcW w:w="1327" w:type="dxa"/>
            <w:tcBorders>
              <w:top w:val="nil"/>
              <w:left w:val="nil"/>
              <w:bottom w:val="dotted" w:sz="4" w:space="0" w:color="auto"/>
              <w:right w:val="single" w:sz="4" w:space="0" w:color="auto"/>
            </w:tcBorders>
            <w:shd w:val="clear" w:color="auto" w:fill="auto"/>
            <w:vAlign w:val="bottom"/>
            <w:hideMark/>
          </w:tcPr>
          <w:p>
            <w:pPr>
              <w:jc w:val="right"/>
              <w:rPr>
                <w:i/>
                <w:iCs/>
                <w:noProof/>
                <w:color w:val="000000"/>
                <w:sz w:val="16"/>
                <w:szCs w:val="16"/>
              </w:rPr>
            </w:pPr>
            <w:r>
              <w:rPr>
                <w:i/>
                <w:noProof/>
                <w:color w:val="000000"/>
                <w:sz w:val="16"/>
              </w:rPr>
              <w:t> </w:t>
            </w:r>
          </w:p>
        </w:tc>
        <w:tc>
          <w:tcPr>
            <w:tcW w:w="1134" w:type="dxa"/>
            <w:tcBorders>
              <w:top w:val="nil"/>
              <w:left w:val="nil"/>
              <w:bottom w:val="dotted" w:sz="4" w:space="0" w:color="auto"/>
              <w:right w:val="single" w:sz="4" w:space="0" w:color="auto"/>
            </w:tcBorders>
            <w:shd w:val="clear" w:color="auto" w:fill="auto"/>
            <w:vAlign w:val="bottom"/>
            <w:hideMark/>
          </w:tcPr>
          <w:p>
            <w:pPr>
              <w:jc w:val="right"/>
              <w:rPr>
                <w:i/>
                <w:iCs/>
                <w:noProof/>
                <w:color w:val="000000"/>
                <w:sz w:val="16"/>
                <w:szCs w:val="16"/>
              </w:rPr>
            </w:pPr>
            <w:r>
              <w:rPr>
                <w:i/>
                <w:noProof/>
                <w:color w:val="000000"/>
                <w:sz w:val="16"/>
              </w:rPr>
              <w:t> </w:t>
            </w:r>
          </w:p>
        </w:tc>
        <w:tc>
          <w:tcPr>
            <w:tcW w:w="1134" w:type="dxa"/>
            <w:tcBorders>
              <w:top w:val="nil"/>
              <w:left w:val="nil"/>
              <w:bottom w:val="dotted" w:sz="4" w:space="0" w:color="auto"/>
              <w:right w:val="single" w:sz="4" w:space="0" w:color="auto"/>
            </w:tcBorders>
            <w:shd w:val="clear" w:color="auto" w:fill="auto"/>
            <w:vAlign w:val="bottom"/>
            <w:hideMark/>
          </w:tcPr>
          <w:p>
            <w:pPr>
              <w:jc w:val="right"/>
              <w:rPr>
                <w:i/>
                <w:iCs/>
                <w:noProof/>
                <w:color w:val="000000"/>
                <w:sz w:val="16"/>
                <w:szCs w:val="16"/>
              </w:rPr>
            </w:pPr>
            <w:r>
              <w:rPr>
                <w:i/>
                <w:noProof/>
                <w:color w:val="000000"/>
                <w:sz w:val="16"/>
              </w:rPr>
              <w:t> </w:t>
            </w:r>
          </w:p>
        </w:tc>
        <w:tc>
          <w:tcPr>
            <w:tcW w:w="1418" w:type="dxa"/>
            <w:tcBorders>
              <w:top w:val="nil"/>
              <w:left w:val="nil"/>
              <w:bottom w:val="dotted" w:sz="4" w:space="0" w:color="auto"/>
              <w:right w:val="single" w:sz="4" w:space="0" w:color="auto"/>
            </w:tcBorders>
            <w:shd w:val="clear" w:color="auto" w:fill="auto"/>
            <w:vAlign w:val="bottom"/>
            <w:hideMark/>
          </w:tcPr>
          <w:p>
            <w:pPr>
              <w:jc w:val="right"/>
              <w:rPr>
                <w:i/>
                <w:iCs/>
                <w:noProof/>
                <w:color w:val="000000"/>
                <w:sz w:val="16"/>
                <w:szCs w:val="16"/>
              </w:rPr>
            </w:pPr>
            <w:r>
              <w:rPr>
                <w:i/>
                <w:noProof/>
                <w:color w:val="000000"/>
                <w:sz w:val="16"/>
              </w:rPr>
              <w:t> </w:t>
            </w:r>
          </w:p>
        </w:tc>
        <w:tc>
          <w:tcPr>
            <w:tcW w:w="1417" w:type="dxa"/>
            <w:tcBorders>
              <w:top w:val="nil"/>
              <w:left w:val="nil"/>
              <w:bottom w:val="dotted" w:sz="4" w:space="0" w:color="auto"/>
              <w:right w:val="single" w:sz="4" w:space="0" w:color="auto"/>
            </w:tcBorders>
            <w:shd w:val="clear" w:color="auto" w:fill="auto"/>
            <w:vAlign w:val="bottom"/>
            <w:hideMark/>
          </w:tcPr>
          <w:p>
            <w:pPr>
              <w:jc w:val="right"/>
              <w:rPr>
                <w:i/>
                <w:iCs/>
                <w:noProof/>
                <w:color w:val="000000"/>
                <w:sz w:val="16"/>
                <w:szCs w:val="16"/>
              </w:rPr>
            </w:pPr>
            <w:r>
              <w:rPr>
                <w:i/>
                <w:noProof/>
                <w:color w:val="000000"/>
                <w:sz w:val="16"/>
              </w:rPr>
              <w:t> </w:t>
            </w:r>
          </w:p>
        </w:tc>
      </w:tr>
      <w:tr>
        <w:trPr>
          <w:trHeight w:val="270"/>
        </w:trPr>
        <w:tc>
          <w:tcPr>
            <w:tcW w:w="2992" w:type="dxa"/>
            <w:gridSpan w:val="2"/>
            <w:tcBorders>
              <w:top w:val="dotted" w:sz="4" w:space="0" w:color="auto"/>
              <w:left w:val="single" w:sz="4" w:space="0" w:color="auto"/>
              <w:bottom w:val="single" w:sz="4" w:space="0" w:color="auto"/>
              <w:right w:val="single" w:sz="4" w:space="0" w:color="000000"/>
            </w:tcBorders>
            <w:shd w:val="clear" w:color="auto" w:fill="auto"/>
            <w:vAlign w:val="bottom"/>
            <w:hideMark/>
          </w:tcPr>
          <w:p>
            <w:pPr>
              <w:jc w:val="right"/>
              <w:rPr>
                <w:i/>
                <w:iCs/>
                <w:noProof/>
                <w:color w:val="000000"/>
                <w:sz w:val="16"/>
                <w:szCs w:val="16"/>
              </w:rPr>
            </w:pPr>
            <w:r>
              <w:rPr>
                <w:i/>
                <w:noProof/>
                <w:color w:val="000000"/>
                <w:sz w:val="16"/>
              </w:rPr>
              <w:t>Marge</w:t>
            </w:r>
          </w:p>
        </w:tc>
        <w:tc>
          <w:tcPr>
            <w:tcW w:w="1366" w:type="dxa"/>
            <w:tcBorders>
              <w:top w:val="nil"/>
              <w:left w:val="nil"/>
              <w:bottom w:val="single" w:sz="4" w:space="0" w:color="auto"/>
              <w:right w:val="single" w:sz="4" w:space="0" w:color="auto"/>
            </w:tcBorders>
            <w:shd w:val="clear" w:color="auto" w:fill="auto"/>
            <w:vAlign w:val="bottom"/>
            <w:hideMark/>
          </w:tcPr>
          <w:p>
            <w:pPr>
              <w:jc w:val="right"/>
              <w:rPr>
                <w:i/>
                <w:iCs/>
                <w:noProof/>
                <w:color w:val="000000"/>
                <w:sz w:val="16"/>
                <w:szCs w:val="16"/>
              </w:rPr>
            </w:pPr>
            <w:r>
              <w:rPr>
                <w:i/>
                <w:noProof/>
                <w:color w:val="000000"/>
                <w:sz w:val="16"/>
              </w:rPr>
              <w:t xml:space="preserve">   </w:t>
            </w:r>
          </w:p>
        </w:tc>
        <w:tc>
          <w:tcPr>
            <w:tcW w:w="1327" w:type="dxa"/>
            <w:tcBorders>
              <w:top w:val="nil"/>
              <w:left w:val="nil"/>
              <w:bottom w:val="single" w:sz="4" w:space="0" w:color="auto"/>
              <w:right w:val="single" w:sz="4" w:space="0" w:color="auto"/>
            </w:tcBorders>
            <w:shd w:val="clear" w:color="auto" w:fill="auto"/>
            <w:vAlign w:val="bottom"/>
            <w:hideMark/>
          </w:tcPr>
          <w:p>
            <w:pPr>
              <w:jc w:val="right"/>
              <w:rPr>
                <w:i/>
                <w:iCs/>
                <w:noProof/>
                <w:color w:val="000000"/>
                <w:sz w:val="16"/>
                <w:szCs w:val="16"/>
              </w:rPr>
            </w:pPr>
            <w:r>
              <w:rPr>
                <w:i/>
                <w:noProof/>
                <w:color w:val="000000"/>
                <w:sz w:val="16"/>
              </w:rPr>
              <w:t> </w:t>
            </w:r>
          </w:p>
        </w:tc>
        <w:tc>
          <w:tcPr>
            <w:tcW w:w="1134" w:type="dxa"/>
            <w:tcBorders>
              <w:top w:val="nil"/>
              <w:left w:val="nil"/>
              <w:bottom w:val="single" w:sz="4" w:space="0" w:color="auto"/>
              <w:right w:val="single" w:sz="4" w:space="0" w:color="auto"/>
            </w:tcBorders>
            <w:shd w:val="clear" w:color="auto" w:fill="auto"/>
            <w:vAlign w:val="bottom"/>
            <w:hideMark/>
          </w:tcPr>
          <w:p>
            <w:pPr>
              <w:jc w:val="right"/>
              <w:rPr>
                <w:i/>
                <w:iCs/>
                <w:noProof/>
                <w:color w:val="000000"/>
                <w:sz w:val="16"/>
                <w:szCs w:val="16"/>
              </w:rPr>
            </w:pPr>
            <w:r>
              <w:rPr>
                <w:i/>
                <w:noProof/>
                <w:color w:val="000000"/>
                <w:sz w:val="16"/>
              </w:rPr>
              <w:t> </w:t>
            </w:r>
          </w:p>
        </w:tc>
        <w:tc>
          <w:tcPr>
            <w:tcW w:w="1134" w:type="dxa"/>
            <w:tcBorders>
              <w:top w:val="nil"/>
              <w:left w:val="nil"/>
              <w:bottom w:val="single" w:sz="4" w:space="0" w:color="auto"/>
              <w:right w:val="single" w:sz="4" w:space="0" w:color="auto"/>
            </w:tcBorders>
            <w:shd w:val="clear" w:color="auto" w:fill="auto"/>
            <w:vAlign w:val="bottom"/>
            <w:hideMark/>
          </w:tcPr>
          <w:p>
            <w:pPr>
              <w:jc w:val="right"/>
              <w:rPr>
                <w:i/>
                <w:iCs/>
                <w:noProof/>
                <w:color w:val="000000"/>
                <w:sz w:val="16"/>
                <w:szCs w:val="16"/>
              </w:rPr>
            </w:pPr>
            <w:r>
              <w:rPr>
                <w:i/>
                <w:noProof/>
                <w:color w:val="000000"/>
                <w:sz w:val="16"/>
              </w:rPr>
              <w:t> </w:t>
            </w:r>
          </w:p>
        </w:tc>
        <w:tc>
          <w:tcPr>
            <w:tcW w:w="1418" w:type="dxa"/>
            <w:tcBorders>
              <w:top w:val="nil"/>
              <w:left w:val="nil"/>
              <w:bottom w:val="single" w:sz="4" w:space="0" w:color="auto"/>
              <w:right w:val="single" w:sz="4" w:space="0" w:color="auto"/>
            </w:tcBorders>
            <w:shd w:val="clear" w:color="auto" w:fill="auto"/>
            <w:vAlign w:val="bottom"/>
            <w:hideMark/>
          </w:tcPr>
          <w:p>
            <w:pPr>
              <w:jc w:val="right"/>
              <w:rPr>
                <w:i/>
                <w:iCs/>
                <w:noProof/>
                <w:color w:val="000000"/>
                <w:sz w:val="16"/>
                <w:szCs w:val="16"/>
              </w:rPr>
            </w:pPr>
            <w:r>
              <w:rPr>
                <w:i/>
                <w:noProof/>
                <w:color w:val="000000"/>
                <w:sz w:val="16"/>
              </w:rPr>
              <w:t xml:space="preserve">   </w:t>
            </w:r>
          </w:p>
        </w:tc>
        <w:tc>
          <w:tcPr>
            <w:tcW w:w="1417" w:type="dxa"/>
            <w:tcBorders>
              <w:top w:val="nil"/>
              <w:left w:val="nil"/>
              <w:bottom w:val="single" w:sz="4" w:space="0" w:color="auto"/>
              <w:right w:val="single" w:sz="4" w:space="0" w:color="auto"/>
            </w:tcBorders>
            <w:shd w:val="clear" w:color="auto" w:fill="auto"/>
            <w:vAlign w:val="bottom"/>
            <w:hideMark/>
          </w:tcPr>
          <w:p>
            <w:pPr>
              <w:jc w:val="right"/>
              <w:rPr>
                <w:i/>
                <w:iCs/>
                <w:noProof/>
                <w:color w:val="000000"/>
                <w:sz w:val="16"/>
                <w:szCs w:val="16"/>
              </w:rPr>
            </w:pPr>
            <w:r>
              <w:rPr>
                <w:i/>
                <w:noProof/>
                <w:color w:val="000000"/>
                <w:sz w:val="16"/>
              </w:rPr>
              <w:t> </w:t>
            </w:r>
          </w:p>
        </w:tc>
      </w:tr>
      <w:tr>
        <w:trPr>
          <w:trHeight w:val="270"/>
        </w:trPr>
        <w:tc>
          <w:tcPr>
            <w:tcW w:w="2992" w:type="dxa"/>
            <w:gridSpan w:val="2"/>
            <w:tcBorders>
              <w:top w:val="single" w:sz="4" w:space="0" w:color="auto"/>
              <w:left w:val="single" w:sz="4" w:space="0" w:color="auto"/>
              <w:bottom w:val="dotted" w:sz="4" w:space="0" w:color="auto"/>
              <w:right w:val="single" w:sz="4" w:space="0" w:color="000000"/>
            </w:tcBorders>
            <w:shd w:val="clear" w:color="000000" w:fill="D9D9D9"/>
            <w:vAlign w:val="bottom"/>
            <w:hideMark/>
          </w:tcPr>
          <w:p>
            <w:pPr>
              <w:jc w:val="right"/>
              <w:rPr>
                <w:b/>
                <w:bCs/>
                <w:noProof/>
                <w:color w:val="000000"/>
                <w:sz w:val="16"/>
                <w:szCs w:val="16"/>
              </w:rPr>
            </w:pPr>
            <w:r>
              <w:rPr>
                <w:b/>
                <w:noProof/>
                <w:color w:val="000000"/>
                <w:sz w:val="16"/>
              </w:rPr>
              <w:t>Total</w:t>
            </w:r>
          </w:p>
        </w:tc>
        <w:tc>
          <w:tcPr>
            <w:tcW w:w="1366" w:type="dxa"/>
            <w:tcBorders>
              <w:top w:val="nil"/>
              <w:left w:val="nil"/>
              <w:bottom w:val="dotted" w:sz="4" w:space="0" w:color="auto"/>
              <w:right w:val="single" w:sz="4" w:space="0" w:color="auto"/>
            </w:tcBorders>
            <w:shd w:val="clear" w:color="000000" w:fill="D9D9D9"/>
            <w:vAlign w:val="bottom"/>
            <w:hideMark/>
          </w:tcPr>
          <w:p>
            <w:pPr>
              <w:jc w:val="right"/>
              <w:rPr>
                <w:b/>
                <w:bCs/>
                <w:noProof/>
                <w:color w:val="000000"/>
                <w:sz w:val="16"/>
                <w:szCs w:val="16"/>
              </w:rPr>
            </w:pPr>
            <w:r>
              <w:rPr>
                <w:b/>
                <w:noProof/>
                <w:color w:val="000000"/>
                <w:sz w:val="16"/>
              </w:rPr>
              <w:t>161 285 084 808</w:t>
            </w:r>
          </w:p>
        </w:tc>
        <w:tc>
          <w:tcPr>
            <w:tcW w:w="1327" w:type="dxa"/>
            <w:tcBorders>
              <w:top w:val="nil"/>
              <w:left w:val="nil"/>
              <w:bottom w:val="dotted" w:sz="4" w:space="0" w:color="auto"/>
              <w:right w:val="single" w:sz="4" w:space="0" w:color="auto"/>
            </w:tcBorders>
            <w:shd w:val="clear" w:color="000000" w:fill="D9D9D9"/>
            <w:vAlign w:val="bottom"/>
            <w:hideMark/>
          </w:tcPr>
          <w:p>
            <w:pPr>
              <w:jc w:val="right"/>
              <w:rPr>
                <w:b/>
                <w:bCs/>
                <w:noProof/>
                <w:color w:val="000000"/>
                <w:sz w:val="16"/>
                <w:szCs w:val="16"/>
              </w:rPr>
            </w:pPr>
            <w:r>
              <w:rPr>
                <w:b/>
                <w:noProof/>
                <w:color w:val="000000"/>
                <w:sz w:val="16"/>
              </w:rPr>
              <w:t>140 862 315 595</w:t>
            </w:r>
          </w:p>
        </w:tc>
        <w:tc>
          <w:tcPr>
            <w:tcW w:w="1134" w:type="dxa"/>
            <w:tcBorders>
              <w:top w:val="nil"/>
              <w:left w:val="nil"/>
              <w:bottom w:val="dotted" w:sz="4" w:space="0" w:color="auto"/>
              <w:right w:val="single" w:sz="4" w:space="0" w:color="auto"/>
            </w:tcBorders>
            <w:shd w:val="clear" w:color="000000" w:fill="D9D9D9"/>
            <w:vAlign w:val="bottom"/>
            <w:hideMark/>
          </w:tcPr>
          <w:p>
            <w:pPr>
              <w:jc w:val="right"/>
              <w:rPr>
                <w:b/>
                <w:bCs/>
                <w:noProof/>
                <w:color w:val="000000"/>
                <w:sz w:val="16"/>
                <w:szCs w:val="16"/>
              </w:rPr>
            </w:pPr>
            <w:r>
              <w:rPr>
                <w:b/>
                <w:noProof/>
                <w:color w:val="000000"/>
                <w:sz w:val="16"/>
              </w:rPr>
              <w:t xml:space="preserve"> 75 772 000</w:t>
            </w:r>
          </w:p>
        </w:tc>
        <w:tc>
          <w:tcPr>
            <w:tcW w:w="1134" w:type="dxa"/>
            <w:tcBorders>
              <w:top w:val="nil"/>
              <w:left w:val="nil"/>
              <w:bottom w:val="dotted" w:sz="4" w:space="0" w:color="auto"/>
              <w:right w:val="single" w:sz="4" w:space="0" w:color="auto"/>
            </w:tcBorders>
            <w:shd w:val="clear" w:color="000000" w:fill="D9D9D9"/>
            <w:vAlign w:val="bottom"/>
            <w:hideMark/>
          </w:tcPr>
          <w:p>
            <w:pPr>
              <w:jc w:val="right"/>
              <w:rPr>
                <w:b/>
                <w:bCs/>
                <w:noProof/>
                <w:color w:val="000000"/>
                <w:sz w:val="16"/>
                <w:szCs w:val="16"/>
              </w:rPr>
            </w:pPr>
            <w:r>
              <w:rPr>
                <w:b/>
                <w:noProof/>
                <w:color w:val="000000"/>
                <w:sz w:val="16"/>
              </w:rPr>
              <w:t xml:space="preserve">   </w:t>
            </w:r>
          </w:p>
        </w:tc>
        <w:tc>
          <w:tcPr>
            <w:tcW w:w="1418" w:type="dxa"/>
            <w:tcBorders>
              <w:top w:val="nil"/>
              <w:left w:val="nil"/>
              <w:bottom w:val="dotted" w:sz="4" w:space="0" w:color="auto"/>
              <w:right w:val="single" w:sz="4" w:space="0" w:color="auto"/>
            </w:tcBorders>
            <w:shd w:val="clear" w:color="000000" w:fill="D9D9D9"/>
            <w:vAlign w:val="bottom"/>
            <w:hideMark/>
          </w:tcPr>
          <w:p>
            <w:pPr>
              <w:jc w:val="right"/>
              <w:rPr>
                <w:b/>
                <w:bCs/>
                <w:noProof/>
                <w:color w:val="000000"/>
                <w:sz w:val="16"/>
                <w:szCs w:val="16"/>
              </w:rPr>
            </w:pPr>
            <w:r>
              <w:rPr>
                <w:b/>
                <w:noProof/>
                <w:color w:val="000000"/>
                <w:sz w:val="16"/>
              </w:rPr>
              <w:t>161 360 856 808</w:t>
            </w:r>
          </w:p>
        </w:tc>
        <w:tc>
          <w:tcPr>
            <w:tcW w:w="1417" w:type="dxa"/>
            <w:tcBorders>
              <w:top w:val="nil"/>
              <w:left w:val="nil"/>
              <w:bottom w:val="dotted" w:sz="4" w:space="0" w:color="auto"/>
              <w:right w:val="single" w:sz="4" w:space="0" w:color="auto"/>
            </w:tcBorders>
            <w:shd w:val="clear" w:color="000000" w:fill="D9D9D9"/>
            <w:vAlign w:val="bottom"/>
            <w:hideMark/>
          </w:tcPr>
          <w:p>
            <w:pPr>
              <w:jc w:val="right"/>
              <w:rPr>
                <w:b/>
                <w:bCs/>
                <w:noProof/>
                <w:color w:val="000000"/>
                <w:sz w:val="16"/>
                <w:szCs w:val="16"/>
              </w:rPr>
            </w:pPr>
            <w:r>
              <w:rPr>
                <w:b/>
                <w:noProof/>
                <w:color w:val="000000"/>
                <w:sz w:val="16"/>
              </w:rPr>
              <w:t>140 862 315 595</w:t>
            </w:r>
          </w:p>
        </w:tc>
      </w:tr>
      <w:tr>
        <w:trPr>
          <w:trHeight w:val="270"/>
        </w:trPr>
        <w:tc>
          <w:tcPr>
            <w:tcW w:w="2992" w:type="dxa"/>
            <w:gridSpan w:val="2"/>
            <w:tcBorders>
              <w:top w:val="dotted" w:sz="4" w:space="0" w:color="auto"/>
              <w:left w:val="single" w:sz="4" w:space="0" w:color="auto"/>
              <w:bottom w:val="dotted" w:sz="4" w:space="0" w:color="auto"/>
              <w:right w:val="single" w:sz="4" w:space="0" w:color="000000"/>
            </w:tcBorders>
            <w:shd w:val="clear" w:color="000000" w:fill="D9D9D9"/>
            <w:vAlign w:val="bottom"/>
            <w:hideMark/>
          </w:tcPr>
          <w:p>
            <w:pPr>
              <w:jc w:val="right"/>
              <w:rPr>
                <w:b/>
                <w:bCs/>
                <w:i/>
                <w:iCs/>
                <w:noProof/>
                <w:color w:val="000000"/>
                <w:sz w:val="16"/>
                <w:szCs w:val="16"/>
              </w:rPr>
            </w:pPr>
            <w:r>
              <w:rPr>
                <w:b/>
                <w:i/>
                <w:noProof/>
                <w:color w:val="000000"/>
                <w:sz w:val="16"/>
              </w:rPr>
              <w:t>dont part relevant de l'instrument de flexibilité</w:t>
            </w:r>
          </w:p>
        </w:tc>
        <w:tc>
          <w:tcPr>
            <w:tcW w:w="1366" w:type="dxa"/>
            <w:tcBorders>
              <w:top w:val="nil"/>
              <w:left w:val="nil"/>
              <w:bottom w:val="dotted" w:sz="4" w:space="0" w:color="auto"/>
              <w:right w:val="single" w:sz="4" w:space="0" w:color="auto"/>
            </w:tcBorders>
            <w:shd w:val="clear" w:color="000000" w:fill="D9D9D9"/>
            <w:vAlign w:val="bottom"/>
            <w:hideMark/>
          </w:tcPr>
          <w:p>
            <w:pPr>
              <w:jc w:val="right"/>
              <w:rPr>
                <w:b/>
                <w:bCs/>
                <w:i/>
                <w:iCs/>
                <w:noProof/>
                <w:color w:val="000000"/>
                <w:sz w:val="16"/>
                <w:szCs w:val="16"/>
              </w:rPr>
            </w:pPr>
            <w:r>
              <w:rPr>
                <w:b/>
                <w:i/>
                <w:noProof/>
                <w:color w:val="000000"/>
                <w:sz w:val="16"/>
              </w:rPr>
              <w:t xml:space="preserve"> 83 285 595</w:t>
            </w:r>
          </w:p>
        </w:tc>
        <w:tc>
          <w:tcPr>
            <w:tcW w:w="1327" w:type="dxa"/>
            <w:tcBorders>
              <w:top w:val="nil"/>
              <w:left w:val="nil"/>
              <w:bottom w:val="dotted" w:sz="4" w:space="0" w:color="auto"/>
              <w:right w:val="single" w:sz="4" w:space="0" w:color="auto"/>
            </w:tcBorders>
            <w:shd w:val="clear" w:color="000000" w:fill="D9D9D9"/>
            <w:vAlign w:val="bottom"/>
            <w:hideMark/>
          </w:tcPr>
          <w:p>
            <w:pPr>
              <w:jc w:val="right"/>
              <w:rPr>
                <w:b/>
                <w:bCs/>
                <w:i/>
                <w:iCs/>
                <w:noProof/>
                <w:color w:val="000000"/>
                <w:sz w:val="16"/>
                <w:szCs w:val="16"/>
              </w:rPr>
            </w:pPr>
            <w:r>
              <w:rPr>
                <w:b/>
                <w:i/>
                <w:noProof/>
                <w:color w:val="000000"/>
                <w:sz w:val="16"/>
              </w:rPr>
              <w:t xml:space="preserve"> 11 315 595</w:t>
            </w:r>
          </w:p>
        </w:tc>
        <w:tc>
          <w:tcPr>
            <w:tcW w:w="1134" w:type="dxa"/>
            <w:tcBorders>
              <w:top w:val="nil"/>
              <w:left w:val="nil"/>
              <w:bottom w:val="dotted" w:sz="4" w:space="0" w:color="auto"/>
              <w:right w:val="single" w:sz="4" w:space="0" w:color="auto"/>
            </w:tcBorders>
            <w:shd w:val="clear" w:color="000000" w:fill="D9D9D9"/>
            <w:vAlign w:val="bottom"/>
            <w:hideMark/>
          </w:tcPr>
          <w:p>
            <w:pPr>
              <w:jc w:val="right"/>
              <w:rPr>
                <w:b/>
                <w:bCs/>
                <w:i/>
                <w:iCs/>
                <w:noProof/>
                <w:color w:val="000000"/>
                <w:sz w:val="16"/>
                <w:szCs w:val="16"/>
              </w:rPr>
            </w:pPr>
            <w:r>
              <w:rPr>
                <w:b/>
                <w:i/>
                <w:noProof/>
                <w:color w:val="000000"/>
                <w:sz w:val="16"/>
              </w:rPr>
              <w:t> </w:t>
            </w:r>
          </w:p>
        </w:tc>
        <w:tc>
          <w:tcPr>
            <w:tcW w:w="1134" w:type="dxa"/>
            <w:tcBorders>
              <w:top w:val="nil"/>
              <w:left w:val="nil"/>
              <w:bottom w:val="dotted" w:sz="4" w:space="0" w:color="auto"/>
              <w:right w:val="single" w:sz="4" w:space="0" w:color="auto"/>
            </w:tcBorders>
            <w:shd w:val="clear" w:color="000000" w:fill="D9D9D9"/>
            <w:vAlign w:val="bottom"/>
            <w:hideMark/>
          </w:tcPr>
          <w:p>
            <w:pPr>
              <w:jc w:val="right"/>
              <w:rPr>
                <w:b/>
                <w:bCs/>
                <w:i/>
                <w:iCs/>
                <w:noProof/>
                <w:color w:val="000000"/>
                <w:sz w:val="16"/>
                <w:szCs w:val="16"/>
              </w:rPr>
            </w:pPr>
            <w:r>
              <w:rPr>
                <w:b/>
                <w:i/>
                <w:noProof/>
                <w:color w:val="000000"/>
                <w:sz w:val="16"/>
              </w:rPr>
              <w:t> </w:t>
            </w:r>
          </w:p>
        </w:tc>
        <w:tc>
          <w:tcPr>
            <w:tcW w:w="1418" w:type="dxa"/>
            <w:tcBorders>
              <w:top w:val="nil"/>
              <w:left w:val="nil"/>
              <w:bottom w:val="dotted" w:sz="4" w:space="0" w:color="auto"/>
              <w:right w:val="single" w:sz="4" w:space="0" w:color="auto"/>
            </w:tcBorders>
            <w:shd w:val="clear" w:color="000000" w:fill="D9D9D9"/>
            <w:vAlign w:val="bottom"/>
            <w:hideMark/>
          </w:tcPr>
          <w:p>
            <w:pPr>
              <w:jc w:val="right"/>
              <w:rPr>
                <w:b/>
                <w:bCs/>
                <w:i/>
                <w:iCs/>
                <w:noProof/>
                <w:color w:val="000000"/>
                <w:sz w:val="16"/>
                <w:szCs w:val="16"/>
              </w:rPr>
            </w:pPr>
            <w:r>
              <w:rPr>
                <w:b/>
                <w:i/>
                <w:noProof/>
                <w:color w:val="000000"/>
                <w:sz w:val="16"/>
              </w:rPr>
              <w:t xml:space="preserve"> 83 285 595</w:t>
            </w:r>
          </w:p>
        </w:tc>
        <w:tc>
          <w:tcPr>
            <w:tcW w:w="1417" w:type="dxa"/>
            <w:tcBorders>
              <w:top w:val="nil"/>
              <w:left w:val="nil"/>
              <w:bottom w:val="dotted" w:sz="4" w:space="0" w:color="auto"/>
              <w:right w:val="single" w:sz="4" w:space="0" w:color="auto"/>
            </w:tcBorders>
            <w:shd w:val="clear" w:color="000000" w:fill="D9D9D9"/>
            <w:vAlign w:val="bottom"/>
            <w:hideMark/>
          </w:tcPr>
          <w:p>
            <w:pPr>
              <w:jc w:val="right"/>
              <w:rPr>
                <w:b/>
                <w:bCs/>
                <w:i/>
                <w:iCs/>
                <w:noProof/>
                <w:color w:val="000000"/>
                <w:sz w:val="16"/>
                <w:szCs w:val="16"/>
              </w:rPr>
            </w:pPr>
            <w:r>
              <w:rPr>
                <w:b/>
                <w:i/>
                <w:noProof/>
                <w:color w:val="000000"/>
                <w:sz w:val="16"/>
              </w:rPr>
              <w:t xml:space="preserve"> 11 315 595</w:t>
            </w:r>
          </w:p>
        </w:tc>
      </w:tr>
      <w:tr>
        <w:trPr>
          <w:trHeight w:val="270"/>
        </w:trPr>
        <w:tc>
          <w:tcPr>
            <w:tcW w:w="2992" w:type="dxa"/>
            <w:gridSpan w:val="2"/>
            <w:tcBorders>
              <w:top w:val="dotted" w:sz="4" w:space="0" w:color="auto"/>
              <w:left w:val="single" w:sz="4" w:space="0" w:color="auto"/>
              <w:bottom w:val="dotted" w:sz="4" w:space="0" w:color="auto"/>
              <w:right w:val="single" w:sz="4" w:space="0" w:color="000000"/>
            </w:tcBorders>
            <w:shd w:val="clear" w:color="000000" w:fill="D9D9D9"/>
            <w:vAlign w:val="bottom"/>
            <w:hideMark/>
          </w:tcPr>
          <w:p>
            <w:pPr>
              <w:jc w:val="right"/>
              <w:rPr>
                <w:b/>
                <w:bCs/>
                <w:i/>
                <w:iCs/>
                <w:noProof/>
                <w:color w:val="000000"/>
                <w:sz w:val="16"/>
                <w:szCs w:val="16"/>
              </w:rPr>
            </w:pPr>
            <w:r>
              <w:rPr>
                <w:b/>
                <w:i/>
                <w:noProof/>
                <w:color w:val="000000"/>
                <w:sz w:val="16"/>
              </w:rPr>
              <w:t>Plafond</w:t>
            </w:r>
          </w:p>
        </w:tc>
        <w:tc>
          <w:tcPr>
            <w:tcW w:w="1366" w:type="dxa"/>
            <w:tcBorders>
              <w:top w:val="nil"/>
              <w:left w:val="nil"/>
              <w:bottom w:val="dotted" w:sz="4" w:space="0" w:color="auto"/>
              <w:right w:val="single" w:sz="4" w:space="0" w:color="auto"/>
            </w:tcBorders>
            <w:shd w:val="clear" w:color="000000" w:fill="D9D9D9"/>
            <w:vAlign w:val="bottom"/>
            <w:hideMark/>
          </w:tcPr>
          <w:p>
            <w:pPr>
              <w:jc w:val="right"/>
              <w:rPr>
                <w:b/>
                <w:bCs/>
                <w:i/>
                <w:iCs/>
                <w:noProof/>
                <w:color w:val="000000"/>
                <w:sz w:val="16"/>
                <w:szCs w:val="16"/>
              </w:rPr>
            </w:pPr>
            <w:r>
              <w:rPr>
                <w:b/>
                <w:i/>
                <w:noProof/>
                <w:color w:val="000000"/>
                <w:sz w:val="16"/>
              </w:rPr>
              <w:t>162 959 000 000</w:t>
            </w:r>
          </w:p>
        </w:tc>
        <w:tc>
          <w:tcPr>
            <w:tcW w:w="1327" w:type="dxa"/>
            <w:tcBorders>
              <w:top w:val="nil"/>
              <w:left w:val="nil"/>
              <w:bottom w:val="dotted" w:sz="4" w:space="0" w:color="auto"/>
              <w:right w:val="single" w:sz="4" w:space="0" w:color="auto"/>
            </w:tcBorders>
            <w:shd w:val="clear" w:color="000000" w:fill="D9D9D9"/>
            <w:vAlign w:val="bottom"/>
            <w:hideMark/>
          </w:tcPr>
          <w:p>
            <w:pPr>
              <w:jc w:val="right"/>
              <w:rPr>
                <w:b/>
                <w:bCs/>
                <w:i/>
                <w:iCs/>
                <w:noProof/>
                <w:color w:val="000000"/>
                <w:sz w:val="16"/>
                <w:szCs w:val="16"/>
              </w:rPr>
            </w:pPr>
            <w:r>
              <w:rPr>
                <w:b/>
                <w:i/>
                <w:noProof/>
                <w:color w:val="000000"/>
                <w:sz w:val="16"/>
              </w:rPr>
              <w:t>141 901 000 000</w:t>
            </w:r>
          </w:p>
        </w:tc>
        <w:tc>
          <w:tcPr>
            <w:tcW w:w="1134" w:type="dxa"/>
            <w:tcBorders>
              <w:top w:val="nil"/>
              <w:left w:val="nil"/>
              <w:bottom w:val="dotted" w:sz="4" w:space="0" w:color="auto"/>
              <w:right w:val="single" w:sz="4" w:space="0" w:color="auto"/>
            </w:tcBorders>
            <w:shd w:val="clear" w:color="000000" w:fill="D9D9D9"/>
            <w:vAlign w:val="bottom"/>
            <w:hideMark/>
          </w:tcPr>
          <w:p>
            <w:pPr>
              <w:jc w:val="right"/>
              <w:rPr>
                <w:b/>
                <w:bCs/>
                <w:i/>
                <w:iCs/>
                <w:noProof/>
                <w:color w:val="000000"/>
                <w:sz w:val="16"/>
                <w:szCs w:val="16"/>
              </w:rPr>
            </w:pPr>
            <w:r>
              <w:rPr>
                <w:b/>
                <w:i/>
                <w:noProof/>
                <w:color w:val="000000"/>
                <w:sz w:val="16"/>
              </w:rPr>
              <w:t> </w:t>
            </w:r>
          </w:p>
        </w:tc>
        <w:tc>
          <w:tcPr>
            <w:tcW w:w="1134" w:type="dxa"/>
            <w:tcBorders>
              <w:top w:val="nil"/>
              <w:left w:val="nil"/>
              <w:bottom w:val="dotted" w:sz="4" w:space="0" w:color="auto"/>
              <w:right w:val="single" w:sz="4" w:space="0" w:color="auto"/>
            </w:tcBorders>
            <w:shd w:val="clear" w:color="000000" w:fill="D9D9D9"/>
            <w:vAlign w:val="bottom"/>
            <w:hideMark/>
          </w:tcPr>
          <w:p>
            <w:pPr>
              <w:jc w:val="right"/>
              <w:rPr>
                <w:b/>
                <w:bCs/>
                <w:i/>
                <w:iCs/>
                <w:noProof/>
                <w:color w:val="000000"/>
                <w:sz w:val="16"/>
                <w:szCs w:val="16"/>
              </w:rPr>
            </w:pPr>
            <w:r>
              <w:rPr>
                <w:b/>
                <w:i/>
                <w:noProof/>
                <w:color w:val="000000"/>
                <w:sz w:val="16"/>
              </w:rPr>
              <w:t> </w:t>
            </w:r>
          </w:p>
        </w:tc>
        <w:tc>
          <w:tcPr>
            <w:tcW w:w="1418" w:type="dxa"/>
            <w:tcBorders>
              <w:top w:val="nil"/>
              <w:left w:val="nil"/>
              <w:bottom w:val="dotted" w:sz="4" w:space="0" w:color="auto"/>
              <w:right w:val="single" w:sz="4" w:space="0" w:color="auto"/>
            </w:tcBorders>
            <w:shd w:val="clear" w:color="000000" w:fill="D9D9D9"/>
            <w:vAlign w:val="bottom"/>
            <w:hideMark/>
          </w:tcPr>
          <w:p>
            <w:pPr>
              <w:jc w:val="right"/>
              <w:rPr>
                <w:b/>
                <w:bCs/>
                <w:i/>
                <w:iCs/>
                <w:noProof/>
                <w:color w:val="000000"/>
                <w:sz w:val="16"/>
                <w:szCs w:val="16"/>
              </w:rPr>
            </w:pPr>
            <w:r>
              <w:rPr>
                <w:b/>
                <w:i/>
                <w:noProof/>
                <w:color w:val="000000"/>
                <w:sz w:val="16"/>
              </w:rPr>
              <w:t>162 959 000 000</w:t>
            </w:r>
          </w:p>
        </w:tc>
        <w:tc>
          <w:tcPr>
            <w:tcW w:w="1417" w:type="dxa"/>
            <w:tcBorders>
              <w:top w:val="nil"/>
              <w:left w:val="nil"/>
              <w:bottom w:val="dotted" w:sz="4" w:space="0" w:color="auto"/>
              <w:right w:val="single" w:sz="4" w:space="0" w:color="auto"/>
            </w:tcBorders>
            <w:shd w:val="clear" w:color="000000" w:fill="D9D9D9"/>
            <w:vAlign w:val="bottom"/>
            <w:hideMark/>
          </w:tcPr>
          <w:p>
            <w:pPr>
              <w:jc w:val="right"/>
              <w:rPr>
                <w:b/>
                <w:bCs/>
                <w:i/>
                <w:iCs/>
                <w:noProof/>
                <w:color w:val="000000"/>
                <w:sz w:val="16"/>
                <w:szCs w:val="16"/>
              </w:rPr>
            </w:pPr>
            <w:r>
              <w:rPr>
                <w:b/>
                <w:i/>
                <w:noProof/>
                <w:color w:val="000000"/>
                <w:sz w:val="16"/>
              </w:rPr>
              <w:t>141 901 000 000</w:t>
            </w:r>
          </w:p>
        </w:tc>
      </w:tr>
      <w:tr>
        <w:trPr>
          <w:trHeight w:val="270"/>
        </w:trPr>
        <w:tc>
          <w:tcPr>
            <w:tcW w:w="2992" w:type="dxa"/>
            <w:gridSpan w:val="2"/>
            <w:tcBorders>
              <w:top w:val="dotted" w:sz="4" w:space="0" w:color="auto"/>
              <w:left w:val="single" w:sz="4" w:space="0" w:color="auto"/>
              <w:bottom w:val="nil"/>
              <w:right w:val="single" w:sz="4" w:space="0" w:color="000000"/>
            </w:tcBorders>
            <w:shd w:val="clear" w:color="000000" w:fill="D9D9D9"/>
            <w:vAlign w:val="bottom"/>
            <w:hideMark/>
          </w:tcPr>
          <w:p>
            <w:pPr>
              <w:jc w:val="right"/>
              <w:rPr>
                <w:b/>
                <w:bCs/>
                <w:i/>
                <w:iCs/>
                <w:noProof/>
                <w:color w:val="000000"/>
                <w:sz w:val="16"/>
                <w:szCs w:val="16"/>
              </w:rPr>
            </w:pPr>
            <w:r>
              <w:rPr>
                <w:b/>
                <w:i/>
                <w:noProof/>
                <w:color w:val="000000"/>
                <w:sz w:val="16"/>
              </w:rPr>
              <w:t>Marge</w:t>
            </w:r>
          </w:p>
        </w:tc>
        <w:tc>
          <w:tcPr>
            <w:tcW w:w="1366" w:type="dxa"/>
            <w:tcBorders>
              <w:top w:val="nil"/>
              <w:left w:val="nil"/>
              <w:bottom w:val="single" w:sz="4" w:space="0" w:color="auto"/>
              <w:right w:val="single" w:sz="4" w:space="0" w:color="auto"/>
            </w:tcBorders>
            <w:shd w:val="clear" w:color="000000" w:fill="D9D9D9"/>
            <w:vAlign w:val="bottom"/>
            <w:hideMark/>
          </w:tcPr>
          <w:p>
            <w:pPr>
              <w:jc w:val="right"/>
              <w:rPr>
                <w:b/>
                <w:bCs/>
                <w:i/>
                <w:iCs/>
                <w:noProof/>
                <w:color w:val="000000"/>
                <w:sz w:val="16"/>
                <w:szCs w:val="16"/>
              </w:rPr>
            </w:pPr>
            <w:r>
              <w:rPr>
                <w:b/>
                <w:i/>
                <w:noProof/>
                <w:color w:val="000000"/>
                <w:sz w:val="16"/>
              </w:rPr>
              <w:t>1 757 200 787</w:t>
            </w:r>
          </w:p>
        </w:tc>
        <w:tc>
          <w:tcPr>
            <w:tcW w:w="1327" w:type="dxa"/>
            <w:tcBorders>
              <w:top w:val="nil"/>
              <w:left w:val="nil"/>
              <w:bottom w:val="single" w:sz="4" w:space="0" w:color="auto"/>
              <w:right w:val="single" w:sz="4" w:space="0" w:color="auto"/>
            </w:tcBorders>
            <w:shd w:val="clear" w:color="000000" w:fill="D9D9D9"/>
            <w:vAlign w:val="bottom"/>
            <w:hideMark/>
          </w:tcPr>
          <w:p>
            <w:pPr>
              <w:jc w:val="right"/>
              <w:rPr>
                <w:b/>
                <w:bCs/>
                <w:i/>
                <w:iCs/>
                <w:noProof/>
                <w:color w:val="000000"/>
                <w:sz w:val="16"/>
                <w:szCs w:val="16"/>
              </w:rPr>
            </w:pPr>
            <w:r>
              <w:rPr>
                <w:b/>
                <w:i/>
                <w:noProof/>
                <w:color w:val="000000"/>
                <w:sz w:val="16"/>
              </w:rPr>
              <w:t>1 050 000 000</w:t>
            </w:r>
          </w:p>
        </w:tc>
        <w:tc>
          <w:tcPr>
            <w:tcW w:w="1134" w:type="dxa"/>
            <w:tcBorders>
              <w:top w:val="nil"/>
              <w:left w:val="nil"/>
              <w:bottom w:val="single" w:sz="4" w:space="0" w:color="auto"/>
              <w:right w:val="single" w:sz="4" w:space="0" w:color="auto"/>
            </w:tcBorders>
            <w:shd w:val="clear" w:color="000000" w:fill="D9D9D9"/>
            <w:vAlign w:val="bottom"/>
            <w:hideMark/>
          </w:tcPr>
          <w:p>
            <w:pPr>
              <w:jc w:val="right"/>
              <w:rPr>
                <w:b/>
                <w:bCs/>
                <w:i/>
                <w:iCs/>
                <w:noProof/>
                <w:color w:val="000000"/>
                <w:sz w:val="16"/>
                <w:szCs w:val="16"/>
              </w:rPr>
            </w:pPr>
            <w:r>
              <w:rPr>
                <w:b/>
                <w:i/>
                <w:noProof/>
                <w:color w:val="000000"/>
                <w:sz w:val="16"/>
              </w:rPr>
              <w:t> </w:t>
            </w:r>
          </w:p>
        </w:tc>
        <w:tc>
          <w:tcPr>
            <w:tcW w:w="1134" w:type="dxa"/>
            <w:tcBorders>
              <w:top w:val="nil"/>
              <w:left w:val="nil"/>
              <w:bottom w:val="single" w:sz="4" w:space="0" w:color="auto"/>
              <w:right w:val="single" w:sz="4" w:space="0" w:color="auto"/>
            </w:tcBorders>
            <w:shd w:val="clear" w:color="000000" w:fill="D9D9D9"/>
            <w:vAlign w:val="bottom"/>
            <w:hideMark/>
          </w:tcPr>
          <w:p>
            <w:pPr>
              <w:jc w:val="right"/>
              <w:rPr>
                <w:b/>
                <w:bCs/>
                <w:i/>
                <w:iCs/>
                <w:noProof/>
                <w:color w:val="000000"/>
                <w:sz w:val="16"/>
                <w:szCs w:val="16"/>
              </w:rPr>
            </w:pPr>
            <w:r>
              <w:rPr>
                <w:b/>
                <w:i/>
                <w:noProof/>
                <w:color w:val="000000"/>
                <w:sz w:val="16"/>
              </w:rPr>
              <w:t> </w:t>
            </w:r>
          </w:p>
        </w:tc>
        <w:tc>
          <w:tcPr>
            <w:tcW w:w="1418" w:type="dxa"/>
            <w:tcBorders>
              <w:top w:val="nil"/>
              <w:left w:val="nil"/>
              <w:bottom w:val="single" w:sz="4" w:space="0" w:color="auto"/>
              <w:right w:val="single" w:sz="4" w:space="0" w:color="auto"/>
            </w:tcBorders>
            <w:shd w:val="clear" w:color="000000" w:fill="D9D9D9"/>
            <w:vAlign w:val="bottom"/>
            <w:hideMark/>
          </w:tcPr>
          <w:p>
            <w:pPr>
              <w:jc w:val="right"/>
              <w:rPr>
                <w:b/>
                <w:bCs/>
                <w:i/>
                <w:iCs/>
                <w:noProof/>
                <w:color w:val="000000"/>
                <w:sz w:val="16"/>
                <w:szCs w:val="16"/>
              </w:rPr>
            </w:pPr>
            <w:r>
              <w:rPr>
                <w:b/>
                <w:i/>
                <w:noProof/>
                <w:color w:val="000000"/>
                <w:sz w:val="16"/>
              </w:rPr>
              <w:t>1 681 428 787</w:t>
            </w:r>
          </w:p>
        </w:tc>
        <w:tc>
          <w:tcPr>
            <w:tcW w:w="1417" w:type="dxa"/>
            <w:tcBorders>
              <w:top w:val="nil"/>
              <w:left w:val="nil"/>
              <w:bottom w:val="single" w:sz="4" w:space="0" w:color="auto"/>
              <w:right w:val="single" w:sz="4" w:space="0" w:color="auto"/>
            </w:tcBorders>
            <w:shd w:val="clear" w:color="000000" w:fill="D9D9D9"/>
            <w:vAlign w:val="bottom"/>
            <w:hideMark/>
          </w:tcPr>
          <w:p>
            <w:pPr>
              <w:jc w:val="right"/>
              <w:rPr>
                <w:b/>
                <w:bCs/>
                <w:i/>
                <w:iCs/>
                <w:noProof/>
                <w:color w:val="000000"/>
                <w:sz w:val="16"/>
                <w:szCs w:val="16"/>
              </w:rPr>
            </w:pPr>
            <w:r>
              <w:rPr>
                <w:b/>
                <w:i/>
                <w:noProof/>
                <w:color w:val="000000"/>
                <w:sz w:val="16"/>
              </w:rPr>
              <w:t>1 050 000 000</w:t>
            </w:r>
          </w:p>
        </w:tc>
      </w:tr>
      <w:tr>
        <w:trPr>
          <w:trHeight w:val="270"/>
        </w:trPr>
        <w:tc>
          <w:tcPr>
            <w:tcW w:w="376" w:type="dxa"/>
            <w:tcBorders>
              <w:top w:val="single" w:sz="4" w:space="0" w:color="auto"/>
              <w:left w:val="single" w:sz="4" w:space="0" w:color="auto"/>
              <w:bottom w:val="single" w:sz="4" w:space="0" w:color="auto"/>
              <w:right w:val="nil"/>
            </w:tcBorders>
            <w:shd w:val="clear" w:color="auto" w:fill="auto"/>
            <w:vAlign w:val="bottom"/>
            <w:hideMark/>
          </w:tcPr>
          <w:p>
            <w:pPr>
              <w:rPr>
                <w:noProof/>
                <w:color w:val="000000"/>
                <w:sz w:val="16"/>
                <w:szCs w:val="16"/>
              </w:rPr>
            </w:pPr>
            <w:r>
              <w:rPr>
                <w:noProof/>
                <w:color w:val="000000"/>
                <w:sz w:val="16"/>
              </w:rPr>
              <w:t> </w:t>
            </w:r>
          </w:p>
        </w:tc>
        <w:tc>
          <w:tcPr>
            <w:tcW w:w="2616" w:type="dxa"/>
            <w:tcBorders>
              <w:top w:val="single" w:sz="4" w:space="0" w:color="auto"/>
              <w:left w:val="nil"/>
              <w:bottom w:val="single" w:sz="4" w:space="0" w:color="auto"/>
              <w:right w:val="single" w:sz="4" w:space="0" w:color="auto"/>
            </w:tcBorders>
            <w:shd w:val="clear" w:color="auto" w:fill="auto"/>
            <w:vAlign w:val="bottom"/>
            <w:hideMark/>
          </w:tcPr>
          <w:p>
            <w:pPr>
              <w:rPr>
                <w:b/>
                <w:bCs/>
                <w:noProof/>
                <w:color w:val="000000"/>
                <w:sz w:val="16"/>
                <w:szCs w:val="16"/>
              </w:rPr>
            </w:pPr>
            <w:r>
              <w:rPr>
                <w:b/>
                <w:noProof/>
                <w:color w:val="000000"/>
                <w:sz w:val="16"/>
              </w:rPr>
              <w:t>Autres instruments spéciaux</w:t>
            </w:r>
          </w:p>
        </w:tc>
        <w:tc>
          <w:tcPr>
            <w:tcW w:w="1366" w:type="dxa"/>
            <w:tcBorders>
              <w:top w:val="nil"/>
              <w:left w:val="nil"/>
              <w:bottom w:val="single" w:sz="4" w:space="0" w:color="auto"/>
              <w:right w:val="single" w:sz="4" w:space="0" w:color="auto"/>
            </w:tcBorders>
            <w:shd w:val="clear" w:color="auto" w:fill="auto"/>
            <w:vAlign w:val="bottom"/>
            <w:hideMark/>
          </w:tcPr>
          <w:p>
            <w:pPr>
              <w:jc w:val="right"/>
              <w:rPr>
                <w:b/>
                <w:bCs/>
                <w:noProof/>
                <w:color w:val="000000"/>
                <w:sz w:val="16"/>
                <w:szCs w:val="16"/>
              </w:rPr>
            </w:pPr>
            <w:r>
              <w:rPr>
                <w:b/>
                <w:noProof/>
                <w:color w:val="000000"/>
                <w:sz w:val="16"/>
              </w:rPr>
              <w:t xml:space="preserve"> 581 870 850</w:t>
            </w:r>
          </w:p>
        </w:tc>
        <w:tc>
          <w:tcPr>
            <w:tcW w:w="1327" w:type="dxa"/>
            <w:tcBorders>
              <w:top w:val="nil"/>
              <w:left w:val="nil"/>
              <w:bottom w:val="single" w:sz="4" w:space="0" w:color="auto"/>
              <w:right w:val="single" w:sz="4" w:space="0" w:color="auto"/>
            </w:tcBorders>
            <w:shd w:val="clear" w:color="auto" w:fill="auto"/>
            <w:vAlign w:val="bottom"/>
            <w:hideMark/>
          </w:tcPr>
          <w:p>
            <w:pPr>
              <w:jc w:val="right"/>
              <w:rPr>
                <w:b/>
                <w:bCs/>
                <w:noProof/>
                <w:color w:val="000000"/>
                <w:sz w:val="16"/>
                <w:szCs w:val="16"/>
              </w:rPr>
            </w:pPr>
            <w:r>
              <w:rPr>
                <w:b/>
                <w:noProof/>
                <w:color w:val="000000"/>
                <w:sz w:val="16"/>
              </w:rPr>
              <w:t xml:space="preserve"> 418 230 818</w:t>
            </w:r>
          </w:p>
        </w:tc>
        <w:tc>
          <w:tcPr>
            <w:tcW w:w="1134" w:type="dxa"/>
            <w:tcBorders>
              <w:top w:val="nil"/>
              <w:left w:val="nil"/>
              <w:bottom w:val="single" w:sz="4" w:space="0" w:color="auto"/>
              <w:right w:val="single" w:sz="4" w:space="0" w:color="auto"/>
            </w:tcBorders>
            <w:shd w:val="clear" w:color="auto" w:fill="auto"/>
            <w:vAlign w:val="bottom"/>
            <w:hideMark/>
          </w:tcPr>
          <w:p>
            <w:pPr>
              <w:jc w:val="right"/>
              <w:rPr>
                <w:b/>
                <w:bCs/>
                <w:noProof/>
                <w:color w:val="000000"/>
                <w:sz w:val="16"/>
                <w:szCs w:val="16"/>
              </w:rPr>
            </w:pPr>
            <w:r>
              <w:rPr>
                <w:b/>
                <w:noProof/>
                <w:color w:val="000000"/>
                <w:sz w:val="16"/>
              </w:rPr>
              <w:t> </w:t>
            </w:r>
          </w:p>
        </w:tc>
        <w:tc>
          <w:tcPr>
            <w:tcW w:w="1134" w:type="dxa"/>
            <w:tcBorders>
              <w:top w:val="nil"/>
              <w:left w:val="nil"/>
              <w:bottom w:val="single" w:sz="4" w:space="0" w:color="auto"/>
              <w:right w:val="single" w:sz="4" w:space="0" w:color="auto"/>
            </w:tcBorders>
            <w:shd w:val="clear" w:color="auto" w:fill="auto"/>
            <w:vAlign w:val="bottom"/>
            <w:hideMark/>
          </w:tcPr>
          <w:p>
            <w:pPr>
              <w:jc w:val="right"/>
              <w:rPr>
                <w:b/>
                <w:bCs/>
                <w:noProof/>
                <w:color w:val="000000"/>
                <w:sz w:val="16"/>
                <w:szCs w:val="16"/>
              </w:rPr>
            </w:pPr>
            <w:r>
              <w:rPr>
                <w:b/>
                <w:noProof/>
                <w:color w:val="000000"/>
                <w:sz w:val="16"/>
              </w:rPr>
              <w:t> </w:t>
            </w:r>
          </w:p>
        </w:tc>
        <w:tc>
          <w:tcPr>
            <w:tcW w:w="1418" w:type="dxa"/>
            <w:tcBorders>
              <w:top w:val="nil"/>
              <w:left w:val="nil"/>
              <w:bottom w:val="single" w:sz="4" w:space="0" w:color="auto"/>
              <w:right w:val="single" w:sz="4" w:space="0" w:color="auto"/>
            </w:tcBorders>
            <w:shd w:val="clear" w:color="auto" w:fill="auto"/>
            <w:vAlign w:val="bottom"/>
            <w:hideMark/>
          </w:tcPr>
          <w:p>
            <w:pPr>
              <w:jc w:val="right"/>
              <w:rPr>
                <w:b/>
                <w:bCs/>
                <w:noProof/>
                <w:color w:val="000000"/>
                <w:sz w:val="16"/>
                <w:szCs w:val="16"/>
              </w:rPr>
            </w:pPr>
            <w:r>
              <w:rPr>
                <w:b/>
                <w:noProof/>
                <w:color w:val="000000"/>
                <w:sz w:val="16"/>
              </w:rPr>
              <w:t xml:space="preserve"> 581 870 850</w:t>
            </w:r>
          </w:p>
        </w:tc>
        <w:tc>
          <w:tcPr>
            <w:tcW w:w="1417" w:type="dxa"/>
            <w:tcBorders>
              <w:top w:val="nil"/>
              <w:left w:val="nil"/>
              <w:bottom w:val="single" w:sz="4" w:space="0" w:color="auto"/>
              <w:right w:val="single" w:sz="4" w:space="0" w:color="auto"/>
            </w:tcBorders>
            <w:shd w:val="clear" w:color="auto" w:fill="auto"/>
            <w:vAlign w:val="bottom"/>
            <w:hideMark/>
          </w:tcPr>
          <w:p>
            <w:pPr>
              <w:jc w:val="right"/>
              <w:rPr>
                <w:b/>
                <w:bCs/>
                <w:noProof/>
                <w:color w:val="000000"/>
                <w:sz w:val="16"/>
                <w:szCs w:val="16"/>
              </w:rPr>
            </w:pPr>
            <w:r>
              <w:rPr>
                <w:b/>
                <w:noProof/>
                <w:color w:val="000000"/>
                <w:sz w:val="16"/>
              </w:rPr>
              <w:t xml:space="preserve"> 418 230 818</w:t>
            </w:r>
          </w:p>
        </w:tc>
      </w:tr>
      <w:tr>
        <w:trPr>
          <w:trHeight w:val="270"/>
        </w:trPr>
        <w:tc>
          <w:tcPr>
            <w:tcW w:w="2992" w:type="dxa"/>
            <w:gridSpan w:val="2"/>
            <w:tcBorders>
              <w:top w:val="nil"/>
              <w:left w:val="single" w:sz="4" w:space="0" w:color="auto"/>
              <w:bottom w:val="single" w:sz="4" w:space="0" w:color="auto"/>
              <w:right w:val="single" w:sz="4" w:space="0" w:color="000000"/>
            </w:tcBorders>
            <w:shd w:val="clear" w:color="000000" w:fill="D9D9D9"/>
            <w:vAlign w:val="bottom"/>
            <w:hideMark/>
          </w:tcPr>
          <w:p>
            <w:pPr>
              <w:jc w:val="right"/>
              <w:rPr>
                <w:b/>
                <w:bCs/>
                <w:noProof/>
                <w:color w:val="000000"/>
                <w:sz w:val="16"/>
                <w:szCs w:val="16"/>
              </w:rPr>
            </w:pPr>
            <w:r>
              <w:rPr>
                <w:b/>
                <w:noProof/>
                <w:color w:val="000000"/>
                <w:sz w:val="16"/>
              </w:rPr>
              <w:t>Total général</w:t>
            </w:r>
          </w:p>
        </w:tc>
        <w:tc>
          <w:tcPr>
            <w:tcW w:w="1366" w:type="dxa"/>
            <w:tcBorders>
              <w:top w:val="nil"/>
              <w:left w:val="nil"/>
              <w:bottom w:val="single" w:sz="4" w:space="0" w:color="auto"/>
              <w:right w:val="single" w:sz="4" w:space="0" w:color="auto"/>
            </w:tcBorders>
            <w:shd w:val="clear" w:color="000000" w:fill="D9D9D9"/>
            <w:vAlign w:val="bottom"/>
            <w:hideMark/>
          </w:tcPr>
          <w:p>
            <w:pPr>
              <w:jc w:val="right"/>
              <w:rPr>
                <w:b/>
                <w:bCs/>
                <w:noProof/>
                <w:color w:val="000000"/>
                <w:sz w:val="16"/>
                <w:szCs w:val="16"/>
              </w:rPr>
            </w:pPr>
            <w:r>
              <w:rPr>
                <w:b/>
                <w:noProof/>
                <w:color w:val="000000"/>
                <w:sz w:val="16"/>
              </w:rPr>
              <w:t>161 866 955 658</w:t>
            </w:r>
          </w:p>
        </w:tc>
        <w:tc>
          <w:tcPr>
            <w:tcW w:w="1327" w:type="dxa"/>
            <w:tcBorders>
              <w:top w:val="nil"/>
              <w:left w:val="nil"/>
              <w:bottom w:val="single" w:sz="4" w:space="0" w:color="auto"/>
              <w:right w:val="single" w:sz="4" w:space="0" w:color="auto"/>
            </w:tcBorders>
            <w:shd w:val="clear" w:color="000000" w:fill="D9D9D9"/>
            <w:vAlign w:val="bottom"/>
            <w:hideMark/>
          </w:tcPr>
          <w:p>
            <w:pPr>
              <w:jc w:val="right"/>
              <w:rPr>
                <w:b/>
                <w:bCs/>
                <w:noProof/>
                <w:color w:val="000000"/>
                <w:sz w:val="16"/>
                <w:szCs w:val="16"/>
              </w:rPr>
            </w:pPr>
            <w:r>
              <w:rPr>
                <w:b/>
                <w:noProof/>
                <w:color w:val="000000"/>
                <w:sz w:val="16"/>
              </w:rPr>
              <w:t>141 280 546 413</w:t>
            </w:r>
          </w:p>
        </w:tc>
        <w:tc>
          <w:tcPr>
            <w:tcW w:w="1134" w:type="dxa"/>
            <w:tcBorders>
              <w:top w:val="nil"/>
              <w:left w:val="nil"/>
              <w:bottom w:val="single" w:sz="4" w:space="0" w:color="auto"/>
              <w:right w:val="single" w:sz="4" w:space="0" w:color="auto"/>
            </w:tcBorders>
            <w:shd w:val="clear" w:color="000000" w:fill="D9D9D9"/>
            <w:vAlign w:val="bottom"/>
            <w:hideMark/>
          </w:tcPr>
          <w:p>
            <w:pPr>
              <w:jc w:val="right"/>
              <w:rPr>
                <w:b/>
                <w:bCs/>
                <w:noProof/>
                <w:color w:val="000000"/>
                <w:sz w:val="16"/>
                <w:szCs w:val="16"/>
              </w:rPr>
            </w:pPr>
            <w:r>
              <w:rPr>
                <w:b/>
                <w:noProof/>
                <w:color w:val="000000"/>
                <w:sz w:val="16"/>
              </w:rPr>
              <w:t xml:space="preserve"> 75 772 000</w:t>
            </w:r>
          </w:p>
        </w:tc>
        <w:tc>
          <w:tcPr>
            <w:tcW w:w="1134" w:type="dxa"/>
            <w:tcBorders>
              <w:top w:val="nil"/>
              <w:left w:val="nil"/>
              <w:bottom w:val="single" w:sz="4" w:space="0" w:color="auto"/>
              <w:right w:val="single" w:sz="4" w:space="0" w:color="auto"/>
            </w:tcBorders>
            <w:shd w:val="clear" w:color="000000" w:fill="D9D9D9"/>
            <w:vAlign w:val="bottom"/>
            <w:hideMark/>
          </w:tcPr>
          <w:p>
            <w:pPr>
              <w:jc w:val="right"/>
              <w:rPr>
                <w:b/>
                <w:bCs/>
                <w:noProof/>
                <w:color w:val="000000"/>
                <w:sz w:val="16"/>
                <w:szCs w:val="16"/>
              </w:rPr>
            </w:pPr>
            <w:r>
              <w:rPr>
                <w:b/>
                <w:noProof/>
                <w:color w:val="000000"/>
                <w:sz w:val="16"/>
              </w:rPr>
              <w:t xml:space="preserve">   </w:t>
            </w:r>
          </w:p>
        </w:tc>
        <w:tc>
          <w:tcPr>
            <w:tcW w:w="1418" w:type="dxa"/>
            <w:tcBorders>
              <w:top w:val="nil"/>
              <w:left w:val="nil"/>
              <w:bottom w:val="single" w:sz="4" w:space="0" w:color="auto"/>
              <w:right w:val="single" w:sz="4" w:space="0" w:color="auto"/>
            </w:tcBorders>
            <w:shd w:val="clear" w:color="000000" w:fill="D9D9D9"/>
            <w:vAlign w:val="bottom"/>
            <w:hideMark/>
          </w:tcPr>
          <w:p>
            <w:pPr>
              <w:jc w:val="right"/>
              <w:rPr>
                <w:b/>
                <w:bCs/>
                <w:noProof/>
                <w:color w:val="000000"/>
                <w:sz w:val="16"/>
                <w:szCs w:val="16"/>
              </w:rPr>
            </w:pPr>
            <w:r>
              <w:rPr>
                <w:b/>
                <w:noProof/>
                <w:color w:val="000000"/>
                <w:sz w:val="16"/>
              </w:rPr>
              <w:t>161 942 727 658</w:t>
            </w:r>
          </w:p>
        </w:tc>
        <w:tc>
          <w:tcPr>
            <w:tcW w:w="1417" w:type="dxa"/>
            <w:tcBorders>
              <w:top w:val="nil"/>
              <w:left w:val="nil"/>
              <w:bottom w:val="single" w:sz="4" w:space="0" w:color="auto"/>
              <w:right w:val="single" w:sz="4" w:space="0" w:color="auto"/>
            </w:tcBorders>
            <w:shd w:val="clear" w:color="000000" w:fill="D9D9D9"/>
            <w:vAlign w:val="bottom"/>
            <w:hideMark/>
          </w:tcPr>
          <w:p>
            <w:pPr>
              <w:jc w:val="right"/>
              <w:rPr>
                <w:b/>
                <w:bCs/>
                <w:noProof/>
                <w:color w:val="000000"/>
                <w:sz w:val="16"/>
                <w:szCs w:val="16"/>
              </w:rPr>
            </w:pPr>
            <w:r>
              <w:rPr>
                <w:b/>
                <w:noProof/>
                <w:color w:val="000000"/>
                <w:sz w:val="16"/>
              </w:rPr>
              <w:t>141 280 546 413</w:t>
            </w:r>
          </w:p>
        </w:tc>
      </w:tr>
    </w:tbl>
    <w:p>
      <w:pPr>
        <w:spacing w:before="120" w:after="120"/>
        <w:ind w:left="1440"/>
        <w:rPr>
          <w:noProof/>
        </w:rPr>
      </w:pPr>
    </w:p>
    <w:bookmarkEnd w:id="2"/>
    <w:bookmarkEnd w:id="11"/>
    <w:bookmarkEnd w:id="12"/>
    <w:bookmarkEnd w:id="3"/>
    <w:bookmarkEnd w:id="4"/>
    <w:bookmarkEnd w:id="5"/>
    <w:bookmarkEnd w:id="6"/>
    <w:bookmarkEnd w:id="7"/>
    <w:sectPr>
      <w:headerReference w:type="even" r:id="rId35"/>
      <w:headerReference w:type="default" r:id="rId36"/>
      <w:footerReference w:type="even" r:id="rId37"/>
      <w:footerReference w:type="default" r:id="rId38"/>
      <w:headerReference w:type="first" r:id="rId39"/>
      <w:footerReference w:type="first" r:id="rId40"/>
      <w:pgSz w:w="11907" w:h="16839"/>
      <w:pgMar w:top="1021" w:right="1021" w:bottom="1021" w:left="102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spacing w:before="0"/>
      <w:ind w:left="-851" w:right="-851"/>
      <w:rPr>
        <w:rFonts w:ascii="Arial" w:hAnsi="Arial" w:cs="Arial"/>
        <w:b/>
        <w:sz w:val="48"/>
      </w:rPr>
    </w:pPr>
    <w:r>
      <w:tab/>
    </w:r>
    <w:r>
      <w:fldChar w:fldCharType="begin"/>
    </w:r>
    <w:r>
      <w:instrText xml:space="preserve"> PAGE  \* MERGEFORMAT </w:instrText>
    </w:r>
    <w:r>
      <w:fldChar w:fldCharType="separate"/>
    </w:r>
    <w:r>
      <w:rPr>
        <w:noProof/>
      </w:rPr>
      <w:t>2</w:t>
    </w:r>
    <w:r>
      <w:fldChar w:fldCharType="end"/>
    </w:r>
    <w:r>
      <w:tab/>
    </w:r>
    <w:r>
      <w:fldChar w:fldCharType="begin"/>
    </w:r>
    <w:r>
      <w:instrText xml:space="preserve"> DOCPROPERTY "Classification" \* MERGEFORMAT </w:instrText>
    </w:r>
    <w:r>
      <w:fldChar w:fldCharType="separate"/>
    </w:r>
    <w:r>
      <w:t xml:space="preserve"> </w:t>
    </w:r>
    <w:r>
      <w:fldChar w:fldCharType="end"/>
    </w:r>
    <w:r>
      <w:tab/>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spacing w:before="0"/>
      <w:ind w:left="-851" w:right="-851"/>
      <w:rPr>
        <w:rFonts w:ascii="Arial" w:hAnsi="Arial" w:cs="Arial"/>
        <w:b/>
        <w:sz w:val="48"/>
      </w:rPr>
    </w:pPr>
    <w:r>
      <w:tab/>
    </w:r>
    <w:r>
      <w:fldChar w:fldCharType="begin"/>
    </w:r>
    <w:r>
      <w:instrText xml:space="preserve"> PAGE  \* MERGEFORMAT </w:instrText>
    </w:r>
    <w:r>
      <w:fldChar w:fldCharType="separate"/>
    </w:r>
    <w:r>
      <w:rPr>
        <w:noProof/>
      </w:rPr>
      <w:t>7</w:t>
    </w:r>
    <w:r>
      <w:fldChar w:fldCharType="end"/>
    </w:r>
    <w:r>
      <w:tab/>
    </w:r>
    <w:r>
      <w:fldChar w:fldCharType="begin"/>
    </w:r>
    <w:r>
      <w:instrText xml:space="preserve"> DOCPROPERTY "Classification" \* MERGEFORMAT </w:instrText>
    </w:r>
    <w:r>
      <w:fldChar w:fldCharType="separate"/>
    </w:r>
    <w:r>
      <w:t xml:space="preserve"> </w:t>
    </w:r>
    <w:r>
      <w:fldChar w:fldCharType="end"/>
    </w:r>
    <w:r>
      <w:tab/>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spacing w:before="0"/>
      <w:ind w:left="-851" w:right="-851"/>
      <w:rPr>
        <w:rFonts w:ascii="Arial" w:hAnsi="Arial" w:cs="Arial"/>
        <w:b/>
        <w:sz w:val="48"/>
      </w:rPr>
    </w:pPr>
    <w:r>
      <w:tab/>
    </w:r>
    <w:r>
      <w:fldChar w:fldCharType="begin"/>
    </w:r>
    <w:r>
      <w:instrText xml:space="preserve"> PAGE  \* MERGEFORMAT </w:instrText>
    </w:r>
    <w:r>
      <w:fldChar w:fldCharType="separate"/>
    </w:r>
    <w:r>
      <w:rPr>
        <w:noProof/>
      </w:rPr>
      <w:t>1</w:t>
    </w:r>
    <w:r>
      <w:fldChar w:fldCharType="end"/>
    </w:r>
    <w:r>
      <w:tab/>
    </w:r>
    <w:r>
      <w:fldChar w:fldCharType="begin"/>
    </w:r>
    <w:r>
      <w:instrText xml:space="preserve"> DOCPROPERTY "Classification" \* MERGEFORMAT </w:instrText>
    </w:r>
    <w:r>
      <w:fldChar w:fldCharType="separate"/>
    </w:r>
    <w:r>
      <w:t xml:space="preserve"> </w:t>
    </w:r>
    <w:r>
      <w:fldChar w:fldCharType="end"/>
    </w:r>
    <w:r>
      <w:tab/>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type="continuationNotice" w:id="1">
    <w:p/>
  </w:footnote>
  <w:footnote w:id="2">
    <w:p>
      <w:pPr>
        <w:pStyle w:val="FootnoteText"/>
        <w:rPr>
          <w:lang w:val="nb-NO"/>
        </w:rPr>
      </w:pPr>
      <w:r>
        <w:rPr>
          <w:rStyle w:val="FootnoteReference"/>
        </w:rPr>
        <w:footnoteRef/>
      </w:r>
      <w:r>
        <w:rPr>
          <w:lang w:val="nb-NO"/>
        </w:rPr>
        <w:tab/>
      </w:r>
      <w:r>
        <w:rPr>
          <w:sz w:val="18"/>
          <w:lang w:val="nb-NO"/>
        </w:rPr>
        <w:t>JO L 298 du 26.10.2012, p. 1.</w:t>
      </w:r>
    </w:p>
  </w:footnote>
  <w:footnote w:id="3">
    <w:p>
      <w:pPr>
        <w:pStyle w:val="FootnoteText"/>
        <w:rPr>
          <w:lang w:val="nb-NO"/>
        </w:rPr>
      </w:pPr>
      <w:r>
        <w:rPr>
          <w:rStyle w:val="FootnoteReference"/>
        </w:rPr>
        <w:footnoteRef/>
      </w:r>
      <w:r>
        <w:rPr>
          <w:lang w:val="nb-NO"/>
        </w:rPr>
        <w:tab/>
      </w:r>
      <w:r>
        <w:rPr>
          <w:sz w:val="18"/>
          <w:lang w:val="nb-NO"/>
        </w:rPr>
        <w:t>JO L 69 du 13.3.2015, p. 1.</w:t>
      </w:r>
    </w:p>
  </w:footnote>
  <w:footnote w:id="4">
    <w:p>
      <w:pPr>
        <w:pStyle w:val="FootnoteText"/>
        <w:rPr>
          <w:lang w:val="nb-NO"/>
        </w:rPr>
      </w:pPr>
      <w:r>
        <w:rPr>
          <w:rStyle w:val="FootnoteReference"/>
        </w:rPr>
        <w:footnoteRef/>
      </w:r>
      <w:r>
        <w:rPr>
          <w:lang w:val="nb-NO"/>
        </w:rPr>
        <w:t xml:space="preserve"> </w:t>
      </w:r>
      <w:r>
        <w:rPr>
          <w:lang w:val="nb-NO"/>
        </w:rPr>
        <w:tab/>
      </w:r>
      <w:r>
        <w:rPr>
          <w:sz w:val="18"/>
          <w:lang w:val="nb-NO"/>
        </w:rPr>
        <w:t>JO L XX du XX.XX.2015.</w:t>
      </w:r>
    </w:p>
  </w:footnote>
  <w:footnote w:id="5">
    <w:p>
      <w:pPr>
        <w:pStyle w:val="FootnoteText"/>
        <w:rPr>
          <w:lang w:val="nb-NO"/>
        </w:rPr>
      </w:pPr>
      <w:r>
        <w:rPr>
          <w:rStyle w:val="FootnoteReference"/>
        </w:rPr>
        <w:footnoteRef/>
      </w:r>
      <w:r>
        <w:rPr>
          <w:lang w:val="nb-NO"/>
        </w:rPr>
        <w:t xml:space="preserve"> </w:t>
      </w:r>
      <w:r>
        <w:rPr>
          <w:lang w:val="nb-NO"/>
        </w:rPr>
        <w:tab/>
        <w:t>COM(2015) 11 final du 13.1.2015.</w:t>
      </w:r>
    </w:p>
  </w:footnote>
  <w:footnote w:id="6">
    <w:p>
      <w:pPr>
        <w:pStyle w:val="FootnoteText"/>
        <w:rPr>
          <w:lang w:val="pt-PT"/>
        </w:rPr>
      </w:pPr>
      <w:r>
        <w:rPr>
          <w:rStyle w:val="FootnoteReference"/>
        </w:rPr>
        <w:footnoteRef/>
      </w:r>
      <w:r>
        <w:rPr>
          <w:lang w:val="pt-PT"/>
        </w:rPr>
        <w:t xml:space="preserve"> </w:t>
      </w:r>
      <w:r>
        <w:rPr>
          <w:lang w:val="pt-PT"/>
        </w:rPr>
        <w:tab/>
        <w:t>COM(2015) 160 final du 15.4.2015.</w:t>
      </w:r>
    </w:p>
  </w:footnote>
  <w:footnote w:id="7">
    <w:p>
      <w:pPr>
        <w:pStyle w:val="FootnoteText"/>
        <w:rPr>
          <w:lang w:val="pt-PT"/>
        </w:rPr>
      </w:pPr>
      <w:r>
        <w:rPr>
          <w:rStyle w:val="FootnoteReference"/>
        </w:rPr>
        <w:footnoteRef/>
      </w:r>
      <w:r>
        <w:rPr>
          <w:lang w:val="pt-PT"/>
        </w:rPr>
        <w:t xml:space="preserve"> </w:t>
      </w:r>
      <w:r>
        <w:rPr>
          <w:lang w:val="pt-PT"/>
        </w:rPr>
        <w:tab/>
        <w:t>COM(2015) 161 final du 15.4.2015.</w:t>
      </w:r>
    </w:p>
  </w:footnote>
  <w:footnote w:id="8">
    <w:p>
      <w:pPr>
        <w:pStyle w:val="FootnoteText"/>
      </w:pPr>
      <w:r>
        <w:rPr>
          <w:rStyle w:val="FootnoteReference"/>
        </w:rPr>
        <w:footnoteRef/>
      </w:r>
      <w:r>
        <w:t xml:space="preserve"> </w:t>
      </w:r>
      <w:r>
        <w:tab/>
        <w:t>EUCO 18/15 du 23.4.2015.</w:t>
      </w:r>
    </w:p>
  </w:footnote>
  <w:footnote w:id="9">
    <w:p>
      <w:pPr>
        <w:pStyle w:val="FootnoteText"/>
      </w:pPr>
      <w:r>
        <w:rPr>
          <w:rStyle w:val="FootnoteReference"/>
        </w:rPr>
        <w:footnoteRef/>
      </w:r>
      <w:r>
        <w:t xml:space="preserve"> </w:t>
      </w:r>
      <w:r>
        <w:tab/>
        <w:t>P8_TA-PROV(2015)0176 du 29.4.2015.</w:t>
      </w:r>
    </w:p>
  </w:footnote>
  <w:footnote w:id="10">
    <w:p>
      <w:pPr>
        <w:pStyle w:val="FootnoteText"/>
      </w:pPr>
      <w:r>
        <w:rPr>
          <w:rStyle w:val="FootnoteReference"/>
        </w:rPr>
        <w:footnoteRef/>
      </w:r>
      <w:r>
        <w:t xml:space="preserve"> </w:t>
      </w:r>
      <w:r>
        <w:tab/>
        <w:t>COM(2015) 240 du 13.5.2015.</w:t>
      </w:r>
    </w:p>
  </w:footnote>
  <w:footnote w:id="11">
    <w:p>
      <w:pPr>
        <w:pStyle w:val="FootnoteText"/>
      </w:pPr>
      <w:r>
        <w:rPr>
          <w:rStyle w:val="FootnoteReference"/>
        </w:rPr>
        <w:footnoteRef/>
      </w:r>
      <w:r>
        <w:t xml:space="preserve"> </w:t>
      </w:r>
      <w:r>
        <w:tab/>
        <w:t xml:space="preserve">Conformément à la décision n° 574/2007/CE portant création du Fonds pour les frontières extérieures pour la période 2007-2013, sur la base des informations reçues des États membres, à la clôture de leurs programmes annuels, la Commission arrête le montant le montant des dépenses reconnues à charge du Fonds et récupère le solde résultant de la différence entre les dépenses définitivement reconnues et les montants déjà versés aux États membres.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rPr>
        <w:sz w:val="2"/>
        <w:szCs w:val="2"/>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rPr>
        <w:sz w:val="2"/>
        <w:szCs w:val="2"/>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rPr>
        <w:sz w:val="2"/>
        <w:szCs w:val="2"/>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4448CE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8"/>
    <w:multiLevelType w:val="singleLevel"/>
    <w:tmpl w:val="9ED833C0"/>
    <w:lvl w:ilvl="0">
      <w:start w:val="1"/>
      <w:numFmt w:val="decimal"/>
      <w:lvlText w:val="%1."/>
      <w:lvlJc w:val="left"/>
      <w:pPr>
        <w:tabs>
          <w:tab w:val="num" w:pos="360"/>
        </w:tabs>
        <w:ind w:left="360" w:hanging="360"/>
      </w:pPr>
    </w:lvl>
  </w:abstractNum>
  <w:abstractNum w:abstractNumId="2">
    <w:nsid w:val="00A856D4"/>
    <w:multiLevelType w:val="hybridMultilevel"/>
    <w:tmpl w:val="B07CF3C4"/>
    <w:lvl w:ilvl="0" w:tplc="3D900F36">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0354526B"/>
    <w:multiLevelType w:val="hybridMultilevel"/>
    <w:tmpl w:val="18D88870"/>
    <w:lvl w:ilvl="0" w:tplc="8A36BA8C">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4401886"/>
    <w:multiLevelType w:val="hybridMultilevel"/>
    <w:tmpl w:val="FBA0B950"/>
    <w:lvl w:ilvl="0" w:tplc="D1CAE414">
      <w:numFmt w:val="bullet"/>
      <w:lvlText w:val="-"/>
      <w:lvlJc w:val="left"/>
      <w:pPr>
        <w:tabs>
          <w:tab w:val="num" w:pos="810"/>
        </w:tabs>
        <w:ind w:left="810" w:hanging="45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19F20AC0"/>
    <w:multiLevelType w:val="hybridMultilevel"/>
    <w:tmpl w:val="32B0E5D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nsid w:val="1A2403CB"/>
    <w:multiLevelType w:val="hybridMultilevel"/>
    <w:tmpl w:val="8B06DF60"/>
    <w:lvl w:ilvl="0" w:tplc="0FE40636">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8">
    <w:nsid w:val="27936C33"/>
    <w:multiLevelType w:val="hybridMultilevel"/>
    <w:tmpl w:val="4036C05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28284234"/>
    <w:multiLevelType w:val="hybridMultilevel"/>
    <w:tmpl w:val="B1B622D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8795CFC"/>
    <w:multiLevelType w:val="hybridMultilevel"/>
    <w:tmpl w:val="D988CAFC"/>
    <w:lvl w:ilvl="0" w:tplc="040C000F">
      <w:start w:val="1"/>
      <w:numFmt w:val="decimal"/>
      <w:lvlText w:val="%1."/>
      <w:lvlJc w:val="left"/>
      <w:pPr>
        <w:tabs>
          <w:tab w:val="num" w:pos="720"/>
        </w:tabs>
        <w:ind w:left="720" w:hanging="360"/>
      </w:pPr>
    </w:lvl>
    <w:lvl w:ilvl="1" w:tplc="94027E84">
      <w:start w:val="1"/>
      <w:numFmt w:val="bullet"/>
      <w:lvlText w:val=""/>
      <w:lvlJc w:val="left"/>
      <w:pPr>
        <w:tabs>
          <w:tab w:val="num" w:pos="1440"/>
        </w:tabs>
        <w:ind w:left="1440" w:hanging="360"/>
      </w:pPr>
      <w:rPr>
        <w:rFonts w:ascii="Symbol" w:hAnsi="Symbol"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12">
    <w:nsid w:val="2F6F6245"/>
    <w:multiLevelType w:val="hybridMultilevel"/>
    <w:tmpl w:val="8842EE3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2F78565E"/>
    <w:multiLevelType w:val="hybridMultilevel"/>
    <w:tmpl w:val="3F76E56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4">
    <w:nsid w:val="31246D7F"/>
    <w:multiLevelType w:val="hybridMultilevel"/>
    <w:tmpl w:val="E1EA8208"/>
    <w:lvl w:ilvl="0" w:tplc="94027E84">
      <w:start w:val="1"/>
      <w:numFmt w:val="bullet"/>
      <w:lvlText w:val=""/>
      <w:lvlJc w:val="left"/>
      <w:pPr>
        <w:tabs>
          <w:tab w:val="num" w:pos="1437"/>
        </w:tabs>
        <w:ind w:left="1437"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nsid w:val="32A52C4F"/>
    <w:multiLevelType w:val="singleLevel"/>
    <w:tmpl w:val="CEFC5A24"/>
    <w:lvl w:ilvl="0">
      <w:start w:val="1"/>
      <w:numFmt w:val="bullet"/>
      <w:lvlRestart w:val="0"/>
      <w:pStyle w:val="Tiret0"/>
      <w:lvlText w:val="–"/>
      <w:lvlJc w:val="left"/>
      <w:pPr>
        <w:tabs>
          <w:tab w:val="num" w:pos="850"/>
        </w:tabs>
        <w:ind w:left="850" w:hanging="850"/>
      </w:pPr>
    </w:lvl>
  </w:abstractNum>
  <w:abstractNum w:abstractNumId="16">
    <w:nsid w:val="33BE45BD"/>
    <w:multiLevelType w:val="hybridMultilevel"/>
    <w:tmpl w:val="6D2219A0"/>
    <w:lvl w:ilvl="0" w:tplc="08090001">
      <w:start w:val="1"/>
      <w:numFmt w:val="bullet"/>
      <w:lvlText w:val=""/>
      <w:lvlJc w:val="left"/>
      <w:pPr>
        <w:tabs>
          <w:tab w:val="num" w:pos="720"/>
        </w:tabs>
        <w:ind w:left="720" w:hanging="360"/>
      </w:pPr>
      <w:rPr>
        <w:rFonts w:ascii="Symbol" w:hAnsi="Symbol" w:hint="default"/>
      </w:rPr>
    </w:lvl>
    <w:lvl w:ilvl="1" w:tplc="94027E84">
      <w:start w:val="1"/>
      <w:numFmt w:val="bullet"/>
      <w:lvlText w:val=""/>
      <w:lvlJc w:val="left"/>
      <w:pPr>
        <w:tabs>
          <w:tab w:val="num" w:pos="1440"/>
        </w:tabs>
        <w:ind w:left="1440" w:hanging="360"/>
      </w:pPr>
      <w:rPr>
        <w:rFonts w:ascii="Symbol" w:hAnsi="Symbol"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7">
    <w:nsid w:val="34EA3932"/>
    <w:multiLevelType w:val="hybridMultilevel"/>
    <w:tmpl w:val="FA52BEB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19">
    <w:nsid w:val="40315490"/>
    <w:multiLevelType w:val="singleLevel"/>
    <w:tmpl w:val="1F86C700"/>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20">
    <w:nsid w:val="438628B4"/>
    <w:multiLevelType w:val="hybridMultilevel"/>
    <w:tmpl w:val="7706A2BE"/>
    <w:lvl w:ilvl="0" w:tplc="3D900F36">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1">
    <w:nsid w:val="4AF131E8"/>
    <w:multiLevelType w:val="hybridMultilevel"/>
    <w:tmpl w:val="7EE22C9C"/>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nsid w:val="50F627D1"/>
    <w:multiLevelType w:val="hybridMultilevel"/>
    <w:tmpl w:val="9D34625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539E2343"/>
    <w:multiLevelType w:val="hybridMultilevel"/>
    <w:tmpl w:val="D89C5EF0"/>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4">
    <w:nsid w:val="54FB55F2"/>
    <w:multiLevelType w:val="hybridMultilevel"/>
    <w:tmpl w:val="63DED26E"/>
    <w:lvl w:ilvl="0" w:tplc="34DC57B6">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8D36DEC"/>
    <w:multiLevelType w:val="hybridMultilevel"/>
    <w:tmpl w:val="79644CE6"/>
    <w:lvl w:ilvl="0" w:tplc="8A36BA8C">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F8C3B69"/>
    <w:multiLevelType w:val="multilevel"/>
    <w:tmpl w:val="9B14DAA8"/>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8">
    <w:nsid w:val="6D2B5511"/>
    <w:multiLevelType w:val="singleLevel"/>
    <w:tmpl w:val="74A09970"/>
    <w:name w:val="Heading__2"/>
    <w:lvl w:ilvl="0">
      <w:start w:val="1"/>
      <w:numFmt w:val="bullet"/>
      <w:lvlRestart w:val="0"/>
      <w:pStyle w:val="ListBullet"/>
      <w:lvlText w:val=""/>
      <w:lvlJc w:val="left"/>
      <w:pPr>
        <w:tabs>
          <w:tab w:val="num" w:pos="283"/>
        </w:tabs>
        <w:ind w:left="283" w:hanging="283"/>
      </w:pPr>
      <w:rPr>
        <w:rFonts w:ascii="Symbol" w:hAnsi="Symbol" w:hint="default"/>
      </w:rPr>
    </w:lvl>
  </w:abstractNum>
  <w:abstractNum w:abstractNumId="29">
    <w:nsid w:val="6D38527D"/>
    <w:multiLevelType w:val="hybridMultilevel"/>
    <w:tmpl w:val="C0B8F2B8"/>
    <w:lvl w:ilvl="0" w:tplc="EB1C0EE4">
      <w:start w:val="4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7123216D"/>
    <w:multiLevelType w:val="hybridMultilevel"/>
    <w:tmpl w:val="F648ECEA"/>
    <w:lvl w:ilvl="0" w:tplc="5810F3C8">
      <w:start w:val="1"/>
      <w:numFmt w:val="bullet"/>
      <w:lvlText w:val=""/>
      <w:lvlJc w:val="left"/>
      <w:pPr>
        <w:tabs>
          <w:tab w:val="num" w:pos="720"/>
        </w:tabs>
        <w:ind w:left="720" w:hanging="360"/>
      </w:pPr>
      <w:rPr>
        <w:rFonts w:ascii="Symbol" w:hAnsi="Symbol" w:hint="default"/>
      </w:rPr>
    </w:lvl>
    <w:lvl w:ilvl="1" w:tplc="E45E7B3C" w:tentative="1">
      <w:start w:val="1"/>
      <w:numFmt w:val="bullet"/>
      <w:lvlText w:val="o"/>
      <w:lvlJc w:val="left"/>
      <w:pPr>
        <w:tabs>
          <w:tab w:val="num" w:pos="1440"/>
        </w:tabs>
        <w:ind w:left="1440" w:hanging="360"/>
      </w:pPr>
      <w:rPr>
        <w:rFonts w:ascii="Courier New" w:hAnsi="Courier New" w:cs="Courier New" w:hint="default"/>
      </w:rPr>
    </w:lvl>
    <w:lvl w:ilvl="2" w:tplc="46941928" w:tentative="1">
      <w:start w:val="1"/>
      <w:numFmt w:val="bullet"/>
      <w:lvlText w:val=""/>
      <w:lvlJc w:val="left"/>
      <w:pPr>
        <w:tabs>
          <w:tab w:val="num" w:pos="2160"/>
        </w:tabs>
        <w:ind w:left="2160" w:hanging="360"/>
      </w:pPr>
      <w:rPr>
        <w:rFonts w:ascii="Wingdings" w:hAnsi="Wingdings" w:hint="default"/>
      </w:rPr>
    </w:lvl>
    <w:lvl w:ilvl="3" w:tplc="9906EA66" w:tentative="1">
      <w:start w:val="1"/>
      <w:numFmt w:val="bullet"/>
      <w:lvlText w:val=""/>
      <w:lvlJc w:val="left"/>
      <w:pPr>
        <w:tabs>
          <w:tab w:val="num" w:pos="2880"/>
        </w:tabs>
        <w:ind w:left="2880" w:hanging="360"/>
      </w:pPr>
      <w:rPr>
        <w:rFonts w:ascii="Symbol" w:hAnsi="Symbol" w:hint="default"/>
      </w:rPr>
    </w:lvl>
    <w:lvl w:ilvl="4" w:tplc="F54297AE" w:tentative="1">
      <w:start w:val="1"/>
      <w:numFmt w:val="bullet"/>
      <w:lvlText w:val="o"/>
      <w:lvlJc w:val="left"/>
      <w:pPr>
        <w:tabs>
          <w:tab w:val="num" w:pos="3600"/>
        </w:tabs>
        <w:ind w:left="3600" w:hanging="360"/>
      </w:pPr>
      <w:rPr>
        <w:rFonts w:ascii="Courier New" w:hAnsi="Courier New" w:cs="Courier New" w:hint="default"/>
      </w:rPr>
    </w:lvl>
    <w:lvl w:ilvl="5" w:tplc="878EFA52" w:tentative="1">
      <w:start w:val="1"/>
      <w:numFmt w:val="bullet"/>
      <w:lvlText w:val=""/>
      <w:lvlJc w:val="left"/>
      <w:pPr>
        <w:tabs>
          <w:tab w:val="num" w:pos="4320"/>
        </w:tabs>
        <w:ind w:left="4320" w:hanging="360"/>
      </w:pPr>
      <w:rPr>
        <w:rFonts w:ascii="Wingdings" w:hAnsi="Wingdings" w:hint="default"/>
      </w:rPr>
    </w:lvl>
    <w:lvl w:ilvl="6" w:tplc="B0DEB76A" w:tentative="1">
      <w:start w:val="1"/>
      <w:numFmt w:val="bullet"/>
      <w:lvlText w:val=""/>
      <w:lvlJc w:val="left"/>
      <w:pPr>
        <w:tabs>
          <w:tab w:val="num" w:pos="5040"/>
        </w:tabs>
        <w:ind w:left="5040" w:hanging="360"/>
      </w:pPr>
      <w:rPr>
        <w:rFonts w:ascii="Symbol" w:hAnsi="Symbol" w:hint="default"/>
      </w:rPr>
    </w:lvl>
    <w:lvl w:ilvl="7" w:tplc="F0B2655E" w:tentative="1">
      <w:start w:val="1"/>
      <w:numFmt w:val="bullet"/>
      <w:lvlText w:val="o"/>
      <w:lvlJc w:val="left"/>
      <w:pPr>
        <w:tabs>
          <w:tab w:val="num" w:pos="5760"/>
        </w:tabs>
        <w:ind w:left="5760" w:hanging="360"/>
      </w:pPr>
      <w:rPr>
        <w:rFonts w:ascii="Courier New" w:hAnsi="Courier New" w:cs="Courier New" w:hint="default"/>
      </w:rPr>
    </w:lvl>
    <w:lvl w:ilvl="8" w:tplc="41F24686"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19"/>
  </w:num>
  <w:num w:numId="3">
    <w:abstractNumId w:val="2"/>
  </w:num>
  <w:num w:numId="4">
    <w:abstractNumId w:val="19"/>
  </w:num>
  <w:num w:numId="5">
    <w:abstractNumId w:val="30"/>
  </w:num>
  <w:num w:numId="6">
    <w:abstractNumId w:val="19"/>
  </w:num>
  <w:num w:numId="7">
    <w:abstractNumId w:val="28"/>
  </w:num>
  <w:num w:numId="8">
    <w:abstractNumId w:val="18"/>
  </w:num>
  <w:num w:numId="9">
    <w:abstractNumId w:val="10"/>
  </w:num>
  <w:num w:numId="10">
    <w:abstractNumId w:val="16"/>
  </w:num>
  <w:num w:numId="11">
    <w:abstractNumId w:val="17"/>
  </w:num>
  <w:num w:numId="12">
    <w:abstractNumId w:val="5"/>
  </w:num>
  <w:num w:numId="13">
    <w:abstractNumId w:val="8"/>
  </w:num>
  <w:num w:numId="14">
    <w:abstractNumId w:val="11"/>
  </w:num>
  <w:num w:numId="15">
    <w:abstractNumId w:val="14"/>
  </w:num>
  <w:num w:numId="16">
    <w:abstractNumId w:val="20"/>
  </w:num>
  <w:num w:numId="17">
    <w:abstractNumId w:val="19"/>
  </w:num>
  <w:num w:numId="18">
    <w:abstractNumId w:val="26"/>
  </w:num>
  <w:num w:numId="19">
    <w:abstractNumId w:val="4"/>
  </w:num>
  <w:num w:numId="20">
    <w:abstractNumId w:val="13"/>
  </w:num>
  <w:num w:numId="21">
    <w:abstractNumId w:val="19"/>
  </w:num>
  <w:num w:numId="22">
    <w:abstractNumId w:val="19"/>
  </w:num>
  <w:num w:numId="23">
    <w:abstractNumId w:val="3"/>
  </w:num>
  <w:num w:numId="24">
    <w:abstractNumId w:val="29"/>
  </w:num>
  <w:num w:numId="25">
    <w:abstractNumId w:val="25"/>
  </w:num>
  <w:num w:numId="26">
    <w:abstractNumId w:val="0"/>
  </w:num>
  <w:num w:numId="27">
    <w:abstractNumId w:val="23"/>
  </w:num>
  <w:num w:numId="2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num>
  <w:num w:numId="35">
    <w:abstractNumId w:val="7"/>
  </w:num>
  <w:num w:numId="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5"/>
  </w:num>
  <w:num w:numId="38">
    <w:abstractNumId w:val="27"/>
  </w:num>
  <w:num w:numId="39">
    <w:abstractNumId w:val="26"/>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6"/>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6"/>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6"/>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9"/>
  </w:num>
  <w:num w:numId="44">
    <w:abstractNumId w:val="12"/>
  </w:num>
  <w:num w:numId="45">
    <w:abstractNumId w:val="21"/>
  </w:num>
  <w:num w:numId="46">
    <w:abstractNumId w:val="6"/>
  </w:num>
  <w:num w:numId="47">
    <w:abstractNumId w:val="24"/>
  </w:num>
  <w:num w:numId="4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efaultTabStop w:val="720"/>
  <w:hyphenationZone w:val="425"/>
  <w:drawingGridHorizontalSpacing w:val="120"/>
  <w:displayHorizontalDrawingGridEvery w:val="2"/>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VERPAGE_EXISTS" w:val="True"/>
    <w:docVar w:name="DocStatus" w:val="Green"/>
    <w:docVar w:name="FigNum" w:val="1"/>
    <w:docVar w:name="LW_CONFIDENCE" w:val=" "/>
    <w:docVar w:name="LW_CONST_RESTREINT_UE" w:val="RESTREINT UE"/>
    <w:docVar w:name="LW_CORRIGENDUM" w:val="&lt;UNUSED&gt;"/>
    <w:docVar w:name="LW_COVERPAGE_GUID" w:val="EA31EA749BD84DF08E2F1567BDBC9E62"/>
    <w:docVar w:name="LW_CROSSREFERENCE" w:val="&lt;UNUSED&gt;"/>
    <w:docVar w:name="LW_DocType" w:val="NORMAL"/>
    <w:docVar w:name="LW_EMISSION" w:val="13.5.2015"/>
    <w:docVar w:name="LW_EMISSION_ISODATE" w:val="2015-05-13"/>
    <w:docVar w:name="LW_EMISSION_LOCATION" w:val="BRX"/>
    <w:docVar w:name="LW_EMISSION_PREFIX" w:val="Bruxelles, le "/>
    <w:docVar w:name="LW_EMISSION_SUFFIX" w:val=" "/>
    <w:docVar w:name="LW_ID_DOCTYPE_NONLW" w:val="CP-035"/>
    <w:docVar w:name="LW_LANGUE" w:val="FR"/>
    <w:docVar w:name="LW_MARKING" w:val="&lt;UNUSED&gt;"/>
    <w:docVar w:name="LW_NOM.INST" w:val="COMMISSION EUROPÉENNE"/>
    <w:docVar w:name="LW_NOM.INST_JOINTDOC" w:val="&lt;EMPTY&gt;"/>
    <w:docVar w:name="LW_PART_NBR" w:val="1"/>
    <w:docVar w:name="LW_PART_NBR_TOTAL" w:val="1"/>
    <w:docVar w:name="LW_REF.II.NEW.CP" w:val="&lt;UNUSED&gt;"/>
    <w:docVar w:name="LW_REF.II.NEW.CP_NUMBER" w:val="&lt;UNUSED&gt;"/>
    <w:docVar w:name="LW_REF.II.NEW.CP_YEAR" w:val="2015"/>
    <w:docVar w:name="LW_REF.INST.NEW" w:val="COM"/>
    <w:docVar w:name="LW_REF.INST.NEW_ADOPTED" w:val="final"/>
    <w:docVar w:name="LW_REF.INST.NEW_TEXT" w:val="(2015) 241"/>
    <w:docVar w:name="LW_REF.INTERNE" w:val="&lt;UNUSED&gt;"/>
    <w:docVar w:name="LW_SOUS.TITRE.OBJ.CP" w:val="&lt;UNUSED&gt;"/>
    <w:docVar w:name="LW_SUPERTITRE" w:val="&lt;UNUSED&gt;"/>
    <w:docVar w:name="LW_TITRE.OBJ.CP" w:val="FAIRE FACE AUX PRESSIONS MIGRATOIRES "/>
    <w:docVar w:name="LW_TITRE.OBJ.CP_PREVIOUS" w:val="&lt;UNUSED&gt;"/>
    <w:docVar w:name="LW_TYPE.DOC.CP" w:val="PROJET DE BUDGET RECTIFICATIF Nº 5_x000b_AU BUDGET GÉNÉRAL 2015"/>
  </w:docVar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fr-FR"/>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note text" w:uiPriority="99"/>
    <w:lsdException w:name="caption" w:semiHidden="1" w:unhideWhenUsed="1" w:qFormat="1"/>
    <w:lsdException w:name="footnote reference" w:uiPriority="99"/>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autoRedefine/>
    <w:qFormat/>
    <w:pPr>
      <w:keepNext/>
      <w:spacing w:before="240" w:after="120"/>
      <w:outlineLvl w:val="0"/>
    </w:pPr>
    <w:rPr>
      <w:rFonts w:ascii="Arial" w:hAnsi="Arial" w:cs="Arial"/>
      <w:b/>
      <w:bCs/>
      <w:kern w:val="32"/>
      <w:sz w:val="32"/>
      <w:szCs w:val="32"/>
    </w:rPr>
  </w:style>
  <w:style w:type="paragraph" w:styleId="Heading2">
    <w:name w:val="heading 2"/>
    <w:basedOn w:val="Normal"/>
    <w:next w:val="Normal"/>
    <w:autoRedefine/>
    <w:qFormat/>
    <w:pPr>
      <w:keepNext/>
      <w:spacing w:before="240" w:after="120"/>
      <w:ind w:left="720" w:hanging="720"/>
      <w:outlineLvl w:val="1"/>
    </w:pPr>
    <w:rPr>
      <w:rFonts w:ascii="Arial" w:hAnsi="Arial" w:cs="Arial"/>
      <w:b/>
      <w:bCs/>
      <w:i/>
      <w:iCs/>
      <w:sz w:val="28"/>
      <w:szCs w:val="28"/>
    </w:rPr>
  </w:style>
  <w:style w:type="paragraph" w:styleId="Heading3">
    <w:name w:val="heading 3"/>
    <w:basedOn w:val="Normal"/>
    <w:next w:val="Normal"/>
    <w:autoRedefine/>
    <w:qFormat/>
    <w:pPr>
      <w:keepNext/>
      <w:numPr>
        <w:ilvl w:val="2"/>
      </w:numPr>
      <w:tabs>
        <w:tab w:val="num" w:pos="850"/>
      </w:tabs>
      <w:spacing w:before="120" w:after="120"/>
      <w:ind w:left="850" w:hanging="850"/>
      <w:jc w:val="both"/>
      <w:outlineLvl w:val="2"/>
    </w:pPr>
    <w:rPr>
      <w:rFonts w:ascii="Arial" w:hAnsi="Arial" w:cs="Arial"/>
      <w:b/>
      <w:bCs/>
      <w:i/>
      <w:sz w:val="26"/>
      <w:szCs w:val="26"/>
    </w:rPr>
  </w:style>
  <w:style w:type="paragraph" w:styleId="Heading4">
    <w:name w:val="heading 4"/>
    <w:basedOn w:val="Normal"/>
    <w:next w:val="Normal"/>
    <w:qFormat/>
    <w:pPr>
      <w:keepNext/>
      <w:numPr>
        <w:ilvl w:val="3"/>
      </w:numPr>
      <w:tabs>
        <w:tab w:val="num" w:pos="1030"/>
      </w:tabs>
      <w:spacing w:before="120" w:after="120"/>
      <w:ind w:left="1030" w:hanging="850"/>
      <w:jc w:val="both"/>
      <w:outlineLvl w:val="3"/>
    </w:pPr>
    <w:rPr>
      <w:b/>
      <w:b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535"/>
        <w:tab w:val="right" w:pos="9071"/>
        <w:tab w:val="right" w:pos="9921"/>
      </w:tabs>
      <w:spacing w:before="360"/>
      <w:ind w:left="-850" w:right="-850"/>
    </w:pPr>
  </w:style>
  <w:style w:type="paragraph" w:styleId="FootnoteText">
    <w:name w:val="footnote text"/>
    <w:basedOn w:val="Normal"/>
    <w:link w:val="FootnoteTextChar"/>
    <w:uiPriority w:val="99"/>
    <w:pPr>
      <w:ind w:left="720" w:hanging="720"/>
      <w:jc w:val="both"/>
    </w:pPr>
    <w:rPr>
      <w:sz w:val="20"/>
      <w:szCs w:val="20"/>
    </w:rPr>
  </w:style>
  <w:style w:type="paragraph" w:styleId="TOC1">
    <w:name w:val="toc 1"/>
    <w:basedOn w:val="Normal"/>
    <w:next w:val="Normal"/>
    <w:uiPriority w:val="39"/>
    <w:pPr>
      <w:spacing w:before="120" w:after="120"/>
    </w:pPr>
    <w:rPr>
      <w:b/>
      <w:bCs/>
      <w:caps/>
      <w:sz w:val="20"/>
      <w:szCs w:val="20"/>
    </w:rPr>
  </w:style>
  <w:style w:type="character" w:styleId="FootnoteReference">
    <w:name w:val="footnote reference"/>
    <w:aliases w:val="stylish,Footnote Reference Superscript,BVI fnr,Footnote symbol,Footnote symboFußnotenzeichen,Footnote sign,Footnote Reference Number,E FNZ,-E Fußnotenzeichen,Footnote#,Footnote,Times 10 Point,Exposant 3 Point,Ref,de nota al pie,SUPER"/>
    <w:uiPriority w:val="99"/>
    <w:semiHidden/>
    <w:rPr>
      <w:vertAlign w:val="superscript"/>
    </w:rPr>
  </w:style>
  <w:style w:type="paragraph" w:customStyle="1" w:styleId="Text1">
    <w:name w:val="Text 1"/>
    <w:basedOn w:val="Normal"/>
    <w:pPr>
      <w:spacing w:before="120" w:after="120"/>
      <w:ind w:left="850"/>
      <w:jc w:val="both"/>
    </w:pPr>
  </w:style>
  <w:style w:type="paragraph" w:customStyle="1" w:styleId="Tiret0">
    <w:name w:val="Tiret 0"/>
    <w:basedOn w:val="Normal"/>
    <w:pPr>
      <w:numPr>
        <w:numId w:val="1"/>
      </w:numPr>
      <w:spacing w:before="120" w:after="120"/>
      <w:jc w:val="both"/>
    </w:pPr>
  </w:style>
  <w:style w:type="paragraph" w:customStyle="1" w:styleId="ManualHeading1">
    <w:name w:val="Manual Heading 1"/>
    <w:basedOn w:val="Normal"/>
    <w:next w:val="Text1"/>
    <w:pPr>
      <w:keepNext/>
      <w:tabs>
        <w:tab w:val="left" w:pos="850"/>
      </w:tabs>
      <w:spacing w:before="360" w:after="120"/>
      <w:ind w:left="850" w:hanging="850"/>
      <w:jc w:val="both"/>
      <w:outlineLvl w:val="0"/>
    </w:pPr>
    <w:rPr>
      <w:b/>
      <w:smallCaps/>
    </w:rPr>
  </w:style>
  <w:style w:type="paragraph" w:customStyle="1" w:styleId="ManualHeading2">
    <w:name w:val="Manual Heading 2"/>
    <w:basedOn w:val="Normal"/>
    <w:next w:val="Normal"/>
    <w:pPr>
      <w:keepNext/>
      <w:tabs>
        <w:tab w:val="left" w:pos="850"/>
      </w:tabs>
      <w:spacing w:before="120" w:after="120"/>
      <w:ind w:left="850" w:hanging="850"/>
      <w:jc w:val="both"/>
      <w:outlineLvl w:val="1"/>
    </w:pPr>
    <w:rPr>
      <w:b/>
    </w:rPr>
  </w:style>
  <w:style w:type="paragraph" w:customStyle="1" w:styleId="ListDash">
    <w:name w:val="List Dash"/>
    <w:basedOn w:val="Normal"/>
    <w:link w:val="ListDashChar"/>
    <w:pPr>
      <w:numPr>
        <w:numId w:val="2"/>
      </w:numPr>
      <w:spacing w:before="120" w:after="120"/>
      <w:jc w:val="both"/>
    </w:pPr>
  </w:style>
  <w:style w:type="paragraph" w:styleId="TOCHeading">
    <w:name w:val="TOC Heading"/>
    <w:basedOn w:val="Normal"/>
    <w:next w:val="Normal"/>
    <w:uiPriority w:val="39"/>
    <w:qFormat/>
    <w:pPr>
      <w:spacing w:before="120" w:after="240"/>
      <w:jc w:val="center"/>
    </w:pPr>
    <w:rPr>
      <w:b/>
      <w:sz w:val="28"/>
    </w:rPr>
  </w:style>
  <w:style w:type="paragraph" w:customStyle="1" w:styleId="Prliminairetitre">
    <w:name w:val="Préliminaire titre"/>
    <w:basedOn w:val="Normal"/>
    <w:next w:val="Normal"/>
    <w:pPr>
      <w:spacing w:before="360" w:after="360"/>
      <w:jc w:val="center"/>
    </w:pPr>
    <w:rPr>
      <w:b/>
    </w:rPr>
  </w:style>
  <w:style w:type="paragraph" w:customStyle="1" w:styleId="Prliminairetype">
    <w:name w:val="Préliminaire type"/>
    <w:basedOn w:val="Normal"/>
    <w:next w:val="Normal"/>
    <w:pPr>
      <w:spacing w:before="360"/>
      <w:jc w:val="center"/>
    </w:pPr>
    <w:rPr>
      <w:b/>
    </w:rPr>
  </w:style>
  <w:style w:type="character" w:styleId="Hyperlink">
    <w:name w:val="Hyperlink"/>
    <w:uiPriority w:val="99"/>
    <w:rPr>
      <w:color w:val="0000FF"/>
      <w:u w:val="single"/>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before="120" w:after="120"/>
      <w:jc w:val="both"/>
    </w:pPr>
  </w:style>
  <w:style w:type="paragraph" w:styleId="Header">
    <w:name w:val="header"/>
    <w:basedOn w:val="Normal"/>
    <w:pPr>
      <w:tabs>
        <w:tab w:val="center" w:pos="4536"/>
        <w:tab w:val="right" w:pos="9072"/>
      </w:tabs>
    </w:pPr>
  </w:style>
  <w:style w:type="paragraph" w:customStyle="1" w:styleId="FooterCoverPage">
    <w:name w:val="Footer Cover Page"/>
    <w:basedOn w:val="Normal"/>
    <w:pPr>
      <w:tabs>
        <w:tab w:val="center" w:pos="4535"/>
        <w:tab w:val="right" w:pos="9071"/>
        <w:tab w:val="right" w:pos="9921"/>
      </w:tabs>
      <w:spacing w:before="360"/>
      <w:ind w:left="-850" w:right="-850"/>
    </w:pPr>
  </w:style>
  <w:style w:type="paragraph" w:customStyle="1" w:styleId="HeaderCoverPage">
    <w:name w:val="Header Cover Page"/>
    <w:basedOn w:val="Normal"/>
    <w:pPr>
      <w:tabs>
        <w:tab w:val="center" w:pos="4535"/>
        <w:tab w:val="right" w:pos="9071"/>
      </w:tabs>
      <w:spacing w:after="120"/>
      <w:jc w:val="both"/>
    </w:pPr>
  </w:style>
  <w:style w:type="paragraph" w:styleId="TOC2">
    <w:name w:val="toc 2"/>
    <w:basedOn w:val="Normal"/>
    <w:next w:val="Normal"/>
    <w:autoRedefine/>
    <w:uiPriority w:val="39"/>
    <w:pPr>
      <w:ind w:left="240"/>
    </w:pPr>
    <w:rPr>
      <w:smallCaps/>
      <w:sz w:val="20"/>
      <w:szCs w:val="20"/>
    </w:rPr>
  </w:style>
  <w:style w:type="paragraph" w:styleId="TOC3">
    <w:name w:val="toc 3"/>
    <w:basedOn w:val="Normal"/>
    <w:next w:val="Normal"/>
    <w:autoRedefine/>
    <w:semiHidden/>
    <w:pPr>
      <w:ind w:left="480"/>
    </w:pPr>
    <w:rPr>
      <w:i/>
      <w:iCs/>
      <w:sz w:val="20"/>
      <w:szCs w:val="20"/>
    </w:rPr>
  </w:style>
  <w:style w:type="paragraph" w:styleId="TOC4">
    <w:name w:val="toc 4"/>
    <w:basedOn w:val="Normal"/>
    <w:next w:val="Normal"/>
    <w:autoRedefine/>
    <w:semiHidden/>
    <w:pPr>
      <w:ind w:left="720"/>
    </w:pPr>
    <w:rPr>
      <w:sz w:val="18"/>
      <w:szCs w:val="18"/>
    </w:rPr>
  </w:style>
  <w:style w:type="paragraph" w:styleId="TOC5">
    <w:name w:val="toc 5"/>
    <w:basedOn w:val="Normal"/>
    <w:next w:val="Normal"/>
    <w:autoRedefine/>
    <w:semiHidden/>
    <w:pPr>
      <w:ind w:left="960"/>
    </w:pPr>
    <w:rPr>
      <w:sz w:val="18"/>
      <w:szCs w:val="18"/>
    </w:rPr>
  </w:style>
  <w:style w:type="paragraph" w:styleId="TOC6">
    <w:name w:val="toc 6"/>
    <w:basedOn w:val="Normal"/>
    <w:next w:val="Normal"/>
    <w:autoRedefine/>
    <w:semiHidden/>
    <w:pPr>
      <w:ind w:left="1200"/>
    </w:pPr>
    <w:rPr>
      <w:sz w:val="18"/>
      <w:szCs w:val="18"/>
    </w:rPr>
  </w:style>
  <w:style w:type="paragraph" w:styleId="TOC7">
    <w:name w:val="toc 7"/>
    <w:basedOn w:val="Normal"/>
    <w:next w:val="Normal"/>
    <w:autoRedefine/>
    <w:semiHidden/>
    <w:pPr>
      <w:ind w:left="1440"/>
    </w:pPr>
    <w:rPr>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styleId="ListBullet">
    <w:name w:val="List Bullet"/>
    <w:basedOn w:val="Normal"/>
    <w:pPr>
      <w:numPr>
        <w:numId w:val="7"/>
      </w:numPr>
      <w:spacing w:before="120" w:after="120"/>
      <w:jc w:val="both"/>
    </w:pPr>
  </w:style>
  <w:style w:type="paragraph" w:customStyle="1" w:styleId="ListDash2">
    <w:name w:val="List Dash 2"/>
    <w:basedOn w:val="Normal"/>
    <w:pPr>
      <w:tabs>
        <w:tab w:val="num" w:pos="1134"/>
      </w:tabs>
      <w:spacing w:before="120" w:after="120"/>
      <w:ind w:left="1134" w:hanging="283"/>
      <w:jc w:val="both"/>
    </w:pPr>
  </w:style>
  <w:style w:type="paragraph" w:customStyle="1" w:styleId="ListBullet1">
    <w:name w:val="List Bullet 1"/>
    <w:basedOn w:val="Text1"/>
    <w:pPr>
      <w:numPr>
        <w:numId w:val="8"/>
      </w:numPr>
      <w:spacing w:before="0" w:after="240"/>
    </w:pPr>
    <w:rPr>
      <w:szCs w:val="20"/>
    </w:rPr>
  </w:style>
  <w:style w:type="paragraph" w:styleId="ListBullet2">
    <w:name w:val="List Bullet 2"/>
    <w:basedOn w:val="Normal"/>
    <w:pPr>
      <w:numPr>
        <w:numId w:val="14"/>
      </w:numPr>
      <w:spacing w:after="240"/>
      <w:jc w:val="both"/>
    </w:pPr>
    <w:rPr>
      <w:szCs w:val="20"/>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rPr>
      <w:color w:val="800080"/>
      <w:u w:val="single"/>
    </w:rPr>
  </w:style>
  <w:style w:type="paragraph" w:customStyle="1" w:styleId="Typedudocument">
    <w:name w:val="Type du document"/>
    <w:basedOn w:val="Normal"/>
    <w:next w:val="Titreobjet"/>
    <w:pPr>
      <w:spacing w:before="360"/>
      <w:jc w:val="center"/>
    </w:pPr>
    <w:rPr>
      <w:b/>
    </w:rPr>
  </w:style>
  <w:style w:type="paragraph" w:customStyle="1" w:styleId="Titreobjet">
    <w:name w:val="Titre objet"/>
    <w:basedOn w:val="Normal"/>
    <w:next w:val="Normal"/>
    <w:pPr>
      <w:spacing w:before="360" w:after="360"/>
      <w:jc w:val="center"/>
    </w:pPr>
    <w:rPr>
      <w:b/>
    </w:rPr>
  </w:style>
  <w:style w:type="character" w:styleId="Emphasis">
    <w:name w:val="Emphasis"/>
    <w:qFormat/>
    <w:rPr>
      <w:i/>
      <w:iCs/>
    </w:rPr>
  </w:style>
  <w:style w:type="paragraph" w:styleId="NormalWeb">
    <w:name w:val="Normal (Web)"/>
    <w:basedOn w:val="Normal"/>
    <w:pPr>
      <w:spacing w:before="100" w:beforeAutospacing="1" w:after="100" w:afterAutospacing="1"/>
    </w:pPr>
  </w:style>
  <w:style w:type="paragraph" w:customStyle="1" w:styleId="Text2">
    <w:name w:val="Text 2"/>
    <w:basedOn w:val="Normal"/>
    <w:pPr>
      <w:spacing w:before="120" w:after="120"/>
      <w:ind w:left="850"/>
      <w:jc w:val="both"/>
    </w:pPr>
  </w:style>
  <w:style w:type="paragraph" w:styleId="BalloonText">
    <w:name w:val="Balloon Text"/>
    <w:basedOn w:val="Normal"/>
    <w:semiHidden/>
    <w:rPr>
      <w:rFonts w:ascii="Tahoma" w:hAnsi="Tahoma" w:cs="Tahoma"/>
      <w:sz w:val="16"/>
      <w:szCs w:val="16"/>
    </w:rPr>
  </w:style>
  <w:style w:type="paragraph" w:styleId="ListNumber">
    <w:name w:val="List Number"/>
    <w:basedOn w:val="Normal"/>
    <w:pPr>
      <w:numPr>
        <w:numId w:val="18"/>
      </w:numPr>
      <w:spacing w:before="120" w:after="120"/>
      <w:jc w:val="both"/>
    </w:pPr>
  </w:style>
  <w:style w:type="paragraph" w:customStyle="1" w:styleId="ListNumberLevel2">
    <w:name w:val="List Number (Level 2)"/>
    <w:basedOn w:val="Normal"/>
    <w:pPr>
      <w:numPr>
        <w:ilvl w:val="1"/>
        <w:numId w:val="18"/>
      </w:numPr>
      <w:spacing w:before="120" w:after="120"/>
      <w:jc w:val="both"/>
    </w:pPr>
  </w:style>
  <w:style w:type="paragraph" w:customStyle="1" w:styleId="ListNumberLevel3">
    <w:name w:val="List Number (Level 3)"/>
    <w:basedOn w:val="Normal"/>
    <w:pPr>
      <w:numPr>
        <w:ilvl w:val="2"/>
        <w:numId w:val="18"/>
      </w:numPr>
      <w:spacing w:before="120" w:after="120"/>
      <w:jc w:val="both"/>
    </w:pPr>
  </w:style>
  <w:style w:type="paragraph" w:customStyle="1" w:styleId="ListNumberLevel4">
    <w:name w:val="List Number (Level 4)"/>
    <w:basedOn w:val="Normal"/>
    <w:pPr>
      <w:numPr>
        <w:ilvl w:val="3"/>
        <w:numId w:val="18"/>
      </w:numPr>
      <w:spacing w:before="120" w:after="120"/>
      <w:jc w:val="both"/>
    </w:pPr>
  </w:style>
  <w:style w:type="character" w:customStyle="1" w:styleId="ListDashChar">
    <w:name w:val="List Dash Char"/>
    <w:link w:val="ListDash"/>
    <w:rPr>
      <w:sz w:val="24"/>
      <w:szCs w:val="24"/>
      <w:lang w:eastAsia="fr-FR"/>
    </w:rPr>
  </w:style>
  <w:style w:type="paragraph" w:customStyle="1" w:styleId="StyleManualHeading2Italic">
    <w:name w:val="Style Manual Heading 2 + Italic"/>
    <w:basedOn w:val="ManualHeading2"/>
    <w:autoRedefine/>
    <w:pPr>
      <w:spacing w:before="160" w:after="160"/>
      <w:ind w:left="851" w:hanging="851"/>
    </w:pPr>
    <w:rPr>
      <w:bCs/>
      <w:i/>
      <w:iCs/>
    </w:rPr>
  </w:style>
  <w:style w:type="character" w:customStyle="1" w:styleId="FootnoteTextChar">
    <w:name w:val="Footnote Text Char"/>
    <w:link w:val="FootnoteText"/>
    <w:uiPriority w:val="99"/>
    <w:rPr>
      <w:lang w:eastAsia="fr-FR"/>
    </w:rPr>
  </w:style>
  <w:style w:type="paragraph" w:customStyle="1" w:styleId="NormalCentered">
    <w:name w:val="Normal Centered"/>
    <w:basedOn w:val="Normal"/>
    <w:uiPriority w:val="99"/>
    <w:pPr>
      <w:spacing w:before="120" w:after="120"/>
      <w:jc w:val="center"/>
    </w:pPr>
  </w:style>
  <w:style w:type="paragraph" w:customStyle="1" w:styleId="NormalRight">
    <w:name w:val="Normal Right"/>
    <w:basedOn w:val="Normal"/>
    <w:uiPriority w:val="99"/>
    <w:pPr>
      <w:spacing w:before="120" w:after="120"/>
      <w:jc w:val="right"/>
    </w:pPr>
  </w:style>
  <w:style w:type="paragraph" w:customStyle="1" w:styleId="NormalLeft">
    <w:name w:val="Normal Left"/>
    <w:basedOn w:val="Normal"/>
    <w:uiPriority w:val="99"/>
    <w:pPr>
      <w:spacing w:before="120" w:after="120"/>
    </w:pPr>
  </w:style>
  <w:style w:type="paragraph" w:styleId="Revision">
    <w:name w:val="Revision"/>
    <w:hidden/>
    <w:uiPriority w:val="99"/>
    <w:semiHidden/>
    <w:rPr>
      <w:sz w:val="24"/>
      <w:szCs w:val="24"/>
    </w:rPr>
  </w:style>
  <w:style w:type="paragraph" w:customStyle="1" w:styleId="Statut">
    <w:name w:val="Statut"/>
    <w:basedOn w:val="Normal"/>
    <w:next w:val="Typedudocument"/>
    <w:pPr>
      <w:spacing w:before="360"/>
      <w:jc w:val="center"/>
    </w:pPr>
    <w:rPr>
      <w:rFonts w:eastAsia="Calibri"/>
      <w:szCs w:val="22"/>
    </w:rPr>
  </w:style>
  <w:style w:type="paragraph" w:customStyle="1" w:styleId="Footnoter">
    <w:name w:val="Footnote r"/>
    <w:pPr>
      <w:shd w:val="clear" w:color="auto" w:fill="F2F8FB"/>
      <w:spacing w:before="100" w:beforeAutospacing="1" w:after="100" w:afterAutospacing="1"/>
    </w:pPr>
    <w:rPr>
      <w:szCs w:val="22"/>
    </w:rPr>
  </w:style>
  <w:style w:type="character" w:customStyle="1" w:styleId="hps">
    <w:name w:val="hps"/>
  </w:style>
  <w:style w:type="paragraph" w:customStyle="1" w:styleId="Point0number">
    <w:name w:val="Point 0 (number)"/>
    <w:basedOn w:val="Normal"/>
    <w:pPr>
      <w:numPr>
        <w:numId w:val="35"/>
      </w:numPr>
      <w:spacing w:before="120" w:after="120"/>
      <w:jc w:val="both"/>
    </w:pPr>
    <w:rPr>
      <w:szCs w:val="22"/>
    </w:rPr>
  </w:style>
  <w:style w:type="paragraph" w:customStyle="1" w:styleId="Point1number">
    <w:name w:val="Point 1 (number)"/>
    <w:basedOn w:val="Normal"/>
    <w:pPr>
      <w:numPr>
        <w:ilvl w:val="2"/>
        <w:numId w:val="35"/>
      </w:numPr>
      <w:spacing w:before="120" w:after="120"/>
      <w:jc w:val="both"/>
    </w:pPr>
    <w:rPr>
      <w:szCs w:val="22"/>
    </w:rPr>
  </w:style>
  <w:style w:type="paragraph" w:customStyle="1" w:styleId="Point2number">
    <w:name w:val="Point 2 (number)"/>
    <w:basedOn w:val="Normal"/>
    <w:pPr>
      <w:numPr>
        <w:ilvl w:val="4"/>
        <w:numId w:val="35"/>
      </w:numPr>
      <w:spacing w:before="120" w:after="120"/>
      <w:jc w:val="both"/>
    </w:pPr>
    <w:rPr>
      <w:szCs w:val="22"/>
    </w:rPr>
  </w:style>
  <w:style w:type="paragraph" w:customStyle="1" w:styleId="Point3number">
    <w:name w:val="Point 3 (number)"/>
    <w:basedOn w:val="Normal"/>
    <w:pPr>
      <w:numPr>
        <w:ilvl w:val="6"/>
        <w:numId w:val="35"/>
      </w:numPr>
      <w:spacing w:before="120" w:after="120"/>
      <w:jc w:val="both"/>
    </w:pPr>
    <w:rPr>
      <w:szCs w:val="22"/>
    </w:rPr>
  </w:style>
  <w:style w:type="paragraph" w:customStyle="1" w:styleId="Point0letter">
    <w:name w:val="Point 0 (letter)"/>
    <w:basedOn w:val="Normal"/>
    <w:pPr>
      <w:numPr>
        <w:ilvl w:val="1"/>
        <w:numId w:val="35"/>
      </w:numPr>
      <w:spacing w:before="120" w:after="120"/>
      <w:jc w:val="both"/>
    </w:pPr>
    <w:rPr>
      <w:szCs w:val="22"/>
    </w:rPr>
  </w:style>
  <w:style w:type="paragraph" w:customStyle="1" w:styleId="Point1letter">
    <w:name w:val="Point 1 (letter)"/>
    <w:basedOn w:val="Normal"/>
    <w:pPr>
      <w:numPr>
        <w:ilvl w:val="3"/>
        <w:numId w:val="35"/>
      </w:numPr>
      <w:spacing w:before="120" w:after="120"/>
      <w:jc w:val="both"/>
    </w:pPr>
    <w:rPr>
      <w:szCs w:val="22"/>
    </w:rPr>
  </w:style>
  <w:style w:type="paragraph" w:customStyle="1" w:styleId="Point2letter">
    <w:name w:val="Point 2 (letter)"/>
    <w:basedOn w:val="Normal"/>
    <w:pPr>
      <w:numPr>
        <w:ilvl w:val="5"/>
        <w:numId w:val="35"/>
      </w:numPr>
      <w:spacing w:before="120" w:after="120"/>
      <w:jc w:val="both"/>
    </w:pPr>
    <w:rPr>
      <w:szCs w:val="22"/>
    </w:rPr>
  </w:style>
  <w:style w:type="paragraph" w:customStyle="1" w:styleId="Point3letter">
    <w:name w:val="Point 3 (letter)"/>
    <w:basedOn w:val="Normal"/>
    <w:pPr>
      <w:numPr>
        <w:ilvl w:val="7"/>
        <w:numId w:val="35"/>
      </w:numPr>
      <w:spacing w:before="120" w:after="120"/>
      <w:jc w:val="both"/>
    </w:pPr>
    <w:rPr>
      <w:szCs w:val="22"/>
    </w:rPr>
  </w:style>
  <w:style w:type="paragraph" w:customStyle="1" w:styleId="Point4letter">
    <w:name w:val="Point 4 (letter)"/>
    <w:basedOn w:val="Normal"/>
    <w:pPr>
      <w:numPr>
        <w:ilvl w:val="8"/>
        <w:numId w:val="35"/>
      </w:numPr>
      <w:spacing w:before="120" w:after="120"/>
      <w:jc w:val="both"/>
    </w:pPr>
    <w:rPr>
      <w:szCs w:val="22"/>
    </w:rPr>
  </w:style>
  <w:style w:type="paragraph" w:customStyle="1" w:styleId="Tiret2">
    <w:name w:val="Tiret 2"/>
    <w:basedOn w:val="Normal"/>
    <w:pPr>
      <w:numPr>
        <w:numId w:val="38"/>
      </w:numPr>
      <w:spacing w:before="120" w:after="120"/>
      <w:jc w:val="both"/>
    </w:pPr>
    <w:rPr>
      <w:szCs w:val="22"/>
    </w:rPr>
  </w:style>
  <w:style w:type="paragraph" w:styleId="ListParagraph">
    <w:name w:val="List Paragraph"/>
    <w:aliases w:val="Dot pt,F5 List Paragraph,List Paragraph1,No Spacing1,List Paragraph Char Char Char,Indicator Text,Colorful List - Accent 11,Numbered Para 1,Bullet 1,Bullet Points,MAIN CONTENT,List Paragraph11,List Paragraph12,List Paragraph2,OBC Bullet"/>
    <w:basedOn w:val="Normal"/>
    <w:link w:val="ListParagraphChar"/>
    <w:uiPriority w:val="34"/>
    <w:qFormat/>
    <w:pPr>
      <w:spacing w:after="200" w:line="276" w:lineRule="auto"/>
      <w:ind w:left="720"/>
      <w:contextualSpacing/>
    </w:pPr>
    <w:rPr>
      <w:rFonts w:ascii="Calibri" w:eastAsia="MS Mincho" w:hAnsi="Calibri"/>
      <w:sz w:val="22"/>
      <w:szCs w:val="22"/>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MAIN CONTENT Char"/>
    <w:link w:val="ListParagraph"/>
    <w:uiPriority w:val="34"/>
    <w:qFormat/>
    <w:locked/>
    <w:rPr>
      <w:rFonts w:ascii="Calibri" w:eastAsia="MS Mincho"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286090">
      <w:bodyDiv w:val="1"/>
      <w:marLeft w:val="0"/>
      <w:marRight w:val="0"/>
      <w:marTop w:val="0"/>
      <w:marBottom w:val="0"/>
      <w:divBdr>
        <w:top w:val="none" w:sz="0" w:space="0" w:color="auto"/>
        <w:left w:val="none" w:sz="0" w:space="0" w:color="auto"/>
        <w:bottom w:val="none" w:sz="0" w:space="0" w:color="auto"/>
        <w:right w:val="none" w:sz="0" w:space="0" w:color="auto"/>
      </w:divBdr>
      <w:divsChild>
        <w:div w:id="1952855758">
          <w:marLeft w:val="0"/>
          <w:marRight w:val="0"/>
          <w:marTop w:val="0"/>
          <w:marBottom w:val="0"/>
          <w:divBdr>
            <w:top w:val="none" w:sz="0" w:space="0" w:color="auto"/>
            <w:left w:val="none" w:sz="0" w:space="0" w:color="auto"/>
            <w:bottom w:val="none" w:sz="0" w:space="0" w:color="auto"/>
            <w:right w:val="none" w:sz="0" w:space="0" w:color="auto"/>
          </w:divBdr>
          <w:divsChild>
            <w:div w:id="1936203364">
              <w:marLeft w:val="0"/>
              <w:marRight w:val="0"/>
              <w:marTop w:val="0"/>
              <w:marBottom w:val="0"/>
              <w:divBdr>
                <w:top w:val="none" w:sz="0" w:space="0" w:color="auto"/>
                <w:left w:val="none" w:sz="0" w:space="0" w:color="auto"/>
                <w:bottom w:val="none" w:sz="0" w:space="0" w:color="auto"/>
                <w:right w:val="none" w:sz="0" w:space="0" w:color="auto"/>
              </w:divBdr>
              <w:divsChild>
                <w:div w:id="1099984863">
                  <w:marLeft w:val="0"/>
                  <w:marRight w:val="0"/>
                  <w:marTop w:val="0"/>
                  <w:marBottom w:val="0"/>
                  <w:divBdr>
                    <w:top w:val="none" w:sz="0" w:space="0" w:color="auto"/>
                    <w:left w:val="none" w:sz="0" w:space="0" w:color="auto"/>
                    <w:bottom w:val="none" w:sz="0" w:space="0" w:color="auto"/>
                    <w:right w:val="none" w:sz="0" w:space="0" w:color="auto"/>
                  </w:divBdr>
                  <w:divsChild>
                    <w:div w:id="1203328141">
                      <w:marLeft w:val="1"/>
                      <w:marRight w:val="1"/>
                      <w:marTop w:val="0"/>
                      <w:marBottom w:val="0"/>
                      <w:divBdr>
                        <w:top w:val="none" w:sz="0" w:space="0" w:color="auto"/>
                        <w:left w:val="none" w:sz="0" w:space="0" w:color="auto"/>
                        <w:bottom w:val="none" w:sz="0" w:space="0" w:color="auto"/>
                        <w:right w:val="none" w:sz="0" w:space="0" w:color="auto"/>
                      </w:divBdr>
                      <w:divsChild>
                        <w:div w:id="1936546657">
                          <w:marLeft w:val="0"/>
                          <w:marRight w:val="0"/>
                          <w:marTop w:val="0"/>
                          <w:marBottom w:val="0"/>
                          <w:divBdr>
                            <w:top w:val="none" w:sz="0" w:space="0" w:color="auto"/>
                            <w:left w:val="none" w:sz="0" w:space="0" w:color="auto"/>
                            <w:bottom w:val="none" w:sz="0" w:space="0" w:color="auto"/>
                            <w:right w:val="none" w:sz="0" w:space="0" w:color="auto"/>
                          </w:divBdr>
                          <w:divsChild>
                            <w:div w:id="1022240160">
                              <w:marLeft w:val="0"/>
                              <w:marRight w:val="0"/>
                              <w:marTop w:val="0"/>
                              <w:marBottom w:val="360"/>
                              <w:divBdr>
                                <w:top w:val="none" w:sz="0" w:space="0" w:color="auto"/>
                                <w:left w:val="none" w:sz="0" w:space="0" w:color="auto"/>
                                <w:bottom w:val="none" w:sz="0" w:space="0" w:color="auto"/>
                                <w:right w:val="none" w:sz="0" w:space="0" w:color="auto"/>
                              </w:divBdr>
                              <w:divsChild>
                                <w:div w:id="1375350455">
                                  <w:marLeft w:val="0"/>
                                  <w:marRight w:val="0"/>
                                  <w:marTop w:val="0"/>
                                  <w:marBottom w:val="0"/>
                                  <w:divBdr>
                                    <w:top w:val="none" w:sz="0" w:space="0" w:color="auto"/>
                                    <w:left w:val="none" w:sz="0" w:space="0" w:color="auto"/>
                                    <w:bottom w:val="none" w:sz="0" w:space="0" w:color="auto"/>
                                    <w:right w:val="none" w:sz="0" w:space="0" w:color="auto"/>
                                  </w:divBdr>
                                  <w:divsChild>
                                    <w:div w:id="154732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4623949">
      <w:bodyDiv w:val="1"/>
      <w:marLeft w:val="0"/>
      <w:marRight w:val="0"/>
      <w:marTop w:val="0"/>
      <w:marBottom w:val="0"/>
      <w:divBdr>
        <w:top w:val="none" w:sz="0" w:space="0" w:color="auto"/>
        <w:left w:val="none" w:sz="0" w:space="0" w:color="auto"/>
        <w:bottom w:val="none" w:sz="0" w:space="0" w:color="auto"/>
        <w:right w:val="none" w:sz="0" w:space="0" w:color="auto"/>
      </w:divBdr>
    </w:div>
    <w:div w:id="370612037">
      <w:bodyDiv w:val="1"/>
      <w:marLeft w:val="0"/>
      <w:marRight w:val="0"/>
      <w:marTop w:val="0"/>
      <w:marBottom w:val="0"/>
      <w:divBdr>
        <w:top w:val="none" w:sz="0" w:space="0" w:color="auto"/>
        <w:left w:val="none" w:sz="0" w:space="0" w:color="auto"/>
        <w:bottom w:val="none" w:sz="0" w:space="0" w:color="auto"/>
        <w:right w:val="none" w:sz="0" w:space="0" w:color="auto"/>
      </w:divBdr>
    </w:div>
    <w:div w:id="390540002">
      <w:bodyDiv w:val="1"/>
      <w:marLeft w:val="0"/>
      <w:marRight w:val="0"/>
      <w:marTop w:val="0"/>
      <w:marBottom w:val="0"/>
      <w:divBdr>
        <w:top w:val="none" w:sz="0" w:space="0" w:color="auto"/>
        <w:left w:val="none" w:sz="0" w:space="0" w:color="auto"/>
        <w:bottom w:val="none" w:sz="0" w:space="0" w:color="auto"/>
        <w:right w:val="none" w:sz="0" w:space="0" w:color="auto"/>
      </w:divBdr>
    </w:div>
    <w:div w:id="631600828">
      <w:bodyDiv w:val="1"/>
      <w:marLeft w:val="0"/>
      <w:marRight w:val="0"/>
      <w:marTop w:val="0"/>
      <w:marBottom w:val="0"/>
      <w:divBdr>
        <w:top w:val="none" w:sz="0" w:space="0" w:color="auto"/>
        <w:left w:val="none" w:sz="0" w:space="0" w:color="auto"/>
        <w:bottom w:val="none" w:sz="0" w:space="0" w:color="auto"/>
        <w:right w:val="none" w:sz="0" w:space="0" w:color="auto"/>
      </w:divBdr>
    </w:div>
    <w:div w:id="693187629">
      <w:bodyDiv w:val="1"/>
      <w:marLeft w:val="0"/>
      <w:marRight w:val="0"/>
      <w:marTop w:val="0"/>
      <w:marBottom w:val="0"/>
      <w:divBdr>
        <w:top w:val="none" w:sz="0" w:space="0" w:color="auto"/>
        <w:left w:val="none" w:sz="0" w:space="0" w:color="auto"/>
        <w:bottom w:val="none" w:sz="0" w:space="0" w:color="auto"/>
        <w:right w:val="none" w:sz="0" w:space="0" w:color="auto"/>
      </w:divBdr>
    </w:div>
    <w:div w:id="898131723">
      <w:bodyDiv w:val="1"/>
      <w:marLeft w:val="0"/>
      <w:marRight w:val="0"/>
      <w:marTop w:val="0"/>
      <w:marBottom w:val="0"/>
      <w:divBdr>
        <w:top w:val="none" w:sz="0" w:space="0" w:color="auto"/>
        <w:left w:val="none" w:sz="0" w:space="0" w:color="auto"/>
        <w:bottom w:val="none" w:sz="0" w:space="0" w:color="auto"/>
        <w:right w:val="none" w:sz="0" w:space="0" w:color="auto"/>
      </w:divBdr>
    </w:div>
    <w:div w:id="1237476849">
      <w:bodyDiv w:val="1"/>
      <w:marLeft w:val="0"/>
      <w:marRight w:val="0"/>
      <w:marTop w:val="0"/>
      <w:marBottom w:val="0"/>
      <w:divBdr>
        <w:top w:val="none" w:sz="0" w:space="0" w:color="auto"/>
        <w:left w:val="none" w:sz="0" w:space="0" w:color="auto"/>
        <w:bottom w:val="none" w:sz="0" w:space="0" w:color="auto"/>
        <w:right w:val="none" w:sz="0" w:space="0" w:color="auto"/>
      </w:divBdr>
    </w:div>
    <w:div w:id="1288586908">
      <w:bodyDiv w:val="1"/>
      <w:marLeft w:val="0"/>
      <w:marRight w:val="0"/>
      <w:marTop w:val="0"/>
      <w:marBottom w:val="0"/>
      <w:divBdr>
        <w:top w:val="none" w:sz="0" w:space="0" w:color="auto"/>
        <w:left w:val="none" w:sz="0" w:space="0" w:color="auto"/>
        <w:bottom w:val="none" w:sz="0" w:space="0" w:color="auto"/>
        <w:right w:val="none" w:sz="0" w:space="0" w:color="auto"/>
      </w:divBdr>
    </w:div>
    <w:div w:id="1331906149">
      <w:bodyDiv w:val="1"/>
      <w:marLeft w:val="0"/>
      <w:marRight w:val="0"/>
      <w:marTop w:val="0"/>
      <w:marBottom w:val="0"/>
      <w:divBdr>
        <w:top w:val="none" w:sz="0" w:space="0" w:color="auto"/>
        <w:left w:val="none" w:sz="0" w:space="0" w:color="auto"/>
        <w:bottom w:val="none" w:sz="0" w:space="0" w:color="auto"/>
        <w:right w:val="none" w:sz="0" w:space="0" w:color="auto"/>
      </w:divBdr>
    </w:div>
    <w:div w:id="1536893397">
      <w:bodyDiv w:val="1"/>
      <w:marLeft w:val="0"/>
      <w:marRight w:val="0"/>
      <w:marTop w:val="0"/>
      <w:marBottom w:val="0"/>
      <w:divBdr>
        <w:top w:val="none" w:sz="0" w:space="0" w:color="auto"/>
        <w:left w:val="none" w:sz="0" w:space="0" w:color="auto"/>
        <w:bottom w:val="none" w:sz="0" w:space="0" w:color="auto"/>
        <w:right w:val="none" w:sz="0" w:space="0" w:color="auto"/>
      </w:divBdr>
    </w:div>
    <w:div w:id="1725518721">
      <w:bodyDiv w:val="1"/>
      <w:marLeft w:val="0"/>
      <w:marRight w:val="0"/>
      <w:marTop w:val="0"/>
      <w:marBottom w:val="0"/>
      <w:divBdr>
        <w:top w:val="none" w:sz="0" w:space="0" w:color="auto"/>
        <w:left w:val="none" w:sz="0" w:space="0" w:color="auto"/>
        <w:bottom w:val="none" w:sz="0" w:space="0" w:color="auto"/>
        <w:right w:val="none" w:sz="0" w:space="0" w:color="auto"/>
      </w:divBdr>
    </w:div>
    <w:div w:id="1777287212">
      <w:bodyDiv w:val="1"/>
      <w:marLeft w:val="0"/>
      <w:marRight w:val="0"/>
      <w:marTop w:val="0"/>
      <w:marBottom w:val="0"/>
      <w:divBdr>
        <w:top w:val="none" w:sz="0" w:space="0" w:color="auto"/>
        <w:left w:val="none" w:sz="0" w:space="0" w:color="auto"/>
        <w:bottom w:val="none" w:sz="0" w:space="0" w:color="auto"/>
        <w:right w:val="none" w:sz="0" w:space="0" w:color="auto"/>
      </w:divBdr>
    </w:div>
    <w:div w:id="1899397083">
      <w:bodyDiv w:val="1"/>
      <w:marLeft w:val="0"/>
      <w:marRight w:val="0"/>
      <w:marTop w:val="0"/>
      <w:marBottom w:val="0"/>
      <w:divBdr>
        <w:top w:val="none" w:sz="0" w:space="0" w:color="auto"/>
        <w:left w:val="none" w:sz="0" w:space="0" w:color="auto"/>
        <w:bottom w:val="none" w:sz="0" w:space="0" w:color="auto"/>
        <w:right w:val="none" w:sz="0" w:space="0" w:color="auto"/>
      </w:divBdr>
    </w:div>
    <w:div w:id="1906259906">
      <w:bodyDiv w:val="1"/>
      <w:marLeft w:val="0"/>
      <w:marRight w:val="0"/>
      <w:marTop w:val="0"/>
      <w:marBottom w:val="0"/>
      <w:divBdr>
        <w:top w:val="none" w:sz="0" w:space="0" w:color="auto"/>
        <w:left w:val="none" w:sz="0" w:space="0" w:color="auto"/>
        <w:bottom w:val="none" w:sz="0" w:space="0" w:color="auto"/>
        <w:right w:val="none" w:sz="0" w:space="0" w:color="auto"/>
      </w:divBdr>
    </w:div>
    <w:div w:id="21347116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9" Type="http://schemas.openxmlformats.org/officeDocument/2006/relationships/header" Target="header15.xm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footer" Target="footer12.xml"/><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7.xml"/><Relationship Id="rId33" Type="http://schemas.openxmlformats.org/officeDocument/2006/relationships/header" Target="header12.xml"/><Relationship Id="rId38" Type="http://schemas.openxmlformats.org/officeDocument/2006/relationships/footer" Target="footer1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0.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8.xml"/><Relationship Id="rId32" Type="http://schemas.openxmlformats.org/officeDocument/2006/relationships/footer" Target="footer11.xml"/><Relationship Id="rId37" Type="http://schemas.openxmlformats.org/officeDocument/2006/relationships/footer" Target="footer13.xml"/><Relationship Id="rId40" Type="http://schemas.openxmlformats.org/officeDocument/2006/relationships/footer" Target="footer15.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7.xml"/><Relationship Id="rId28" Type="http://schemas.openxmlformats.org/officeDocument/2006/relationships/footer" Target="footer9.xml"/><Relationship Id="rId36" Type="http://schemas.openxmlformats.org/officeDocument/2006/relationships/header" Target="header14.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0.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yperlink" Target="http://eur-lex.europa.eu/budget/www/index-fr.htm" TargetMode="External"/><Relationship Id="rId27" Type="http://schemas.openxmlformats.org/officeDocument/2006/relationships/header" Target="header9.xml"/><Relationship Id="rId30" Type="http://schemas.openxmlformats.org/officeDocument/2006/relationships/header" Target="header11.xml"/><Relationship Id="rId35" Type="http://schemas.openxmlformats.org/officeDocument/2006/relationships/header" Target="header1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5298D6-4742-4D62-AB65-5DA896BBF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9</Pages>
  <Words>2976</Words>
  <Characters>15092</Characters>
  <Application>Microsoft Office Word</Application>
  <DocSecurity>0</DocSecurity>
  <Lines>603</Lines>
  <Paragraphs>328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17740</CharactersWithSpaces>
  <SharedDoc>false</SharedDoc>
  <HLinks>
    <vt:vector size="48" baseType="variant">
      <vt:variant>
        <vt:i4>1572927</vt:i4>
      </vt:variant>
      <vt:variant>
        <vt:i4>41</vt:i4>
      </vt:variant>
      <vt:variant>
        <vt:i4>0</vt:i4>
      </vt:variant>
      <vt:variant>
        <vt:i4>5</vt:i4>
      </vt:variant>
      <vt:variant>
        <vt:lpwstr/>
      </vt:variant>
      <vt:variant>
        <vt:lpwstr>_Toc418618202</vt:lpwstr>
      </vt:variant>
      <vt:variant>
        <vt:i4>1572927</vt:i4>
      </vt:variant>
      <vt:variant>
        <vt:i4>35</vt:i4>
      </vt:variant>
      <vt:variant>
        <vt:i4>0</vt:i4>
      </vt:variant>
      <vt:variant>
        <vt:i4>5</vt:i4>
      </vt:variant>
      <vt:variant>
        <vt:lpwstr/>
      </vt:variant>
      <vt:variant>
        <vt:lpwstr>_Toc418618201</vt:lpwstr>
      </vt:variant>
      <vt:variant>
        <vt:i4>1572927</vt:i4>
      </vt:variant>
      <vt:variant>
        <vt:i4>29</vt:i4>
      </vt:variant>
      <vt:variant>
        <vt:i4>0</vt:i4>
      </vt:variant>
      <vt:variant>
        <vt:i4>5</vt:i4>
      </vt:variant>
      <vt:variant>
        <vt:lpwstr/>
      </vt:variant>
      <vt:variant>
        <vt:lpwstr>_Toc418618200</vt:lpwstr>
      </vt:variant>
      <vt:variant>
        <vt:i4>1114172</vt:i4>
      </vt:variant>
      <vt:variant>
        <vt:i4>23</vt:i4>
      </vt:variant>
      <vt:variant>
        <vt:i4>0</vt:i4>
      </vt:variant>
      <vt:variant>
        <vt:i4>5</vt:i4>
      </vt:variant>
      <vt:variant>
        <vt:lpwstr/>
      </vt:variant>
      <vt:variant>
        <vt:lpwstr>_Toc418618199</vt:lpwstr>
      </vt:variant>
      <vt:variant>
        <vt:i4>1114172</vt:i4>
      </vt:variant>
      <vt:variant>
        <vt:i4>17</vt:i4>
      </vt:variant>
      <vt:variant>
        <vt:i4>0</vt:i4>
      </vt:variant>
      <vt:variant>
        <vt:i4>5</vt:i4>
      </vt:variant>
      <vt:variant>
        <vt:lpwstr/>
      </vt:variant>
      <vt:variant>
        <vt:lpwstr>_Toc418618198</vt:lpwstr>
      </vt:variant>
      <vt:variant>
        <vt:i4>1114172</vt:i4>
      </vt:variant>
      <vt:variant>
        <vt:i4>11</vt:i4>
      </vt:variant>
      <vt:variant>
        <vt:i4>0</vt:i4>
      </vt:variant>
      <vt:variant>
        <vt:i4>5</vt:i4>
      </vt:variant>
      <vt:variant>
        <vt:lpwstr/>
      </vt:variant>
      <vt:variant>
        <vt:lpwstr>_Toc418618197</vt:lpwstr>
      </vt:variant>
      <vt:variant>
        <vt:i4>1114172</vt:i4>
      </vt:variant>
      <vt:variant>
        <vt:i4>5</vt:i4>
      </vt:variant>
      <vt:variant>
        <vt:i4>0</vt:i4>
      </vt:variant>
      <vt:variant>
        <vt:i4>5</vt:i4>
      </vt:variant>
      <vt:variant>
        <vt:lpwstr/>
      </vt:variant>
      <vt:variant>
        <vt:lpwstr>_Toc418618196</vt:lpwstr>
      </vt:variant>
      <vt:variant>
        <vt:i4>5046279</vt:i4>
      </vt:variant>
      <vt:variant>
        <vt:i4>0</vt:i4>
      </vt:variant>
      <vt:variant>
        <vt:i4>0</vt:i4>
      </vt:variant>
      <vt:variant>
        <vt:i4>5</vt:i4>
      </vt:variant>
      <vt:variant>
        <vt:lpwstr>http://eur-lex.europa.eu/budget/www/index-en.htm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DIGIT/A3</cp:lastModifiedBy>
  <cp:revision>24</cp:revision>
  <cp:lastPrinted>2015-05-06T07:40:00Z</cp:lastPrinted>
  <dcterms:created xsi:type="dcterms:W3CDTF">2015-05-12T13:07:00Z</dcterms:created>
  <dcterms:modified xsi:type="dcterms:W3CDTF">2015-05-20T08:06:00Z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 </vt:lpwstr>
  </property>
  <property fmtid="{D5CDD505-2E9C-101B-9397-08002B2CF9AE}" pid="3" name="_NewReviewCycle">
    <vt:lpwstr/>
  </property>
  <property fmtid="{D5CDD505-2E9C-101B-9397-08002B2CF9AE}" pid="4" name="Part">
    <vt:lpwstr>1</vt:lpwstr>
  </property>
  <property fmtid="{D5CDD505-2E9C-101B-9397-08002B2CF9AE}" pid="5" name="Total parts">
    <vt:lpwstr>1</vt:lpwstr>
  </property>
  <property fmtid="{D5CDD505-2E9C-101B-9397-08002B2CF9AE}" pid="6" name="DocStatus">
    <vt:lpwstr>Green</vt:lpwstr>
  </property>
</Properties>
</file>