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C6051A5E62B43848D42499F1B3BA7CE"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p>
    <w:p>
      <w:pPr>
        <w:pStyle w:val="Typedudocument"/>
        <w:rPr>
          <w:noProof/>
        </w:rPr>
      </w:pPr>
      <w:r>
        <w:rPr>
          <w:noProof/>
        </w:rPr>
        <w:t>ПРОЕКТ НА КОРИГИРАЩ БЮДЖЕТ № 5</w:t>
      </w:r>
      <w:r>
        <w:rPr>
          <w:noProof/>
        </w:rPr>
        <w:br/>
        <w:t>КЪМ ОБЩИЯ БЮДЖЕТ ЗА 2015 Г.</w:t>
      </w:r>
    </w:p>
    <w:p>
      <w:pPr>
        <w:pStyle w:val="Titreobjet"/>
        <w:rPr>
          <w:noProof/>
        </w:rPr>
      </w:pPr>
      <w:r>
        <w:rPr>
          <w:noProof/>
        </w:rPr>
        <w:t xml:space="preserve">ОТГОВОР НА МИГРАЦИОННИЯ НАТИСК </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08"/>
          <w:docGrid w:linePitch="360"/>
        </w:sectPr>
      </w:pPr>
    </w:p>
    <w:p>
      <w:pPr>
        <w:rPr>
          <w:noProof/>
        </w:rPr>
      </w:pPr>
      <w:r>
        <w:rPr>
          <w:noProof/>
        </w:rPr>
        <w:lastRenderedPageBreak/>
        <w:t>Като взе предвид:</w:t>
      </w:r>
    </w:p>
    <w:p>
      <w:pPr>
        <w:pStyle w:val="Tiret0"/>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rPr>
          <w:rFonts w:cs="Arial"/>
          <w:noProof/>
          <w:szCs w:val="18"/>
        </w:rPr>
      </w:pPr>
      <w:r>
        <w:rPr>
          <w:noProof/>
        </w:rPr>
        <w:t>Регламент (ЕС, Евратом) № 966/2012 на Европейския парламент и на Съвета от 25 октомври 2012 г. относно финансовите правила, приложими за общия бюджет на Съюза</w:t>
      </w:r>
      <w:r>
        <w:rPr>
          <w:rStyle w:val="FootnoteReference"/>
          <w:noProof/>
        </w:rPr>
        <w:footnoteReference w:id="2"/>
      </w:r>
      <w:r>
        <w:rPr>
          <w:noProof/>
        </w:rPr>
        <w:t>, и по-специално член 41 от него,</w:t>
      </w:r>
    </w:p>
    <w:p>
      <w:pPr>
        <w:pStyle w:val="Tiret0"/>
        <w:rPr>
          <w:noProof/>
        </w:rPr>
      </w:pPr>
      <w:r>
        <w:rPr>
          <w:noProof/>
        </w:rPr>
        <w:t>общия бюджет на Европейския съюз за финансовата 2015 година, приет на 17 декември 2014 г.</w:t>
      </w:r>
      <w:r>
        <w:rPr>
          <w:rStyle w:val="FootnoteReference"/>
          <w:noProof/>
        </w:rPr>
        <w:footnoteReference w:id="3"/>
      </w:r>
      <w:r>
        <w:rPr>
          <w:noProof/>
        </w:rPr>
        <w:t>,</w:t>
      </w:r>
    </w:p>
    <w:p>
      <w:pPr>
        <w:pStyle w:val="Tiret0"/>
        <w:rPr>
          <w:noProof/>
        </w:rPr>
      </w:pPr>
      <w:r>
        <w:rPr>
          <w:noProof/>
        </w:rPr>
        <w:t>коригиращ бюджет № 1/2015</w:t>
      </w:r>
      <w:r>
        <w:rPr>
          <w:rStyle w:val="FootnoteReference"/>
          <w:noProof/>
        </w:rPr>
        <w:footnoteReference w:id="4"/>
      </w:r>
      <w:r>
        <w:rPr>
          <w:noProof/>
        </w:rPr>
        <w:t>, приет на 28 април 2015 г.,</w:t>
      </w:r>
    </w:p>
    <w:p>
      <w:pPr>
        <w:pStyle w:val="Tiret0"/>
        <w:rPr>
          <w:noProof/>
        </w:rPr>
      </w:pPr>
      <w:r>
        <w:rPr>
          <w:noProof/>
        </w:rPr>
        <w:t>проект на коригиращ бюджет № 1/2015</w:t>
      </w:r>
      <w:r>
        <w:rPr>
          <w:rStyle w:val="FootnoteReference"/>
          <w:noProof/>
        </w:rPr>
        <w:footnoteReference w:id="5"/>
      </w:r>
      <w:r>
        <w:rPr>
          <w:noProof/>
        </w:rPr>
        <w:t>, приет на 13 януари 2015 г.,</w:t>
      </w:r>
    </w:p>
    <w:p>
      <w:pPr>
        <w:pStyle w:val="Tiret0"/>
        <w:rPr>
          <w:noProof/>
        </w:rPr>
      </w:pPr>
      <w:r>
        <w:rPr>
          <w:noProof/>
        </w:rPr>
        <w:t>проект на коригиращ бюджет № 3/2015</w:t>
      </w:r>
      <w:r>
        <w:rPr>
          <w:rStyle w:val="FootnoteReference"/>
          <w:noProof/>
        </w:rPr>
        <w:footnoteReference w:id="6"/>
      </w:r>
      <w:r>
        <w:rPr>
          <w:noProof/>
        </w:rPr>
        <w:t>, приет на 15 април 2015 г.,</w:t>
      </w:r>
    </w:p>
    <w:p>
      <w:pPr>
        <w:pStyle w:val="Tiret0"/>
        <w:rPr>
          <w:noProof/>
        </w:rPr>
      </w:pPr>
      <w:r>
        <w:rPr>
          <w:noProof/>
        </w:rPr>
        <w:t>проект на коригиращ бюджет № 4/2015</w:t>
      </w:r>
      <w:r>
        <w:rPr>
          <w:rStyle w:val="FootnoteReference"/>
          <w:noProof/>
        </w:rPr>
        <w:footnoteReference w:id="7"/>
      </w:r>
      <w:r>
        <w:rPr>
          <w:noProof/>
        </w:rPr>
        <w:t>, приет на 15 април 2015 г.,</w:t>
      </w:r>
    </w:p>
    <w:p>
      <w:pPr>
        <w:jc w:val="both"/>
        <w:rPr>
          <w:noProof/>
        </w:rPr>
      </w:pPr>
      <w:r>
        <w:rPr>
          <w:noProof/>
        </w:rPr>
        <w:t>С настоящото Европейската комисия представя на Европейския парламент и на Съвета проект на коригиращ бюджет № 5 към бюджета за 2015 г.</w:t>
      </w:r>
    </w:p>
    <w:p>
      <w:pPr>
        <w:rPr>
          <w:b/>
          <w:noProof/>
          <w:u w:val="single"/>
        </w:rPr>
      </w:pPr>
    </w:p>
    <w:p>
      <w:pPr>
        <w:rPr>
          <w:b/>
          <w:noProof/>
          <w:u w:val="single"/>
        </w:rPr>
      </w:pPr>
    </w:p>
    <w:p>
      <w:pPr>
        <w:jc w:val="both"/>
        <w:rPr>
          <w:b/>
          <w:noProof/>
          <w:u w:val="single"/>
        </w:rPr>
      </w:pPr>
      <w:r>
        <w:rPr>
          <w:b/>
          <w:noProof/>
          <w:u w:val="single"/>
        </w:rPr>
        <w:t>ПРОМЕНИ В ПРИХОДНАТА И РАЗХОДНАТА ЧАСТ НА БЮДЖЕТА ПО РАЗДЕЛИ</w:t>
      </w:r>
    </w:p>
    <w:p>
      <w:pPr>
        <w:rPr>
          <w:b/>
          <w:noProof/>
          <w:u w:val="single"/>
        </w:rPr>
      </w:pPr>
    </w:p>
    <w:p>
      <w:pPr>
        <w:jc w:val="both"/>
        <w:rPr>
          <w:noProof/>
        </w:rPr>
      </w:pPr>
      <w:r>
        <w:rPr>
          <w:noProof/>
        </w:rPr>
        <w:t>Промените в приходната и разходната част на бюджета по раздели са достъпни в EUR-Lex (</w:t>
      </w:r>
      <w:hyperlink r:id="rId22">
        <w:r>
          <w:rPr>
            <w:rStyle w:val="Hyperlink"/>
            <w:noProof/>
            <w:color w:val="auto"/>
          </w:rPr>
          <w:t>http://eur-lex.europa.eu/budget/www/index-bg.htm</w:t>
        </w:r>
      </w:hyperlink>
      <w:r>
        <w:rPr>
          <w:noProof/>
        </w:rPr>
        <w:t>). За информация като бюджетно приложение се прилага версия на английски език на промените в тези части.</w:t>
      </w:r>
    </w:p>
    <w:p>
      <w:pPr>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СЪДЪРЖАНИЕ</w:t>
      </w:r>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19731617"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_Toc419731617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19731618"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Отговор на миграционния натиск</w:t>
        </w:r>
        <w:r>
          <w:rPr>
            <w:noProof/>
            <w:webHidden/>
          </w:rPr>
          <w:tab/>
        </w:r>
        <w:r>
          <w:rPr>
            <w:noProof/>
            <w:webHidden/>
          </w:rPr>
          <w:fldChar w:fldCharType="begin"/>
        </w:r>
        <w:r>
          <w:rPr>
            <w:noProof/>
            <w:webHidden/>
          </w:rPr>
          <w:instrText xml:space="preserve"> PAGEREF _Toc419731618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19731619" w:history="1">
        <w:r>
          <w:rPr>
            <w:rStyle w:val="Hyperlink"/>
            <w:b/>
            <w:noProof/>
          </w:rPr>
          <w:t>2.1</w:t>
        </w:r>
        <w:r>
          <w:rPr>
            <w:rFonts w:asciiTheme="minorHAnsi" w:eastAsiaTheme="minorEastAsia" w:hAnsiTheme="minorHAnsi" w:cstheme="minorBidi"/>
            <w:smallCaps w:val="0"/>
            <w:noProof/>
            <w:sz w:val="22"/>
            <w:szCs w:val="22"/>
            <w:lang w:val="en-GB" w:eastAsia="en-GB" w:bidi="ar-SA"/>
          </w:rPr>
          <w:tab/>
        </w:r>
        <w:r>
          <w:rPr>
            <w:rStyle w:val="Hyperlink"/>
            <w:b/>
            <w:noProof/>
          </w:rPr>
          <w:t>Необходимост от повишаване на усилията на равнище ЕС</w:t>
        </w:r>
        <w:r>
          <w:rPr>
            <w:noProof/>
            <w:webHidden/>
          </w:rPr>
          <w:tab/>
        </w:r>
        <w:r>
          <w:rPr>
            <w:noProof/>
            <w:webHidden/>
          </w:rPr>
          <w:fldChar w:fldCharType="begin"/>
        </w:r>
        <w:r>
          <w:rPr>
            <w:noProof/>
            <w:webHidden/>
          </w:rPr>
          <w:instrText xml:space="preserve"> PAGEREF _Toc419731619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19731620" w:history="1">
        <w:r>
          <w:rPr>
            <w:rStyle w:val="Hyperlink"/>
            <w:b/>
            <w:noProof/>
          </w:rPr>
          <w:t>2.2</w:t>
        </w:r>
        <w:r>
          <w:rPr>
            <w:rFonts w:asciiTheme="minorHAnsi" w:eastAsiaTheme="minorEastAsia" w:hAnsiTheme="minorHAnsi" w:cstheme="minorBidi"/>
            <w:smallCaps w:val="0"/>
            <w:noProof/>
            <w:sz w:val="22"/>
            <w:szCs w:val="22"/>
            <w:lang w:val="en-GB" w:eastAsia="en-GB" w:bidi="ar-SA"/>
          </w:rPr>
          <w:tab/>
        </w:r>
        <w:r>
          <w:rPr>
            <w:rStyle w:val="Hyperlink"/>
            <w:b/>
            <w:noProof/>
          </w:rPr>
          <w:t>Мерки, средствата за които е предложено да бъдат увеличени през 2015 г.</w:t>
        </w:r>
        <w:r>
          <w:rPr>
            <w:noProof/>
            <w:webHidden/>
          </w:rPr>
          <w:tab/>
        </w:r>
        <w:r>
          <w:rPr>
            <w:noProof/>
            <w:webHidden/>
          </w:rPr>
          <w:fldChar w:fldCharType="begin"/>
        </w:r>
        <w:r>
          <w:rPr>
            <w:noProof/>
            <w:webHidden/>
          </w:rPr>
          <w:instrText xml:space="preserve"> PAGEREF _Toc419731620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19731621" w:history="1">
        <w:r>
          <w:rPr>
            <w:rStyle w:val="Hyperlink"/>
            <w:b/>
            <w:noProof/>
          </w:rPr>
          <w:t>2.3</w:t>
        </w:r>
        <w:r>
          <w:rPr>
            <w:rFonts w:asciiTheme="minorHAnsi" w:eastAsiaTheme="minorEastAsia" w:hAnsiTheme="minorHAnsi" w:cstheme="minorBidi"/>
            <w:smallCaps w:val="0"/>
            <w:noProof/>
            <w:sz w:val="22"/>
            <w:szCs w:val="22"/>
            <w:lang w:val="en-GB" w:eastAsia="en-GB" w:bidi="ar-SA"/>
          </w:rPr>
          <w:tab/>
        </w:r>
        <w:r>
          <w:rPr>
            <w:rStyle w:val="Hyperlink"/>
            <w:b/>
            <w:noProof/>
          </w:rPr>
          <w:t>Предложено финансиране на мерките в областта на миграцията</w:t>
        </w:r>
        <w:r>
          <w:rPr>
            <w:noProof/>
            <w:webHidden/>
          </w:rPr>
          <w:tab/>
        </w:r>
        <w:r>
          <w:rPr>
            <w:noProof/>
            <w:webHidden/>
          </w:rPr>
          <w:fldChar w:fldCharType="begin"/>
        </w:r>
        <w:r>
          <w:rPr>
            <w:noProof/>
            <w:webHidden/>
          </w:rPr>
          <w:instrText xml:space="preserve"> PAGEREF _Toc419731621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19731622" w:history="1">
        <w:r>
          <w:rPr>
            <w:rStyle w:val="Hyperlink"/>
            <w:b/>
            <w:noProof/>
          </w:rPr>
          <w:t>2.4</w:t>
        </w:r>
        <w:r>
          <w:rPr>
            <w:rFonts w:asciiTheme="minorHAnsi" w:eastAsiaTheme="minorEastAsia" w:hAnsiTheme="minorHAnsi" w:cstheme="minorBidi"/>
            <w:smallCaps w:val="0"/>
            <w:noProof/>
            <w:sz w:val="22"/>
            <w:szCs w:val="22"/>
            <w:lang w:val="en-GB" w:eastAsia="en-GB" w:bidi="ar-SA"/>
          </w:rPr>
          <w:tab/>
        </w:r>
        <w:r>
          <w:rPr>
            <w:rStyle w:val="Hyperlink"/>
            <w:b/>
            <w:noProof/>
          </w:rPr>
          <w:t>Преразпределяне на бюджетните кредити за плащания от програмата „Галилео“</w:t>
        </w:r>
        <w:r>
          <w:rPr>
            <w:noProof/>
            <w:webHidden/>
          </w:rPr>
          <w:tab/>
        </w:r>
        <w:r>
          <w:rPr>
            <w:noProof/>
            <w:webHidden/>
          </w:rPr>
          <w:fldChar w:fldCharType="begin"/>
        </w:r>
        <w:r>
          <w:rPr>
            <w:noProof/>
            <w:webHidden/>
          </w:rPr>
          <w:instrText xml:space="preserve"> PAGEREF _Toc419731622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19731623" w:history="1">
        <w:r>
          <w:rPr>
            <w:rStyle w:val="Hyperlink"/>
            <w:noProof/>
          </w:rPr>
          <w:t>3.</w:t>
        </w:r>
        <w:r>
          <w:rPr>
            <w:rFonts w:asciiTheme="minorHAnsi" w:eastAsiaTheme="minorEastAsia" w:hAnsiTheme="minorHAnsi" w:cstheme="minorBidi"/>
            <w:b w:val="0"/>
            <w:bCs w:val="0"/>
            <w:caps w:val="0"/>
            <w:noProof/>
            <w:sz w:val="22"/>
            <w:szCs w:val="22"/>
            <w:lang w:val="en-GB" w:eastAsia="en-GB" w:bidi="ar-SA"/>
          </w:rPr>
          <w:tab/>
        </w:r>
        <w:r>
          <w:rPr>
            <w:rStyle w:val="Hyperlink"/>
            <w:noProof/>
          </w:rPr>
          <w:t>Обобщаваща таблица по функции от МФР</w:t>
        </w:r>
        <w:r>
          <w:rPr>
            <w:noProof/>
            <w:webHidden/>
          </w:rPr>
          <w:tab/>
        </w:r>
        <w:r>
          <w:rPr>
            <w:noProof/>
            <w:webHidden/>
          </w:rPr>
          <w:fldChar w:fldCharType="begin"/>
        </w:r>
        <w:r>
          <w:rPr>
            <w:noProof/>
            <w:webHidden/>
          </w:rPr>
          <w:instrText xml:space="preserve"> PAGEREF _Toc419731623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80"/>
          <w:tab w:val="right" w:leader="dot" w:pos="9061"/>
        </w:tabs>
        <w:rPr>
          <w:rFonts w:ascii="Calibri" w:hAnsi="Calibri"/>
          <w:b w:val="0"/>
          <w:bCs w:val="0"/>
          <w:caps w:val="0"/>
          <w:noProof/>
          <w:sz w:val="22"/>
          <w:szCs w:val="22"/>
        </w:rPr>
      </w:pPr>
      <w:r>
        <w:rPr>
          <w:noProof/>
        </w:rPr>
        <w:fldChar w:fldCharType="end"/>
      </w:r>
    </w:p>
    <w:p>
      <w:pPr>
        <w:rPr>
          <w:noProof/>
        </w:rPr>
        <w:sectPr>
          <w:headerReference w:type="even" r:id="rId29"/>
          <w:headerReference w:type="default" r:id="rId30"/>
          <w:footerReference w:type="even" r:id="rId31"/>
          <w:footerReference w:type="default" r:id="rId32"/>
          <w:headerReference w:type="first" r:id="rId33"/>
          <w:footerReference w:type="first" r:id="rId34"/>
          <w:pgSz w:w="11907" w:h="16839"/>
          <w:pgMar w:top="1418" w:right="1418" w:bottom="1418" w:left="1418" w:header="709" w:footer="709" w:gutter="0"/>
          <w:cols w:space="720"/>
        </w:sectPr>
      </w:pPr>
    </w:p>
    <w:p>
      <w:pPr>
        <w:pStyle w:val="ManualHeading1"/>
        <w:spacing w:before="240"/>
        <w:ind w:left="851" w:hanging="851"/>
        <w:rPr>
          <w:noProof/>
        </w:rPr>
      </w:pPr>
      <w:bookmarkStart w:id="8" w:name="_Toc385506031"/>
      <w:bookmarkStart w:id="9" w:name="_Toc418618196"/>
      <w:bookmarkStart w:id="10" w:name="_Toc419731617"/>
      <w:bookmarkStart w:id="11" w:name="_Toc351469332"/>
      <w:bookmarkStart w:id="12" w:name="_Toc361649879"/>
      <w:r>
        <w:rPr>
          <w:noProof/>
        </w:rPr>
        <w:t>1.</w:t>
      </w:r>
      <w:r>
        <w:rPr>
          <w:noProof/>
        </w:rPr>
        <w:tab/>
        <w:t>Въведение</w:t>
      </w:r>
      <w:bookmarkEnd w:id="8"/>
      <w:bookmarkEnd w:id="9"/>
      <w:bookmarkEnd w:id="10"/>
    </w:p>
    <w:p>
      <w:pPr>
        <w:spacing w:before="120" w:after="120"/>
        <w:jc w:val="both"/>
        <w:rPr>
          <w:noProof/>
        </w:rPr>
      </w:pPr>
      <w:r>
        <w:rPr>
          <w:noProof/>
        </w:rPr>
        <w:t xml:space="preserve">Проект на коригиращ бюджет (ПКБ) № 5 за 2015 г. обхваща увеличение на средствата на Съюза за управление на потоците от мигранти и бежанци след последните събития в Южното Средиземноморие, и по-специално чрез допълнителни бюджетни кредити за агенция Frontex, фонд „Убежище, миграция и интеграция“ (ФУМИ) и фонд „Вътрешна сигурност“ (ФВС). </w:t>
      </w:r>
    </w:p>
    <w:p>
      <w:pPr>
        <w:spacing w:before="120" w:after="120"/>
        <w:jc w:val="both"/>
        <w:rPr>
          <w:noProof/>
        </w:rPr>
      </w:pPr>
      <w:r>
        <w:rPr>
          <w:noProof/>
        </w:rPr>
        <w:t>Като се вземат под внимание възможностите за преразпределяне на средствата, включително от програмата „Галилео“ под формата на плащания, общото нетно увеличение на бюджетните кредити, поискано за тези цели, възлиза на 75,8 млн. EUR бюджетни кредити за поети задължения и нула бюджетни кредити за плащания.</w:t>
      </w:r>
    </w:p>
    <w:p>
      <w:pPr>
        <w:keepNext/>
        <w:tabs>
          <w:tab w:val="left" w:pos="850"/>
        </w:tabs>
        <w:spacing w:before="360" w:after="120"/>
        <w:ind w:left="851" w:hanging="851"/>
        <w:jc w:val="both"/>
        <w:outlineLvl w:val="0"/>
        <w:rPr>
          <w:b/>
          <w:smallCaps/>
          <w:noProof/>
        </w:rPr>
      </w:pPr>
      <w:bookmarkStart w:id="13" w:name="_Toc385506032"/>
      <w:bookmarkStart w:id="14" w:name="_Toc367427548"/>
      <w:bookmarkStart w:id="15" w:name="_Toc309303297"/>
      <w:bookmarkStart w:id="16" w:name="_Toc418618197"/>
      <w:bookmarkStart w:id="17" w:name="_Toc419731618"/>
      <w:r>
        <w:rPr>
          <w:b/>
          <w:smallCaps/>
          <w:noProof/>
        </w:rPr>
        <w:t>2.</w:t>
      </w:r>
      <w:r>
        <w:rPr>
          <w:noProof/>
        </w:rPr>
        <w:tab/>
      </w:r>
      <w:bookmarkEnd w:id="13"/>
      <w:bookmarkEnd w:id="14"/>
      <w:bookmarkEnd w:id="15"/>
      <w:r>
        <w:rPr>
          <w:b/>
          <w:smallCaps/>
          <w:noProof/>
        </w:rPr>
        <w:t>Отговор на миграционния натиск</w:t>
      </w:r>
      <w:bookmarkEnd w:id="16"/>
      <w:bookmarkEnd w:id="17"/>
    </w:p>
    <w:p>
      <w:pPr>
        <w:keepNext/>
        <w:tabs>
          <w:tab w:val="left" w:pos="709"/>
        </w:tabs>
        <w:spacing w:before="120" w:after="120"/>
        <w:ind w:left="709" w:hanging="709"/>
        <w:jc w:val="both"/>
        <w:outlineLvl w:val="1"/>
        <w:rPr>
          <w:b/>
          <w:noProof/>
        </w:rPr>
      </w:pPr>
      <w:bookmarkStart w:id="18" w:name="_Toc309303298"/>
      <w:bookmarkStart w:id="19" w:name="_Toc385506033"/>
      <w:bookmarkStart w:id="20" w:name="_Toc367427549"/>
      <w:bookmarkStart w:id="21" w:name="_Toc418618198"/>
      <w:bookmarkStart w:id="22" w:name="_Toc419731619"/>
      <w:r>
        <w:rPr>
          <w:b/>
          <w:noProof/>
        </w:rPr>
        <w:t>2.1</w:t>
      </w:r>
      <w:r>
        <w:rPr>
          <w:noProof/>
        </w:rPr>
        <w:tab/>
      </w:r>
      <w:bookmarkEnd w:id="18"/>
      <w:bookmarkEnd w:id="19"/>
      <w:bookmarkEnd w:id="20"/>
      <w:r>
        <w:rPr>
          <w:b/>
          <w:noProof/>
        </w:rPr>
        <w:t>Необходимост от повишаване на усилията на равнище ЕС</w:t>
      </w:r>
      <w:bookmarkEnd w:id="21"/>
      <w:bookmarkEnd w:id="22"/>
    </w:p>
    <w:p>
      <w:pPr>
        <w:spacing w:before="120" w:after="120"/>
        <w:jc w:val="both"/>
        <w:rPr>
          <w:noProof/>
        </w:rPr>
      </w:pPr>
      <w:r>
        <w:rPr>
          <w:noProof/>
        </w:rPr>
        <w:t xml:space="preserve">След настъпило наскоро трагично събитие в Средиземно море, което доведе до смъртта на приблизително 700 души, Съветът и Парламентът постигнаха съгласие, че Европейският съюз следва да предприеме мерки. </w:t>
      </w:r>
    </w:p>
    <w:p>
      <w:pPr>
        <w:spacing w:before="120" w:after="120"/>
        <w:jc w:val="both"/>
        <w:rPr>
          <w:noProof/>
        </w:rPr>
      </w:pPr>
      <w:r>
        <w:rPr>
          <w:noProof/>
        </w:rPr>
        <w:t>В изявлението, направено след извънредното му заседание на 23 април 2015 г.</w:t>
      </w:r>
      <w:r>
        <w:rPr>
          <w:noProof/>
          <w:vertAlign w:val="superscript"/>
        </w:rPr>
        <w:footnoteReference w:id="8"/>
      </w:r>
      <w:r>
        <w:rPr>
          <w:noProof/>
        </w:rPr>
        <w:t>, Европейският съвет призова за предприемането на редица мерки, а именно:</w:t>
      </w:r>
    </w:p>
    <w:p>
      <w:pPr>
        <w:numPr>
          <w:ilvl w:val="0"/>
          <w:numId w:val="43"/>
        </w:numPr>
        <w:spacing w:before="120" w:after="120"/>
        <w:jc w:val="both"/>
        <w:rPr>
          <w:noProof/>
        </w:rPr>
      </w:pPr>
      <w:r>
        <w:rPr>
          <w:noProof/>
        </w:rPr>
        <w:t>засилване на провежданите съответно в Италия и Гърция съвместни операции „Тритон“ и „Посейдон“, в които участват с активи и ресурси и други държави членки и които са координирани и съфинансирани в рамките на бюджета на ЕС чрез агенцията Frontex;</w:t>
      </w:r>
    </w:p>
    <w:p>
      <w:pPr>
        <w:numPr>
          <w:ilvl w:val="0"/>
          <w:numId w:val="43"/>
        </w:numPr>
        <w:spacing w:before="120" w:after="120"/>
        <w:jc w:val="both"/>
        <w:rPr>
          <w:noProof/>
        </w:rPr>
      </w:pPr>
      <w:r>
        <w:rPr>
          <w:noProof/>
        </w:rPr>
        <w:t>увеличаване на спешната помощ за държавите членки с външни граници на Съюза;</w:t>
      </w:r>
    </w:p>
    <w:p>
      <w:pPr>
        <w:numPr>
          <w:ilvl w:val="0"/>
          <w:numId w:val="43"/>
        </w:numPr>
        <w:spacing w:before="120" w:after="120"/>
        <w:jc w:val="both"/>
        <w:rPr>
          <w:noProof/>
        </w:rPr>
      </w:pPr>
      <w:r>
        <w:rPr>
          <w:noProof/>
        </w:rPr>
        <w:t>създаване на доброволен пилотен проект за презаселването на бежанци, които понастоящем са блокирани в трети държави;</w:t>
      </w:r>
    </w:p>
    <w:p>
      <w:pPr>
        <w:numPr>
          <w:ilvl w:val="0"/>
          <w:numId w:val="43"/>
        </w:numPr>
        <w:spacing w:before="120" w:after="120"/>
        <w:jc w:val="both"/>
        <w:rPr>
          <w:noProof/>
        </w:rPr>
      </w:pPr>
      <w:r>
        <w:rPr>
          <w:noProof/>
        </w:rPr>
        <w:t>създаване на нова програма за връщане с цел да се осигури бързото връщане на незаконните имигранти;</w:t>
      </w:r>
    </w:p>
    <w:p>
      <w:pPr>
        <w:numPr>
          <w:ilvl w:val="0"/>
          <w:numId w:val="43"/>
        </w:numPr>
        <w:spacing w:before="120" w:after="120"/>
        <w:jc w:val="both"/>
        <w:rPr>
          <w:noProof/>
        </w:rPr>
      </w:pPr>
      <w:r>
        <w:rPr>
          <w:noProof/>
        </w:rPr>
        <w:t>стартиране на регионални програми за развитие и закрила за Северна Африка и Африканския рог.</w:t>
      </w:r>
    </w:p>
    <w:p>
      <w:pPr>
        <w:spacing w:before="120" w:after="120"/>
        <w:jc w:val="both"/>
        <w:rPr>
          <w:noProof/>
        </w:rPr>
      </w:pPr>
      <w:r>
        <w:rPr>
          <w:noProof/>
        </w:rPr>
        <w:t>В резолюцията си от 29 април 2015 г.</w:t>
      </w:r>
      <w:r>
        <w:rPr>
          <w:noProof/>
          <w:vertAlign w:val="superscript"/>
        </w:rPr>
        <w:footnoteReference w:id="9"/>
      </w:r>
      <w:r>
        <w:rPr>
          <w:noProof/>
        </w:rPr>
        <w:t xml:space="preserve"> Европейският парламент призова ЕС и държавите членки да осигурят необходимите средства, за да се гарантира, че задълженията за издирване и спасяване се изпълняват ефективно и съответно се финансират по правилен начин. Той потвърди необходимостта ЕС да разпределя по-справедливо отговорностите и солидарността по отношение на държавите членки, в които пристигат най-голям брой бежанци и лица, търсещи убежище, в абсолютно изражение или на пропорционален принцип. Парламентът подчерта необходимостта за по-пряко засегнатите агенции да бъдат осигурени подходящи ресурси, за да могат те да изпълняват своите задължения.</w:t>
      </w:r>
    </w:p>
    <w:p>
      <w:pPr>
        <w:spacing w:before="120" w:after="120"/>
        <w:jc w:val="both"/>
        <w:rPr>
          <w:noProof/>
        </w:rPr>
      </w:pPr>
      <w:r>
        <w:rPr>
          <w:noProof/>
        </w:rPr>
        <w:t>Предложенията в настоящия проект на коригиращ бюджет (ПКБ) са израз на насоките, дадени от Европейския съвет и Европейския парламент, като също така вземат под внимание подхода на Комисията по отношение на политиката, очертан в европейската програма за миграцията</w:t>
      </w:r>
      <w:r>
        <w:rPr>
          <w:rStyle w:val="FootnoteReference"/>
          <w:noProof/>
        </w:rPr>
        <w:footnoteReference w:id="10"/>
      </w:r>
      <w:r>
        <w:rPr>
          <w:noProof/>
        </w:rPr>
        <w:t>:</w:t>
      </w:r>
    </w:p>
    <w:p>
      <w:pPr>
        <w:numPr>
          <w:ilvl w:val="0"/>
          <w:numId w:val="47"/>
        </w:numPr>
        <w:spacing w:before="120" w:after="120"/>
        <w:jc w:val="both"/>
        <w:rPr>
          <w:noProof/>
        </w:rPr>
      </w:pPr>
      <w:r>
        <w:rPr>
          <w:noProof/>
        </w:rPr>
        <w:t xml:space="preserve">Незабавна реакция на миграционния натиск: </w:t>
      </w:r>
    </w:p>
    <w:p>
      <w:pPr>
        <w:numPr>
          <w:ilvl w:val="1"/>
          <w:numId w:val="47"/>
        </w:numPr>
        <w:spacing w:before="120" w:after="120"/>
        <w:jc w:val="both"/>
        <w:rPr>
          <w:noProof/>
        </w:rPr>
      </w:pPr>
      <w:r>
        <w:rPr>
          <w:noProof/>
        </w:rPr>
        <w:t xml:space="preserve">засилване на присъствието в морето; </w:t>
      </w:r>
    </w:p>
    <w:p>
      <w:pPr>
        <w:numPr>
          <w:ilvl w:val="1"/>
          <w:numId w:val="47"/>
        </w:numPr>
        <w:spacing w:before="120" w:after="120"/>
        <w:jc w:val="both"/>
        <w:rPr>
          <w:noProof/>
        </w:rPr>
      </w:pPr>
      <w:r>
        <w:rPr>
          <w:noProof/>
        </w:rPr>
        <w:t xml:space="preserve">по-добър обмен на информация с цел борба с незаконното превеждане през граница; </w:t>
      </w:r>
    </w:p>
    <w:p>
      <w:pPr>
        <w:numPr>
          <w:ilvl w:val="1"/>
          <w:numId w:val="47"/>
        </w:numPr>
        <w:spacing w:before="120" w:after="120"/>
        <w:jc w:val="both"/>
        <w:rPr>
          <w:noProof/>
        </w:rPr>
      </w:pPr>
      <w:r>
        <w:rPr>
          <w:noProof/>
        </w:rPr>
        <w:t>мобилизиране на агенциите и фондовете на ЕС;</w:t>
      </w:r>
    </w:p>
    <w:p>
      <w:pPr>
        <w:numPr>
          <w:ilvl w:val="1"/>
          <w:numId w:val="47"/>
        </w:numPr>
        <w:rPr>
          <w:noProof/>
        </w:rPr>
      </w:pPr>
      <w:r>
        <w:rPr>
          <w:noProof/>
        </w:rPr>
        <w:t>създаване на европейски отговор на масови притоци;</w:t>
      </w:r>
    </w:p>
    <w:p>
      <w:pPr>
        <w:numPr>
          <w:ilvl w:val="1"/>
          <w:numId w:val="47"/>
        </w:numPr>
        <w:spacing w:before="120" w:after="120"/>
        <w:jc w:val="both"/>
        <w:rPr>
          <w:noProof/>
        </w:rPr>
      </w:pPr>
      <w:r>
        <w:rPr>
          <w:noProof/>
        </w:rPr>
        <w:t>създаване на механизъм за презаселване;</w:t>
      </w:r>
    </w:p>
    <w:p>
      <w:pPr>
        <w:numPr>
          <w:ilvl w:val="1"/>
          <w:numId w:val="47"/>
        </w:numPr>
        <w:spacing w:before="120" w:after="120"/>
        <w:jc w:val="both"/>
        <w:rPr>
          <w:noProof/>
        </w:rPr>
      </w:pPr>
      <w:r>
        <w:rPr>
          <w:noProof/>
        </w:rPr>
        <w:t>намеса нагоре по веригата в трети държави.</w:t>
      </w:r>
    </w:p>
    <w:p>
      <w:pPr>
        <w:numPr>
          <w:ilvl w:val="0"/>
          <w:numId w:val="47"/>
        </w:numPr>
        <w:spacing w:before="120" w:after="120"/>
        <w:jc w:val="both"/>
        <w:rPr>
          <w:noProof/>
        </w:rPr>
      </w:pPr>
      <w:r>
        <w:rPr>
          <w:noProof/>
        </w:rPr>
        <w:t xml:space="preserve">Четири стълба за по-добро управление на миграцията: </w:t>
      </w:r>
    </w:p>
    <w:p>
      <w:pPr>
        <w:numPr>
          <w:ilvl w:val="1"/>
          <w:numId w:val="47"/>
        </w:numPr>
        <w:spacing w:before="120" w:after="120"/>
        <w:jc w:val="both"/>
        <w:rPr>
          <w:noProof/>
        </w:rPr>
      </w:pPr>
      <w:r>
        <w:rPr>
          <w:noProof/>
        </w:rPr>
        <w:t xml:space="preserve">солидна обща политика в областта на убежището; </w:t>
      </w:r>
    </w:p>
    <w:p>
      <w:pPr>
        <w:numPr>
          <w:ilvl w:val="1"/>
          <w:numId w:val="47"/>
        </w:numPr>
        <w:spacing w:before="120" w:after="120"/>
        <w:jc w:val="both"/>
        <w:rPr>
          <w:noProof/>
        </w:rPr>
      </w:pPr>
      <w:r>
        <w:rPr>
          <w:noProof/>
        </w:rPr>
        <w:t>борба срещу незаконното превеждане през граница и трафика на хора и предотвратяване на незаконната миграция;</w:t>
      </w:r>
    </w:p>
    <w:p>
      <w:pPr>
        <w:numPr>
          <w:ilvl w:val="1"/>
          <w:numId w:val="47"/>
        </w:numPr>
        <w:spacing w:before="120" w:after="120"/>
        <w:jc w:val="both"/>
        <w:rPr>
          <w:noProof/>
        </w:rPr>
      </w:pPr>
      <w:r>
        <w:rPr>
          <w:noProof/>
        </w:rPr>
        <w:t>укрепване на сигурността на външните граници и спасяване на човешкия живот;</w:t>
      </w:r>
    </w:p>
    <w:p>
      <w:pPr>
        <w:numPr>
          <w:ilvl w:val="1"/>
          <w:numId w:val="47"/>
        </w:numPr>
        <w:spacing w:before="120" w:after="120"/>
        <w:jc w:val="both"/>
        <w:rPr>
          <w:noProof/>
        </w:rPr>
      </w:pPr>
      <w:r>
        <w:rPr>
          <w:noProof/>
        </w:rPr>
        <w:t xml:space="preserve">нова политика в областта на законната миграция. </w:t>
      </w:r>
    </w:p>
    <w:p>
      <w:pPr>
        <w:numPr>
          <w:ilvl w:val="0"/>
          <w:numId w:val="47"/>
        </w:numPr>
        <w:spacing w:before="120" w:after="120"/>
        <w:jc w:val="both"/>
        <w:rPr>
          <w:noProof/>
        </w:rPr>
      </w:pPr>
      <w:r>
        <w:rPr>
          <w:noProof/>
        </w:rPr>
        <w:t>Допълнителни мерки: задълбочаване на европейското сътрудничество в областта на миграцията:</w:t>
      </w:r>
    </w:p>
    <w:p>
      <w:pPr>
        <w:numPr>
          <w:ilvl w:val="1"/>
          <w:numId w:val="47"/>
        </w:numPr>
        <w:spacing w:before="120" w:after="120"/>
        <w:jc w:val="both"/>
        <w:rPr>
          <w:noProof/>
        </w:rPr>
      </w:pPr>
      <w:r>
        <w:rPr>
          <w:noProof/>
        </w:rPr>
        <w:t>завършване на общата европейска система за убежище;</w:t>
      </w:r>
    </w:p>
    <w:p>
      <w:pPr>
        <w:numPr>
          <w:ilvl w:val="1"/>
          <w:numId w:val="47"/>
        </w:numPr>
        <w:spacing w:before="120" w:after="120"/>
        <w:jc w:val="both"/>
        <w:rPr>
          <w:noProof/>
        </w:rPr>
      </w:pPr>
      <w:r>
        <w:rPr>
          <w:noProof/>
        </w:rPr>
        <w:t>управлението на границите е споделена отговорност;</w:t>
      </w:r>
    </w:p>
    <w:p>
      <w:pPr>
        <w:numPr>
          <w:ilvl w:val="1"/>
          <w:numId w:val="47"/>
        </w:numPr>
        <w:spacing w:before="120" w:after="120"/>
        <w:jc w:val="both"/>
        <w:rPr>
          <w:noProof/>
        </w:rPr>
      </w:pPr>
      <w:r>
        <w:rPr>
          <w:noProof/>
        </w:rPr>
        <w:t>нов модел на законна миграция.</w:t>
      </w:r>
    </w:p>
    <w:p>
      <w:pPr>
        <w:keepNext/>
        <w:tabs>
          <w:tab w:val="left" w:pos="709"/>
        </w:tabs>
        <w:spacing w:before="120" w:after="120"/>
        <w:ind w:left="709" w:hanging="709"/>
        <w:jc w:val="both"/>
        <w:outlineLvl w:val="1"/>
        <w:rPr>
          <w:b/>
          <w:noProof/>
        </w:rPr>
      </w:pPr>
      <w:bookmarkStart w:id="23" w:name="_Toc418618199"/>
      <w:bookmarkStart w:id="24" w:name="_Toc419731620"/>
      <w:r>
        <w:rPr>
          <w:b/>
          <w:noProof/>
        </w:rPr>
        <w:t>2.2</w:t>
      </w:r>
      <w:r>
        <w:rPr>
          <w:noProof/>
        </w:rPr>
        <w:tab/>
      </w:r>
      <w:r>
        <w:rPr>
          <w:b/>
          <w:noProof/>
        </w:rPr>
        <w:t>Мерки, средствата за които е предложено да бъдат увеличени през 2015 г.</w:t>
      </w:r>
      <w:bookmarkEnd w:id="23"/>
      <w:bookmarkEnd w:id="24"/>
    </w:p>
    <w:p>
      <w:pPr>
        <w:spacing w:before="120" w:after="120"/>
        <w:jc w:val="both"/>
        <w:rPr>
          <w:noProof/>
        </w:rPr>
      </w:pPr>
      <w:r>
        <w:rPr>
          <w:noProof/>
        </w:rPr>
        <w:t>Мерките, средствата за които е предложено да бъдат увеличени чрез настоящия коригиращ бюджет през 2015 г., са следните:</w:t>
      </w:r>
    </w:p>
    <w:p>
      <w:pPr>
        <w:numPr>
          <w:ilvl w:val="0"/>
          <w:numId w:val="44"/>
        </w:numPr>
        <w:spacing w:before="120" w:after="120"/>
        <w:jc w:val="both"/>
        <w:rPr>
          <w:noProof/>
        </w:rPr>
      </w:pPr>
      <w:r>
        <w:rPr>
          <w:noProof/>
        </w:rPr>
        <w:t>Комисията предлага средствата от ЕС за Frontex за 2015 г. да се увеличат с още 26,8 млн. EUR бюджетни кредити за поети задължения и за плащания. Целта е да се утрои финансирането за съвместните операции „Тритон“ и „Посейдон“ през последните седем месеца на 2015 г., както и да се покрият разходите, свързани с поисканите допълнителни длъжности за Frontex през 2015 г. (вж. по-долу). „Тритон“ и „Посейдон“ ще бъдат подсилени чрез засилване на въздушното и морското наблюдение в по-голяма географска област, за да съответства обхватът на тези операции на обхвата на операцията Mare Nostrum, съгласно заключенията на Европейския съвет. Frontex ще използва по-голям брой плавателни и въздухоплавателни средства, допълвайки предоставените от държавите членки ресурси, и ще актуализира картината на състоянието на оперативните области, за да се увеличат възможностите за издирване и спасяване.</w:t>
      </w:r>
    </w:p>
    <w:p>
      <w:pPr>
        <w:numPr>
          <w:ilvl w:val="0"/>
          <w:numId w:val="44"/>
        </w:numPr>
        <w:spacing w:before="120" w:after="120"/>
        <w:jc w:val="both"/>
        <w:rPr>
          <w:noProof/>
        </w:rPr>
      </w:pPr>
      <w:r>
        <w:rPr>
          <w:noProof/>
        </w:rPr>
        <w:t xml:space="preserve">За да се помогне на държавите членки с външни граници да приемат по-голям брой мигранти, Комисията предлага да се увеличат средствата за фонд „Убежище, миграция и интеграция“ (ФУМИ) и фонд „Вътрешна сигурност“ (ФВС): </w:t>
      </w:r>
    </w:p>
    <w:p>
      <w:pPr>
        <w:spacing w:before="120" w:after="120"/>
        <w:ind w:left="1440" w:hanging="360"/>
        <w:jc w:val="both"/>
        <w:rPr>
          <w:noProof/>
        </w:rPr>
      </w:pPr>
      <w:r>
        <w:rPr>
          <w:noProof/>
        </w:rPr>
        <w:t>а.</w:t>
      </w:r>
      <w:r>
        <w:rPr>
          <w:noProof/>
        </w:rPr>
        <w:tab/>
        <w:t xml:space="preserve">По линия на ФУМИ (бюджетна позиция 18 03 01 01) за 2015 г. се искат допълнително 57,0 млн. EUR бюджетни кредити за поети задължения и 45,6 млн. EUR бюджетни кредити за плащания. Тези средства ще послужат за удвояване на спешната помощ, предоставяна от Комисията, за да помогне на държавите членки с външни граници да приемат по-големия брой мигранти, които пристигат/са спасени в резултат на засилените операции „Тритон“ и „Посейдон“, за всички етапи на процеса след първото пристигане и скрининга на мигрантите (25 млн. EUR), и за изпълнение на схема за презаселване за целия ЕС (25 млн. EUR). Освен това ще бъдат увеличени средствата за регионалните програми за развитие и закрила за Северна Африка и Африканския рог (7 млн. EUR). </w:t>
      </w:r>
    </w:p>
    <w:p>
      <w:pPr>
        <w:spacing w:before="120" w:after="120"/>
        <w:ind w:left="1440" w:hanging="360"/>
        <w:jc w:val="both"/>
        <w:rPr>
          <w:noProof/>
        </w:rPr>
      </w:pPr>
      <w:r>
        <w:rPr>
          <w:noProof/>
        </w:rPr>
        <w:t>б.</w:t>
      </w:r>
      <w:r>
        <w:rPr>
          <w:noProof/>
        </w:rPr>
        <w:tab/>
        <w:t xml:space="preserve">По линия на ФВС (бюджетна позиция 18 02 01 01) за 2015 г. се искат допълнително 5 млн. EUR бюджетни кредити за поети задължения и 4 млн. EUR бюджетни кредити за плащания. Тези средства ще покрият спешната помощ за дейностите по наблюдение, които се провеждат в контекста на операциите „Тритон“ и „Посейдон“. Те ще послужат за подкрепа на дейностите, свързани с първоначалния прием, като установяването на самоличността, оказването на първа медицинска помощ, закупуването на оборудване за гранични проверки и транспортирането на мигрантите. </w:t>
      </w:r>
    </w:p>
    <w:p>
      <w:pPr>
        <w:numPr>
          <w:ilvl w:val="0"/>
          <w:numId w:val="44"/>
        </w:numPr>
        <w:spacing w:before="120" w:after="120"/>
        <w:jc w:val="both"/>
        <w:rPr>
          <w:noProof/>
        </w:rPr>
      </w:pPr>
      <w:r>
        <w:rPr>
          <w:noProof/>
        </w:rPr>
        <w:t>Поради допълнителната работа, която се очаква от трите по-пряко ангажирани агенции на ЕС, Комисията предлага следните неголеми увеличения на броя на техния персонал:</w:t>
      </w:r>
    </w:p>
    <w:p>
      <w:pPr>
        <w:spacing w:before="120" w:after="120"/>
        <w:ind w:left="1440" w:hanging="360"/>
        <w:jc w:val="both"/>
        <w:rPr>
          <w:noProof/>
        </w:rPr>
      </w:pPr>
      <w:r>
        <w:rPr>
          <w:noProof/>
        </w:rPr>
        <w:t>а.</w:t>
      </w:r>
      <w:r>
        <w:rPr>
          <w:noProof/>
        </w:rPr>
        <w:tab/>
        <w:t xml:space="preserve">Frontex: 16 допълнителни длъжности поради засилените операции „Тритон“ и „Посейдон“, за да се разшири сътрудничеството с други агенции на ЕС във връзка с разбиването на мрежите за трафик и за да се изпратят допълнителни служители за връзка в трети държави. Съответните допълнителни разходи през 2015 г. се оценяват на 528 000 EUR. </w:t>
      </w:r>
    </w:p>
    <w:p>
      <w:pPr>
        <w:spacing w:before="120" w:after="120"/>
        <w:ind w:left="1440" w:hanging="360"/>
        <w:jc w:val="both"/>
        <w:rPr>
          <w:noProof/>
        </w:rPr>
      </w:pPr>
      <w:r>
        <w:rPr>
          <w:noProof/>
        </w:rPr>
        <w:t>б.</w:t>
      </w:r>
      <w:r>
        <w:rPr>
          <w:noProof/>
        </w:rPr>
        <w:tab/>
        <w:t>Европол: 3 допълнителни длъжности за разбиване на мрежите за трафик и за откриване и изискване на заличаването на съдържание в интернет, което трафикантите използват за привличане на мигранти и бежанци. Съответните допълнителни разходи през 2015 г. се оценяват на 99 000 EUR.</w:t>
      </w:r>
    </w:p>
    <w:p>
      <w:pPr>
        <w:spacing w:before="120" w:after="120"/>
        <w:ind w:left="1440" w:hanging="360"/>
        <w:jc w:val="both"/>
        <w:rPr>
          <w:noProof/>
        </w:rPr>
      </w:pPr>
      <w:r>
        <w:rPr>
          <w:noProof/>
        </w:rPr>
        <w:t>в.</w:t>
      </w:r>
      <w:r>
        <w:rPr>
          <w:noProof/>
        </w:rPr>
        <w:tab/>
        <w:t>Европейска служба за подкрепа в областта на убежището (EASO): 4 допълнителни длъжности за разбиване на мрежите за трафик и за изпращане на повече екипи за съвместна обработка на молбите за убежище в държавите членки с външни граници. Съответните допълнителни разходи през 2015 г. се оценяват на 132 000 EUR.</w:t>
      </w:r>
    </w:p>
    <w:p>
      <w:pPr>
        <w:keepNext/>
        <w:tabs>
          <w:tab w:val="left" w:pos="709"/>
        </w:tabs>
        <w:spacing w:before="120" w:after="120"/>
        <w:ind w:left="709" w:hanging="709"/>
        <w:jc w:val="both"/>
        <w:outlineLvl w:val="1"/>
        <w:rPr>
          <w:b/>
          <w:noProof/>
        </w:rPr>
      </w:pPr>
      <w:bookmarkStart w:id="25" w:name="_Toc418618200"/>
      <w:bookmarkStart w:id="26" w:name="_Toc419731621"/>
      <w:r>
        <w:rPr>
          <w:b/>
          <w:noProof/>
        </w:rPr>
        <w:t>2.3</w:t>
      </w:r>
      <w:r>
        <w:rPr>
          <w:noProof/>
        </w:rPr>
        <w:tab/>
      </w:r>
      <w:r>
        <w:rPr>
          <w:b/>
          <w:noProof/>
        </w:rPr>
        <w:t>Предложено финансиране на мерките в областта на миграцията</w:t>
      </w:r>
      <w:bookmarkEnd w:id="25"/>
      <w:bookmarkEnd w:id="26"/>
    </w:p>
    <w:p>
      <w:pPr>
        <w:spacing w:before="120" w:after="120"/>
        <w:jc w:val="both"/>
        <w:rPr>
          <w:noProof/>
        </w:rPr>
      </w:pPr>
      <w:r>
        <w:rPr>
          <w:noProof/>
        </w:rPr>
        <w:t xml:space="preserve">Като цяло общото увеличение на бюджетните кредити за поети задължения за финансиране на посочените по-горе мерки възлиза на 89,0 млн. EUR. Що се отнася до бюджетните кредити за плащания, са необходими 76,6 млн. EUR за покриване на предварителното финансиране (80 %) на допълнителните действия по линия на ФУМИ и ФВС и за да може Frontex да продължи да съфинансира операция „Тритон“. </w:t>
      </w:r>
    </w:p>
    <w:p>
      <w:pPr>
        <w:spacing w:before="120" w:after="120"/>
        <w:jc w:val="both"/>
        <w:rPr>
          <w:noProof/>
        </w:rPr>
      </w:pPr>
      <w:r>
        <w:rPr>
          <w:noProof/>
        </w:rPr>
        <w:t>Комисията разгледа внимателно възможностите за преразпределяне на бюджетните кредити в рамките на бюджета за 2015 г. както за поетите задължения, така и за плащанията. Вследствие на това в рамките на глава 18 02 („Вътрешна сигурност“) Комисията откри вътрешни целеви приходи, произхождащи от възстановяването на суми във връзка с приключването на стари досиета по линия на Фонда за външните граници</w:t>
      </w:r>
      <w:r>
        <w:rPr>
          <w:rStyle w:val="FootnoteReference"/>
          <w:noProof/>
        </w:rPr>
        <w:footnoteReference w:id="11"/>
      </w:r>
      <w:r>
        <w:rPr>
          <w:noProof/>
        </w:rPr>
        <w:t xml:space="preserve">, които целеви приходи възлизат на 13,2 млн. EUR бюджетни кредити за поети задължения и 7,0 млн. EUR бюджетни кредити за плащания. Предлага се тези средства да бъдат използвани за отпускане на незабавно допълнително финансиране за Frontex в рамките на общите допълнителни средства, поискани за агенцията чрез настоящия проект на коригиращ бюджет (26,8 млн. EUR). </w:t>
      </w:r>
    </w:p>
    <w:p>
      <w:pPr>
        <w:spacing w:before="120" w:after="120"/>
        <w:jc w:val="both"/>
        <w:rPr>
          <w:noProof/>
        </w:rPr>
      </w:pPr>
      <w:r>
        <w:rPr>
          <w:noProof/>
        </w:rPr>
        <w:t xml:space="preserve">С оглед на това Комисията предлага допълнителни бюджетни кредити — 75,8 млн. EUR бюджетни кредити за поети задължения и 69,7 млн. EUR бюджетни кредити за плащания — за осигуряване на допълнителното финансиране, което следва да бъде разрешено в бюджета за 2015 г. за мерките в областта на миграцията. Тези увеличения на средствата са разпределени между пет бюджетни реда, както следва: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1701"/>
        <w:gridCol w:w="1701"/>
      </w:tblGrid>
      <w:t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Бюджетен ред</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pPr>
              <w:widowControl w:val="0"/>
              <w:spacing w:before="15" w:after="15"/>
              <w:jc w:val="center"/>
              <w:rPr>
                <w:b/>
                <w:noProof/>
                <w:sz w:val="20"/>
                <w:szCs w:val="20"/>
              </w:rPr>
            </w:pPr>
            <w:r>
              <w:rPr>
                <w:b/>
                <w:noProof/>
                <w:sz w:val="20"/>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c>
          <w:tcPr>
            <w:tcW w:w="1276" w:type="dxa"/>
            <w:tcBorders>
              <w:top w:val="single" w:sz="4" w:space="0" w:color="auto"/>
              <w:left w:val="single" w:sz="4" w:space="0" w:color="auto"/>
              <w:bottom w:val="single" w:sz="4" w:space="0" w:color="auto"/>
              <w:right w:val="single" w:sz="4" w:space="0" w:color="auto"/>
            </w:tcBorders>
          </w:tcPr>
          <w:p>
            <w:pPr>
              <w:widowControl w:val="0"/>
              <w:spacing w:before="15" w:after="15"/>
              <w:ind w:right="-113"/>
              <w:jc w:val="both"/>
              <w:rPr>
                <w:noProof/>
                <w:sz w:val="20"/>
                <w:szCs w:val="20"/>
              </w:rPr>
            </w:pPr>
            <w:r>
              <w:rPr>
                <w:noProof/>
                <w:sz w:val="20"/>
              </w:rPr>
              <w:t>18 02 01 01</w:t>
            </w:r>
          </w:p>
        </w:tc>
        <w:tc>
          <w:tcPr>
            <w:tcW w:w="5670"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rPr>
            </w:pPr>
            <w:r>
              <w:rPr>
                <w:noProof/>
                <w:sz w:val="20"/>
              </w:rPr>
              <w:t>Подкрепа за управлението на границата и обща визова политика за улесняване на законното пътуване</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right"/>
              <w:rPr>
                <w:noProof/>
                <w:sz w:val="20"/>
                <w:szCs w:val="20"/>
              </w:rPr>
            </w:pPr>
            <w:r>
              <w:rPr>
                <w:noProof/>
                <w:sz w:val="20"/>
              </w:rPr>
              <w:t>5 000 000</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right"/>
              <w:rPr>
                <w:noProof/>
                <w:sz w:val="20"/>
                <w:szCs w:val="20"/>
              </w:rPr>
            </w:pPr>
            <w:r>
              <w:rPr>
                <w:noProof/>
                <w:sz w:val="20"/>
              </w:rPr>
              <w:t>4 000 000</w:t>
            </w:r>
          </w:p>
        </w:tc>
      </w:tr>
      <w:tr>
        <w:tc>
          <w:tcPr>
            <w:tcW w:w="1276" w:type="dxa"/>
            <w:tcBorders>
              <w:top w:val="single" w:sz="4" w:space="0" w:color="auto"/>
              <w:left w:val="single" w:sz="4" w:space="0" w:color="auto"/>
              <w:bottom w:val="single" w:sz="4" w:space="0" w:color="auto"/>
              <w:right w:val="single" w:sz="4" w:space="0" w:color="auto"/>
            </w:tcBorders>
          </w:tcPr>
          <w:p>
            <w:pPr>
              <w:widowControl w:val="0"/>
              <w:spacing w:before="15" w:after="15"/>
              <w:ind w:right="-113"/>
              <w:jc w:val="both"/>
              <w:rPr>
                <w:noProof/>
                <w:sz w:val="20"/>
                <w:szCs w:val="20"/>
              </w:rPr>
            </w:pPr>
            <w:r>
              <w:rPr>
                <w:noProof/>
                <w:sz w:val="20"/>
              </w:rPr>
              <w:t>18 02 03</w:t>
            </w:r>
          </w:p>
        </w:tc>
        <w:tc>
          <w:tcPr>
            <w:tcW w:w="5670"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rPr>
            </w:pPr>
            <w:r>
              <w:rPr>
                <w:noProof/>
                <w:sz w:val="20"/>
              </w:rPr>
              <w:t>Европейска агенция за управление на оперативното сътрудничество по външните граници (FRONTEX)</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right"/>
              <w:rPr>
                <w:noProof/>
                <w:sz w:val="20"/>
                <w:szCs w:val="20"/>
              </w:rPr>
            </w:pPr>
            <w:r>
              <w:rPr>
                <w:noProof/>
                <w:sz w:val="20"/>
              </w:rPr>
              <w:t>13 541 000</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right"/>
              <w:rPr>
                <w:noProof/>
                <w:sz w:val="20"/>
                <w:szCs w:val="20"/>
              </w:rPr>
            </w:pPr>
            <w:r>
              <w:rPr>
                <w:noProof/>
                <w:sz w:val="20"/>
              </w:rPr>
              <w:t>19 821 000</w:t>
            </w:r>
          </w:p>
        </w:tc>
      </w:tr>
      <w:tr>
        <w:tc>
          <w:tcPr>
            <w:tcW w:w="1276" w:type="dxa"/>
            <w:tcBorders>
              <w:top w:val="single" w:sz="4" w:space="0" w:color="auto"/>
              <w:left w:val="single" w:sz="4" w:space="0" w:color="auto"/>
              <w:bottom w:val="single" w:sz="4" w:space="0" w:color="auto"/>
              <w:right w:val="single" w:sz="4" w:space="0" w:color="auto"/>
            </w:tcBorders>
          </w:tcPr>
          <w:p>
            <w:pPr>
              <w:widowControl w:val="0"/>
              <w:spacing w:before="15" w:after="15"/>
              <w:ind w:right="-113"/>
              <w:jc w:val="both"/>
              <w:rPr>
                <w:noProof/>
                <w:sz w:val="20"/>
                <w:szCs w:val="20"/>
              </w:rPr>
            </w:pPr>
            <w:r>
              <w:rPr>
                <w:noProof/>
                <w:sz w:val="20"/>
              </w:rPr>
              <w:t>18 02 04</w:t>
            </w:r>
          </w:p>
        </w:tc>
        <w:tc>
          <w:tcPr>
            <w:tcW w:w="5670"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rPr>
            </w:pPr>
            <w:r>
              <w:rPr>
                <w:noProof/>
                <w:sz w:val="20"/>
              </w:rPr>
              <w:t>Европейска полицейска служба (Европол)</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right"/>
              <w:rPr>
                <w:noProof/>
                <w:sz w:val="20"/>
                <w:szCs w:val="20"/>
              </w:rPr>
            </w:pPr>
            <w:r>
              <w:rPr>
                <w:noProof/>
                <w:sz w:val="20"/>
              </w:rPr>
              <w:t>99 000</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right"/>
              <w:rPr>
                <w:noProof/>
                <w:sz w:val="20"/>
                <w:szCs w:val="20"/>
              </w:rPr>
            </w:pPr>
            <w:r>
              <w:rPr>
                <w:noProof/>
                <w:sz w:val="20"/>
              </w:rPr>
              <w:t>99 000</w:t>
            </w:r>
          </w:p>
        </w:tc>
      </w:tr>
      <w:tr>
        <w:tc>
          <w:tcPr>
            <w:tcW w:w="1276" w:type="dxa"/>
            <w:tcBorders>
              <w:top w:val="single" w:sz="4" w:space="0" w:color="auto"/>
              <w:left w:val="single" w:sz="4" w:space="0" w:color="auto"/>
              <w:bottom w:val="single" w:sz="4" w:space="0" w:color="auto"/>
              <w:right w:val="single" w:sz="4" w:space="0" w:color="auto"/>
            </w:tcBorders>
          </w:tcPr>
          <w:p>
            <w:pPr>
              <w:widowControl w:val="0"/>
              <w:spacing w:before="15" w:after="15"/>
              <w:ind w:right="-113"/>
              <w:jc w:val="both"/>
              <w:rPr>
                <w:noProof/>
                <w:sz w:val="20"/>
                <w:szCs w:val="20"/>
              </w:rPr>
            </w:pPr>
            <w:r>
              <w:rPr>
                <w:noProof/>
                <w:sz w:val="20"/>
              </w:rPr>
              <w:t>18 03 01 01</w:t>
            </w:r>
          </w:p>
        </w:tc>
        <w:tc>
          <w:tcPr>
            <w:tcW w:w="5670"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rPr>
            </w:pPr>
            <w:r>
              <w:rPr>
                <w:noProof/>
                <w:sz w:val="20"/>
              </w:rPr>
              <w:t>Укрепване и развиване на Общата европейска система за убежище и увеличаване на солидарността и споделянето на отговорност между държавите членки</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right"/>
              <w:rPr>
                <w:noProof/>
                <w:sz w:val="20"/>
                <w:szCs w:val="20"/>
              </w:rPr>
            </w:pPr>
            <w:r>
              <w:rPr>
                <w:noProof/>
                <w:sz w:val="20"/>
              </w:rPr>
              <w:t>57 000 000</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right"/>
              <w:rPr>
                <w:noProof/>
                <w:sz w:val="20"/>
                <w:szCs w:val="20"/>
              </w:rPr>
            </w:pPr>
            <w:r>
              <w:rPr>
                <w:noProof/>
                <w:sz w:val="20"/>
              </w:rPr>
              <w:t>45 600 000</w:t>
            </w:r>
          </w:p>
        </w:tc>
      </w:tr>
      <w:tr>
        <w:tc>
          <w:tcPr>
            <w:tcW w:w="1276" w:type="dxa"/>
            <w:tcBorders>
              <w:top w:val="single" w:sz="4" w:space="0" w:color="auto"/>
              <w:left w:val="single" w:sz="4" w:space="0" w:color="auto"/>
              <w:bottom w:val="single" w:sz="4" w:space="0" w:color="auto"/>
              <w:right w:val="single" w:sz="4" w:space="0" w:color="auto"/>
            </w:tcBorders>
          </w:tcPr>
          <w:p>
            <w:pPr>
              <w:widowControl w:val="0"/>
              <w:spacing w:before="15" w:after="15"/>
              <w:ind w:right="-113"/>
              <w:jc w:val="both"/>
              <w:rPr>
                <w:noProof/>
                <w:sz w:val="20"/>
                <w:szCs w:val="20"/>
              </w:rPr>
            </w:pPr>
            <w:r>
              <w:rPr>
                <w:noProof/>
                <w:sz w:val="20"/>
              </w:rPr>
              <w:t>18 03 02</w:t>
            </w:r>
          </w:p>
        </w:tc>
        <w:tc>
          <w:tcPr>
            <w:tcW w:w="5670"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rPr>
            </w:pPr>
            <w:r>
              <w:rPr>
                <w:noProof/>
                <w:sz w:val="20"/>
              </w:rPr>
              <w:t>Европейска служба за подкрепа в областта на убежището — EASO</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right"/>
              <w:rPr>
                <w:noProof/>
                <w:sz w:val="20"/>
                <w:szCs w:val="20"/>
              </w:rPr>
            </w:pPr>
            <w:r>
              <w:rPr>
                <w:noProof/>
                <w:sz w:val="20"/>
              </w:rPr>
              <w:t>132 000</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right"/>
              <w:rPr>
                <w:noProof/>
                <w:sz w:val="20"/>
                <w:szCs w:val="20"/>
              </w:rPr>
            </w:pPr>
            <w:r>
              <w:rPr>
                <w:noProof/>
                <w:sz w:val="20"/>
              </w:rPr>
              <w:t>132 000</w:t>
            </w:r>
          </w:p>
        </w:tc>
      </w:tr>
      <w:tr>
        <w:tc>
          <w:tcPr>
            <w:tcW w:w="6946" w:type="dxa"/>
            <w:gridSpan w:val="2"/>
            <w:tcBorders>
              <w:top w:val="single" w:sz="4" w:space="0" w:color="auto"/>
              <w:left w:val="single" w:sz="4" w:space="0" w:color="auto"/>
              <w:bottom w:val="single" w:sz="4" w:space="0" w:color="auto"/>
              <w:right w:val="single" w:sz="4" w:space="0" w:color="auto"/>
            </w:tcBorders>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jc w:val="right"/>
              <w:rPr>
                <w:b/>
                <w:noProof/>
                <w:sz w:val="20"/>
                <w:szCs w:val="20"/>
              </w:rPr>
            </w:pPr>
            <w:r>
              <w:rPr>
                <w:b/>
                <w:noProof/>
                <w:sz w:val="20"/>
              </w:rPr>
              <w:t>75 772 000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jc w:val="right"/>
              <w:rPr>
                <w:b/>
                <w:noProof/>
                <w:sz w:val="20"/>
                <w:szCs w:val="20"/>
              </w:rPr>
            </w:pPr>
            <w:r>
              <w:rPr>
                <w:b/>
                <w:noProof/>
                <w:sz w:val="20"/>
              </w:rPr>
              <w:t>69 652 000</w:t>
            </w:r>
          </w:p>
        </w:tc>
      </w:tr>
    </w:tbl>
    <w:p>
      <w:pPr>
        <w:keepNext/>
        <w:tabs>
          <w:tab w:val="left" w:pos="709"/>
        </w:tabs>
        <w:spacing w:before="240" w:after="120"/>
        <w:ind w:left="709" w:hanging="709"/>
        <w:jc w:val="both"/>
        <w:outlineLvl w:val="1"/>
        <w:rPr>
          <w:b/>
          <w:noProof/>
        </w:rPr>
      </w:pPr>
      <w:bookmarkStart w:id="27" w:name="_Toc418618201"/>
      <w:bookmarkStart w:id="28" w:name="_Toc419731622"/>
      <w:bookmarkEnd w:id="2"/>
      <w:bookmarkEnd w:id="11"/>
      <w:bookmarkEnd w:id="12"/>
      <w:r>
        <w:rPr>
          <w:b/>
          <w:noProof/>
        </w:rPr>
        <w:t>2.4</w:t>
      </w:r>
      <w:r>
        <w:rPr>
          <w:noProof/>
        </w:rPr>
        <w:tab/>
      </w:r>
      <w:r>
        <w:rPr>
          <w:b/>
          <w:noProof/>
        </w:rPr>
        <w:t>Преразпределяне на бюджетните кредити за плащания от програмата „Галилео“</w:t>
      </w:r>
      <w:bookmarkEnd w:id="27"/>
      <w:bookmarkEnd w:id="28"/>
    </w:p>
    <w:p>
      <w:pPr>
        <w:spacing w:before="120" w:after="120"/>
        <w:jc w:val="both"/>
        <w:rPr>
          <w:noProof/>
        </w:rPr>
      </w:pPr>
      <w:r>
        <w:rPr>
          <w:noProof/>
        </w:rPr>
        <w:t xml:space="preserve">Освен преразпределението на средствата в рамките на глава 18 02, посочено в точка 2.3 по-горе, Комисията откри друг източник на преразпределение на бюджетни кредити за плащания — програмата „Галилео“ — за покриване на оставащите 69,7 млн. EUR бюджетни кредити за плащания, вследствие на което общото равнище на бюджетните кредити за плащания в бюджета за 2015 г. остава непроменено. </w:t>
      </w:r>
    </w:p>
    <w:p>
      <w:pPr>
        <w:spacing w:before="120" w:after="120"/>
        <w:jc w:val="both"/>
        <w:rPr>
          <w:noProof/>
        </w:rPr>
      </w:pPr>
      <w:r>
        <w:rPr>
          <w:noProof/>
        </w:rPr>
        <w:t xml:space="preserve">За разлика от други разходни програми, които се изпълняват чрез безвъзмездни средства, в случая на „Галилео“ Комисията отговаря за изграждането и експлоатацията на космическа инфраструктура. Както при всеки голям инфраструктурен проект, по-специално в областта на космическото пространство, рисковете могат да се реализират във всеки момент, както се вижда от няколко примера в световен мащаб. „Галилео“ не прави изключение: налице са закъснения от страна на производителя на сателити (OHB) и проблем при изстрелването на спътници през август 2014 г. Във връзка с тези проблеми бяха взети смекчаващи мерки и програмите вече се изпълняват по план. </w:t>
      </w:r>
    </w:p>
    <w:p>
      <w:pPr>
        <w:spacing w:before="120" w:after="120"/>
        <w:jc w:val="both"/>
        <w:rPr>
          <w:noProof/>
        </w:rPr>
      </w:pPr>
      <w:r>
        <w:rPr>
          <w:noProof/>
        </w:rPr>
        <w:t xml:space="preserve">В споразуменията за делегиране с Европейската космическа агенция (ЕКА) и Европейската агенция за ГНСС (GSA) се предвижда Комисията да извършва през годината две плащания, основани на подробните прогнози за етапните цели, които се очаква да бъдат постигнати от техните подизпълнители, и покриващи финансовите нужди на ЕКА и на GSA за предстоящите шест месеца. В този контекст техните нужди са пряко свързани с промяната на различните договори и като се има предвид съществеността на тези договори, всяко забавяне на изпълнението на който и да е подписан договор или на процеса на подписване на нови договори може да представлява съществена промяна в размера на исканите средства. </w:t>
      </w:r>
    </w:p>
    <w:p>
      <w:pPr>
        <w:spacing w:before="120" w:after="120"/>
        <w:jc w:val="both"/>
        <w:rPr>
          <w:noProof/>
        </w:rPr>
      </w:pPr>
      <w:r>
        <w:rPr>
          <w:noProof/>
        </w:rPr>
        <w:t xml:space="preserve">В съответствие с принципа на добро финансово управление Комисията взема под внимание напредъка в изпълнението и коригира съответно плащанията в полза на ЕКА и GSA. Решението за следващата партида („партида 3“) спътници зависи от окончателните резултати от изпитването на спътниците с пълен оперативен капацитет, изстреляни през август 2014 г. Най-новите налични данни за планирането на обществените поръчки за третата партида спътници показват, че подписването на договора, което първоначално бе предвидено за 2015 г., понастоящем е планирано за второто тримесечие на 2016 г. Поради това част от бюджетните кредити за плащания, предвидени в бюджета за 2015 г., няма да бъдат използвани. Комисията предлага да бъдат преразпределени 69,7 млн. EUR бюджетни кредити за плащания за покриване на допълнителните нужди, посочени в точки 2.2—2.3 по-горе.  </w:t>
      </w:r>
    </w:p>
    <w:p>
      <w:pPr>
        <w:spacing w:before="120" w:after="120"/>
        <w:jc w:val="both"/>
        <w:rPr>
          <w:noProof/>
        </w:rPr>
      </w:pPr>
    </w:p>
    <w:p>
      <w:pPr>
        <w:pStyle w:val="ManualHeading1"/>
        <w:spacing w:before="120"/>
        <w:ind w:left="0" w:firstLine="0"/>
        <w:rPr>
          <w:noProof/>
        </w:rPr>
      </w:pPr>
      <w:r>
        <w:rPr>
          <w:noProof/>
        </w:rPr>
        <w:br w:type="page"/>
      </w:r>
      <w:bookmarkStart w:id="29" w:name="_Toc400011652"/>
      <w:bookmarkStart w:id="30" w:name="_Toc418618202"/>
      <w:bookmarkStart w:id="31" w:name="_Toc419731623"/>
      <w:r>
        <w:rPr>
          <w:noProof/>
        </w:rPr>
        <w:t>3.</w:t>
      </w:r>
      <w:r>
        <w:rPr>
          <w:noProof/>
        </w:rPr>
        <w:tab/>
        <w:t>Обобщаваща таблица по функции от МФР</w:t>
      </w:r>
      <w:bookmarkEnd w:id="3"/>
      <w:bookmarkEnd w:id="4"/>
      <w:bookmarkEnd w:id="5"/>
      <w:bookmarkEnd w:id="6"/>
      <w:bookmarkEnd w:id="7"/>
      <w:bookmarkEnd w:id="29"/>
      <w:bookmarkEnd w:id="30"/>
      <w:bookmarkEnd w:id="31"/>
    </w:p>
    <w:tbl>
      <w:tblPr>
        <w:tblW w:w="10788" w:type="dxa"/>
        <w:tblInd w:w="-176" w:type="dxa"/>
        <w:tblLook w:val="04A0" w:firstRow="1" w:lastRow="0" w:firstColumn="1" w:lastColumn="0" w:noHBand="0" w:noVBand="1"/>
      </w:tblPr>
      <w:tblGrid>
        <w:gridCol w:w="378"/>
        <w:gridCol w:w="2615"/>
        <w:gridCol w:w="1365"/>
        <w:gridCol w:w="1327"/>
        <w:gridCol w:w="1134"/>
        <w:gridCol w:w="1134"/>
        <w:gridCol w:w="1418"/>
        <w:gridCol w:w="1417"/>
      </w:tblGrid>
      <w:tr>
        <w:trPr>
          <w:trHeight w:val="300"/>
        </w:trPr>
        <w:tc>
          <w:tcPr>
            <w:tcW w:w="2992"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Функция</w:t>
            </w:r>
          </w:p>
        </w:tc>
        <w:tc>
          <w:tcPr>
            <w:tcW w:w="2693"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Бюджет за 2015 г.</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Проект на коригиращ бюджет 5/2015</w:t>
            </w:r>
          </w:p>
        </w:tc>
        <w:tc>
          <w:tcPr>
            <w:tcW w:w="2835"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Бюджет за 2015 г.</w:t>
            </w:r>
          </w:p>
        </w:tc>
      </w:tr>
      <w:tr>
        <w:trPr>
          <w:trHeight w:val="255"/>
        </w:trPr>
        <w:tc>
          <w:tcPr>
            <w:tcW w:w="2992"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2693"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(вкл. КБ 1 и ПКБ 1, 3 и 4/2015)</w:t>
            </w: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6"/>
                <w:szCs w:val="16"/>
              </w:rPr>
            </w:pPr>
          </w:p>
        </w:tc>
        <w:tc>
          <w:tcPr>
            <w:tcW w:w="2835"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(вкл. КБ 1 и ПКБ 1, 3, 4 и 5/2015)</w:t>
            </w:r>
          </w:p>
        </w:tc>
      </w:tr>
      <w:tr>
        <w:trPr>
          <w:trHeight w:val="300"/>
        </w:trPr>
        <w:tc>
          <w:tcPr>
            <w:tcW w:w="2992"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1366" w:type="dxa"/>
            <w:tcBorders>
              <w:top w:val="nil"/>
              <w:left w:val="nil"/>
              <w:bottom w:val="nil"/>
              <w:right w:val="single" w:sz="4" w:space="0" w:color="auto"/>
            </w:tcBorders>
            <w:shd w:val="clear" w:color="000000" w:fill="D9D9D9"/>
            <w:vAlign w:val="center"/>
            <w:hideMark/>
          </w:tcPr>
          <w:p>
            <w:pPr>
              <w:ind w:left="-533" w:firstLine="533"/>
              <w:jc w:val="center"/>
              <w:rPr>
                <w:b/>
                <w:bCs/>
                <w:noProof/>
                <w:color w:val="000000"/>
                <w:sz w:val="16"/>
                <w:szCs w:val="16"/>
              </w:rPr>
            </w:pPr>
            <w:r>
              <w:rPr>
                <w:b/>
                <w:noProof/>
                <w:color w:val="000000"/>
                <w:sz w:val="16"/>
              </w:rPr>
              <w:t>БКПЗ</w:t>
            </w:r>
          </w:p>
        </w:tc>
        <w:tc>
          <w:tcPr>
            <w:tcW w:w="1327"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w:t>
            </w:r>
          </w:p>
        </w:tc>
        <w:tc>
          <w:tcPr>
            <w:tcW w:w="113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БКПЗ</w:t>
            </w:r>
          </w:p>
        </w:tc>
        <w:tc>
          <w:tcPr>
            <w:tcW w:w="113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w:t>
            </w:r>
          </w:p>
        </w:tc>
        <w:tc>
          <w:tcPr>
            <w:tcW w:w="1418"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БКПЗ</w:t>
            </w:r>
          </w:p>
        </w:tc>
        <w:tc>
          <w:tcPr>
            <w:tcW w:w="1417"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w:t>
            </w:r>
          </w:p>
        </w:tc>
      </w:tr>
      <w:tr>
        <w:trPr>
          <w:trHeight w:val="270"/>
        </w:trPr>
        <w:tc>
          <w:tcPr>
            <w:tcW w:w="376" w:type="dxa"/>
            <w:tcBorders>
              <w:top w:val="single" w:sz="4" w:space="0" w:color="auto"/>
              <w:left w:val="single" w:sz="4" w:space="0" w:color="auto"/>
              <w:bottom w:val="dotted" w:sz="4" w:space="0" w:color="auto"/>
              <w:right w:val="nil"/>
            </w:tcBorders>
            <w:shd w:val="clear" w:color="auto" w:fill="auto"/>
            <w:vAlign w:val="bottom"/>
            <w:hideMark/>
          </w:tcPr>
          <w:p>
            <w:pPr>
              <w:rPr>
                <w:b/>
                <w:bCs/>
                <w:noProof/>
                <w:color w:val="000000"/>
                <w:sz w:val="16"/>
                <w:szCs w:val="16"/>
              </w:rPr>
            </w:pPr>
            <w:r>
              <w:rPr>
                <w:b/>
                <w:noProof/>
                <w:color w:val="000000"/>
                <w:sz w:val="16"/>
              </w:rPr>
              <w:t>1.</w:t>
            </w:r>
          </w:p>
        </w:tc>
        <w:tc>
          <w:tcPr>
            <w:tcW w:w="2616" w:type="dxa"/>
            <w:tcBorders>
              <w:top w:val="single" w:sz="4" w:space="0" w:color="auto"/>
              <w:left w:val="nil"/>
              <w:bottom w:val="dotted" w:sz="4" w:space="0" w:color="auto"/>
              <w:right w:val="single" w:sz="4" w:space="0" w:color="auto"/>
            </w:tcBorders>
            <w:shd w:val="clear" w:color="auto" w:fill="auto"/>
            <w:vAlign w:val="bottom"/>
            <w:hideMark/>
          </w:tcPr>
          <w:p>
            <w:pPr>
              <w:rPr>
                <w:b/>
                <w:bCs/>
                <w:noProof/>
                <w:color w:val="000000"/>
                <w:sz w:val="16"/>
                <w:szCs w:val="16"/>
              </w:rPr>
            </w:pPr>
            <w:r>
              <w:rPr>
                <w:b/>
                <w:noProof/>
                <w:color w:val="000000"/>
                <w:sz w:val="16"/>
              </w:rPr>
              <w:t>Интелигентен и приобщаващ растеж</w:t>
            </w:r>
          </w:p>
        </w:tc>
        <w:tc>
          <w:tcPr>
            <w:tcW w:w="1366" w:type="dxa"/>
            <w:tcBorders>
              <w:top w:val="single" w:sz="4" w:space="0" w:color="auto"/>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77 954 679 684</w:t>
            </w:r>
          </w:p>
        </w:tc>
        <w:tc>
          <w:tcPr>
            <w:tcW w:w="132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66 922 960 910</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- 69 652 000</w:t>
            </w:r>
          </w:p>
        </w:tc>
        <w:tc>
          <w:tcPr>
            <w:tcW w:w="1418"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77 954 679 684</w:t>
            </w:r>
          </w:p>
        </w:tc>
        <w:tc>
          <w:tcPr>
            <w:tcW w:w="141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66 853 308 910</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От които по Инструмента за гъвкавост</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83 285 595</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83 285 595</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 xml:space="preserve">Таван </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77 986 000 000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77 986 000 000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114 605 911</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114 605 911</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376" w:type="dxa"/>
            <w:tcBorders>
              <w:top w:val="nil"/>
              <w:left w:val="single" w:sz="4" w:space="0" w:color="auto"/>
              <w:bottom w:val="dotted" w:sz="4" w:space="0" w:color="auto"/>
              <w:right w:val="nil"/>
            </w:tcBorders>
            <w:shd w:val="clear" w:color="auto" w:fill="auto"/>
            <w:vAlign w:val="bottom"/>
            <w:hideMark/>
          </w:tcPr>
          <w:p>
            <w:pPr>
              <w:rPr>
                <w:noProof/>
                <w:color w:val="000000"/>
                <w:sz w:val="16"/>
                <w:szCs w:val="16"/>
              </w:rPr>
            </w:pPr>
            <w:r>
              <w:rPr>
                <w:noProof/>
                <w:color w:val="000000"/>
                <w:sz w:val="16"/>
              </w:rPr>
              <w:t>1a</w:t>
            </w:r>
          </w:p>
        </w:tc>
        <w:tc>
          <w:tcPr>
            <w:tcW w:w="2616" w:type="dxa"/>
            <w:tcBorders>
              <w:top w:val="nil"/>
              <w:left w:val="nil"/>
              <w:bottom w:val="dotted" w:sz="4" w:space="0" w:color="auto"/>
              <w:right w:val="single" w:sz="4" w:space="0" w:color="auto"/>
            </w:tcBorders>
            <w:shd w:val="clear" w:color="auto" w:fill="auto"/>
            <w:vAlign w:val="bottom"/>
            <w:hideMark/>
          </w:tcPr>
          <w:p>
            <w:pPr>
              <w:rPr>
                <w:noProof/>
                <w:color w:val="000000"/>
                <w:sz w:val="16"/>
                <w:szCs w:val="16"/>
              </w:rPr>
            </w:pPr>
            <w:r>
              <w:rPr>
                <w:noProof/>
                <w:color w:val="000000"/>
                <w:sz w:val="16"/>
              </w:rPr>
              <w:t>Конкурентоспособност за растеж и работни места</w:t>
            </w:r>
          </w:p>
        </w:tc>
        <w:tc>
          <w:tcPr>
            <w:tcW w:w="1366"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17 551 688 425</w:t>
            </w:r>
          </w:p>
        </w:tc>
        <w:tc>
          <w:tcPr>
            <w:tcW w:w="132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15 798 230 894</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- 69 652 000</w:t>
            </w:r>
          </w:p>
        </w:tc>
        <w:tc>
          <w:tcPr>
            <w:tcW w:w="1418"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17 551 688 425</w:t>
            </w:r>
          </w:p>
        </w:tc>
        <w:tc>
          <w:tcPr>
            <w:tcW w:w="141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15 728 578 894</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Таван</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17 666 000 000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17 666 000 000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114 311 575</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114 311 575</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376" w:type="dxa"/>
            <w:tcBorders>
              <w:top w:val="nil"/>
              <w:left w:val="single" w:sz="4" w:space="0" w:color="auto"/>
              <w:bottom w:val="dotted" w:sz="4" w:space="0" w:color="auto"/>
              <w:right w:val="nil"/>
            </w:tcBorders>
            <w:shd w:val="clear" w:color="auto" w:fill="auto"/>
            <w:vAlign w:val="bottom"/>
            <w:hideMark/>
          </w:tcPr>
          <w:p>
            <w:pPr>
              <w:rPr>
                <w:noProof/>
                <w:color w:val="000000"/>
                <w:sz w:val="16"/>
                <w:szCs w:val="16"/>
              </w:rPr>
            </w:pPr>
            <w:r>
              <w:rPr>
                <w:noProof/>
                <w:color w:val="000000"/>
                <w:sz w:val="16"/>
              </w:rPr>
              <w:t xml:space="preserve">1б </w:t>
            </w:r>
          </w:p>
        </w:tc>
        <w:tc>
          <w:tcPr>
            <w:tcW w:w="2616" w:type="dxa"/>
            <w:tcBorders>
              <w:top w:val="nil"/>
              <w:left w:val="nil"/>
              <w:bottom w:val="dotted" w:sz="4" w:space="0" w:color="auto"/>
              <w:right w:val="single" w:sz="4" w:space="0" w:color="auto"/>
            </w:tcBorders>
            <w:shd w:val="clear" w:color="auto" w:fill="auto"/>
            <w:vAlign w:val="bottom"/>
            <w:hideMark/>
          </w:tcPr>
          <w:p>
            <w:pPr>
              <w:rPr>
                <w:noProof/>
                <w:color w:val="000000"/>
                <w:sz w:val="16"/>
                <w:szCs w:val="16"/>
              </w:rPr>
            </w:pPr>
            <w:r>
              <w:rPr>
                <w:noProof/>
                <w:color w:val="000000"/>
                <w:sz w:val="16"/>
              </w:rPr>
              <w:t>Икономическо, социално и териториално сближаване</w:t>
            </w:r>
          </w:p>
        </w:tc>
        <w:tc>
          <w:tcPr>
            <w:tcW w:w="1366"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60 402 991 259</w:t>
            </w:r>
          </w:p>
        </w:tc>
        <w:tc>
          <w:tcPr>
            <w:tcW w:w="132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51 124 730 016</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60 402 991 259</w:t>
            </w:r>
          </w:p>
        </w:tc>
        <w:tc>
          <w:tcPr>
            <w:tcW w:w="141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51 124 730 016</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От които по Инструмента за гъвкавост</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83 285 595</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83 285 595</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Таван</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60 320 000 000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60 320 000 000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294 336</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294 336</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376" w:type="dxa"/>
            <w:tcBorders>
              <w:top w:val="nil"/>
              <w:left w:val="single" w:sz="4" w:space="0" w:color="auto"/>
              <w:bottom w:val="dotted" w:sz="4" w:space="0" w:color="auto"/>
              <w:right w:val="nil"/>
            </w:tcBorders>
            <w:shd w:val="clear" w:color="auto" w:fill="auto"/>
            <w:vAlign w:val="bottom"/>
            <w:hideMark/>
          </w:tcPr>
          <w:p>
            <w:pPr>
              <w:rPr>
                <w:b/>
                <w:bCs/>
                <w:noProof/>
                <w:color w:val="000000"/>
                <w:sz w:val="16"/>
                <w:szCs w:val="16"/>
              </w:rPr>
            </w:pPr>
            <w:r>
              <w:rPr>
                <w:b/>
                <w:noProof/>
                <w:color w:val="000000"/>
                <w:sz w:val="16"/>
              </w:rPr>
              <w:t>2.</w:t>
            </w:r>
          </w:p>
        </w:tc>
        <w:tc>
          <w:tcPr>
            <w:tcW w:w="2616" w:type="dxa"/>
            <w:tcBorders>
              <w:top w:val="nil"/>
              <w:left w:val="nil"/>
              <w:bottom w:val="dotted" w:sz="4" w:space="0" w:color="auto"/>
              <w:right w:val="single" w:sz="4" w:space="0" w:color="auto"/>
            </w:tcBorders>
            <w:shd w:val="clear" w:color="auto" w:fill="auto"/>
            <w:vAlign w:val="bottom"/>
            <w:hideMark/>
          </w:tcPr>
          <w:p>
            <w:pPr>
              <w:rPr>
                <w:b/>
                <w:bCs/>
                <w:noProof/>
                <w:color w:val="000000"/>
                <w:sz w:val="16"/>
                <w:szCs w:val="16"/>
              </w:rPr>
            </w:pPr>
            <w:r>
              <w:rPr>
                <w:b/>
                <w:noProof/>
                <w:color w:val="000000"/>
                <w:sz w:val="16"/>
              </w:rPr>
              <w:t>Устойчив растеж: природни ресурси</w:t>
            </w:r>
          </w:p>
        </w:tc>
        <w:tc>
          <w:tcPr>
            <w:tcW w:w="1366"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63 901 960 185</w:t>
            </w:r>
          </w:p>
        </w:tc>
        <w:tc>
          <w:tcPr>
            <w:tcW w:w="132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55 998 594 804</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63 901 960 185</w:t>
            </w:r>
          </w:p>
        </w:tc>
        <w:tc>
          <w:tcPr>
            <w:tcW w:w="141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55 998 594 804</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Таван</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64 692 000 000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64 692 000 000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790 039 815</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790 039 815</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705"/>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rPr>
                <w:noProof/>
                <w:color w:val="000000"/>
                <w:sz w:val="16"/>
                <w:szCs w:val="16"/>
              </w:rPr>
            </w:pPr>
            <w:r>
              <w:rPr>
                <w:noProof/>
                <w:color w:val="000000"/>
                <w:sz w:val="16"/>
              </w:rPr>
              <w:t>От които: Европейски фонд за гарантиране на земеделието (ЕФГЗ) — Разходи, свързани с пазара, и преки плащания</w:t>
            </w:r>
          </w:p>
        </w:tc>
        <w:tc>
          <w:tcPr>
            <w:tcW w:w="1366"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43 455 780 762</w:t>
            </w:r>
          </w:p>
        </w:tc>
        <w:tc>
          <w:tcPr>
            <w:tcW w:w="132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43 447 624 585</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43 455 780 762</w:t>
            </w:r>
          </w:p>
        </w:tc>
        <w:tc>
          <w:tcPr>
            <w:tcW w:w="141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43 447 624 585</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Подтаван</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44 313 000 000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44 313 000 000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Нетен трансфер между ЕФГЗ и ЕЗФРСР</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123 215 000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123 215 000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734 004 238</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734 004 238</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376" w:type="dxa"/>
            <w:tcBorders>
              <w:top w:val="nil"/>
              <w:left w:val="single" w:sz="4" w:space="0" w:color="auto"/>
              <w:bottom w:val="dotted" w:sz="4" w:space="0" w:color="auto"/>
              <w:right w:val="nil"/>
            </w:tcBorders>
            <w:shd w:val="clear" w:color="auto" w:fill="auto"/>
            <w:vAlign w:val="bottom"/>
            <w:hideMark/>
          </w:tcPr>
          <w:p>
            <w:pPr>
              <w:rPr>
                <w:b/>
                <w:bCs/>
                <w:noProof/>
                <w:color w:val="000000"/>
                <w:sz w:val="16"/>
                <w:szCs w:val="16"/>
              </w:rPr>
            </w:pPr>
            <w:r>
              <w:rPr>
                <w:b/>
                <w:noProof/>
                <w:color w:val="000000"/>
                <w:sz w:val="16"/>
              </w:rPr>
              <w:t>3.</w:t>
            </w:r>
          </w:p>
        </w:tc>
        <w:tc>
          <w:tcPr>
            <w:tcW w:w="2616" w:type="dxa"/>
            <w:tcBorders>
              <w:top w:val="nil"/>
              <w:left w:val="nil"/>
              <w:bottom w:val="dotted" w:sz="4" w:space="0" w:color="auto"/>
              <w:right w:val="single" w:sz="4" w:space="0" w:color="auto"/>
            </w:tcBorders>
            <w:shd w:val="clear" w:color="auto" w:fill="auto"/>
            <w:vAlign w:val="bottom"/>
            <w:hideMark/>
          </w:tcPr>
          <w:p>
            <w:pPr>
              <w:rPr>
                <w:b/>
                <w:bCs/>
                <w:noProof/>
                <w:color w:val="000000"/>
                <w:sz w:val="16"/>
                <w:szCs w:val="16"/>
              </w:rPr>
            </w:pPr>
            <w:r>
              <w:rPr>
                <w:b/>
                <w:noProof/>
                <w:color w:val="000000"/>
                <w:sz w:val="16"/>
              </w:rPr>
              <w:t>Сигурност и гражданство</w:t>
            </w:r>
          </w:p>
        </w:tc>
        <w:tc>
          <w:tcPr>
            <w:tcW w:w="1366"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2 357 076 847</w:t>
            </w:r>
          </w:p>
        </w:tc>
        <w:tc>
          <w:tcPr>
            <w:tcW w:w="132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1 859 513 795</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75 772 000</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69 652 000</w:t>
            </w:r>
          </w:p>
        </w:tc>
        <w:tc>
          <w:tcPr>
            <w:tcW w:w="1418"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2 432 848 847</w:t>
            </w:r>
          </w:p>
        </w:tc>
        <w:tc>
          <w:tcPr>
            <w:tcW w:w="141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1 929 165 795</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Таван</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2 456 000 000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2 456 000 000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98 923 153</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23 151 153</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376" w:type="dxa"/>
            <w:tcBorders>
              <w:top w:val="nil"/>
              <w:left w:val="single" w:sz="4" w:space="0" w:color="auto"/>
              <w:bottom w:val="dotted" w:sz="4" w:space="0" w:color="auto"/>
              <w:right w:val="nil"/>
            </w:tcBorders>
            <w:shd w:val="clear" w:color="auto" w:fill="auto"/>
            <w:vAlign w:val="bottom"/>
            <w:hideMark/>
          </w:tcPr>
          <w:p>
            <w:pPr>
              <w:rPr>
                <w:b/>
                <w:bCs/>
                <w:noProof/>
                <w:color w:val="000000"/>
                <w:sz w:val="16"/>
                <w:szCs w:val="16"/>
              </w:rPr>
            </w:pPr>
            <w:r>
              <w:rPr>
                <w:b/>
                <w:noProof/>
                <w:color w:val="000000"/>
                <w:sz w:val="16"/>
              </w:rPr>
              <w:t>4.</w:t>
            </w:r>
          </w:p>
        </w:tc>
        <w:tc>
          <w:tcPr>
            <w:tcW w:w="2616" w:type="dxa"/>
            <w:tcBorders>
              <w:top w:val="nil"/>
              <w:left w:val="nil"/>
              <w:bottom w:val="dotted" w:sz="4" w:space="0" w:color="auto"/>
              <w:right w:val="single" w:sz="4" w:space="0" w:color="auto"/>
            </w:tcBorders>
            <w:shd w:val="clear" w:color="auto" w:fill="auto"/>
            <w:vAlign w:val="bottom"/>
            <w:hideMark/>
          </w:tcPr>
          <w:p>
            <w:pPr>
              <w:rPr>
                <w:b/>
                <w:bCs/>
                <w:noProof/>
                <w:color w:val="000000"/>
                <w:sz w:val="16"/>
                <w:szCs w:val="16"/>
              </w:rPr>
            </w:pPr>
            <w:r>
              <w:rPr>
                <w:b/>
                <w:noProof/>
                <w:color w:val="000000"/>
                <w:sz w:val="16"/>
              </w:rPr>
              <w:t>Глобална Европа</w:t>
            </w:r>
          </w:p>
        </w:tc>
        <w:tc>
          <w:tcPr>
            <w:tcW w:w="1366"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8 410 899 029</w:t>
            </w:r>
          </w:p>
        </w:tc>
        <w:tc>
          <w:tcPr>
            <w:tcW w:w="132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7 422 489 907</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8 410 899 029</w:t>
            </w:r>
          </w:p>
        </w:tc>
        <w:tc>
          <w:tcPr>
            <w:tcW w:w="141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7 422 489 907</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Таван</w:t>
            </w:r>
          </w:p>
        </w:tc>
        <w:tc>
          <w:tcPr>
            <w:tcW w:w="1366"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8 749 000 000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8 749 000 000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338 100 971</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338 100 971</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376" w:type="dxa"/>
            <w:tcBorders>
              <w:top w:val="nil"/>
              <w:left w:val="single" w:sz="4" w:space="0" w:color="auto"/>
              <w:bottom w:val="dotted" w:sz="4" w:space="0" w:color="auto"/>
              <w:right w:val="nil"/>
            </w:tcBorders>
            <w:shd w:val="clear" w:color="auto" w:fill="auto"/>
            <w:vAlign w:val="bottom"/>
            <w:hideMark/>
          </w:tcPr>
          <w:p>
            <w:pPr>
              <w:rPr>
                <w:b/>
                <w:bCs/>
                <w:noProof/>
                <w:color w:val="000000"/>
                <w:sz w:val="16"/>
                <w:szCs w:val="16"/>
              </w:rPr>
            </w:pPr>
            <w:r>
              <w:rPr>
                <w:b/>
                <w:noProof/>
                <w:color w:val="000000"/>
                <w:sz w:val="16"/>
              </w:rPr>
              <w:t>5.</w:t>
            </w:r>
          </w:p>
        </w:tc>
        <w:tc>
          <w:tcPr>
            <w:tcW w:w="2616" w:type="dxa"/>
            <w:tcBorders>
              <w:top w:val="nil"/>
              <w:left w:val="nil"/>
              <w:bottom w:val="dotted" w:sz="4" w:space="0" w:color="auto"/>
              <w:right w:val="single" w:sz="4" w:space="0" w:color="auto"/>
            </w:tcBorders>
            <w:shd w:val="clear" w:color="auto" w:fill="auto"/>
            <w:vAlign w:val="bottom"/>
            <w:hideMark/>
          </w:tcPr>
          <w:p>
            <w:pPr>
              <w:rPr>
                <w:b/>
                <w:bCs/>
                <w:noProof/>
                <w:color w:val="000000"/>
                <w:sz w:val="16"/>
                <w:szCs w:val="16"/>
              </w:rPr>
            </w:pPr>
            <w:r>
              <w:rPr>
                <w:b/>
                <w:noProof/>
                <w:color w:val="000000"/>
                <w:sz w:val="16"/>
              </w:rPr>
              <w:t>Администрация</w:t>
            </w:r>
          </w:p>
        </w:tc>
        <w:tc>
          <w:tcPr>
            <w:tcW w:w="1366"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8 660 469 063</w:t>
            </w:r>
          </w:p>
        </w:tc>
        <w:tc>
          <w:tcPr>
            <w:tcW w:w="132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8 658 756 179</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8 660 469 063</w:t>
            </w:r>
          </w:p>
        </w:tc>
        <w:tc>
          <w:tcPr>
            <w:tcW w:w="141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8 658 756 179</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Таван</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9 076 000 000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9 076 000 000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415 530 937</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415 530 937</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525"/>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rPr>
                <w:noProof/>
                <w:color w:val="000000"/>
                <w:sz w:val="16"/>
                <w:szCs w:val="16"/>
              </w:rPr>
            </w:pPr>
            <w:r>
              <w:rPr>
                <w:noProof/>
                <w:color w:val="000000"/>
                <w:sz w:val="16"/>
              </w:rPr>
              <w:t>От които: Административни разходи на институциите</w:t>
            </w:r>
          </w:p>
        </w:tc>
        <w:tc>
          <w:tcPr>
            <w:tcW w:w="1366"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6 941 188 663</w:t>
            </w:r>
          </w:p>
        </w:tc>
        <w:tc>
          <w:tcPr>
            <w:tcW w:w="132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6 939 475 779</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6 941 188 663</w:t>
            </w:r>
          </w:p>
        </w:tc>
        <w:tc>
          <w:tcPr>
            <w:tcW w:w="141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6 939 475 779</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Подтаван</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7 056 000 000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7 056 000 000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114 811 337</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114 811 337</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376" w:type="dxa"/>
            <w:tcBorders>
              <w:top w:val="nil"/>
              <w:left w:val="single" w:sz="4" w:space="0" w:color="auto"/>
              <w:bottom w:val="dotted" w:sz="4" w:space="0" w:color="auto"/>
              <w:right w:val="nil"/>
            </w:tcBorders>
            <w:shd w:val="clear" w:color="auto" w:fill="auto"/>
            <w:vAlign w:val="bottom"/>
            <w:hideMark/>
          </w:tcPr>
          <w:p>
            <w:pPr>
              <w:rPr>
                <w:b/>
                <w:bCs/>
                <w:noProof/>
                <w:color w:val="000000"/>
                <w:sz w:val="16"/>
                <w:szCs w:val="16"/>
              </w:rPr>
            </w:pPr>
            <w:r>
              <w:rPr>
                <w:b/>
                <w:noProof/>
                <w:color w:val="000000"/>
                <w:sz w:val="16"/>
              </w:rPr>
              <w:t>6.</w:t>
            </w:r>
          </w:p>
        </w:tc>
        <w:tc>
          <w:tcPr>
            <w:tcW w:w="2616" w:type="dxa"/>
            <w:tcBorders>
              <w:top w:val="nil"/>
              <w:left w:val="nil"/>
              <w:bottom w:val="dotted" w:sz="4" w:space="0" w:color="auto"/>
              <w:right w:val="single" w:sz="4" w:space="0" w:color="auto"/>
            </w:tcBorders>
            <w:shd w:val="clear" w:color="auto" w:fill="auto"/>
            <w:vAlign w:val="bottom"/>
            <w:hideMark/>
          </w:tcPr>
          <w:p>
            <w:pPr>
              <w:rPr>
                <w:b/>
                <w:bCs/>
                <w:noProof/>
                <w:color w:val="000000"/>
                <w:sz w:val="16"/>
                <w:szCs w:val="16"/>
              </w:rPr>
            </w:pPr>
            <w:r>
              <w:rPr>
                <w:b/>
                <w:noProof/>
                <w:color w:val="000000"/>
                <w:sz w:val="16"/>
              </w:rPr>
              <w:t>Компенсации</w:t>
            </w:r>
          </w:p>
        </w:tc>
        <w:tc>
          <w:tcPr>
            <w:tcW w:w="1366"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w:t>
            </w:r>
          </w:p>
        </w:tc>
        <w:tc>
          <w:tcPr>
            <w:tcW w:w="132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w:t>
            </w:r>
          </w:p>
        </w:tc>
        <w:tc>
          <w:tcPr>
            <w:tcW w:w="141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Таван</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single"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Марж</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single" w:sz="4" w:space="0" w:color="auto"/>
              <w:left w:val="single" w:sz="4" w:space="0" w:color="auto"/>
              <w:bottom w:val="dotted" w:sz="4" w:space="0" w:color="auto"/>
              <w:right w:val="single" w:sz="4" w:space="0" w:color="000000"/>
            </w:tcBorders>
            <w:shd w:val="clear" w:color="000000" w:fill="D9D9D9"/>
            <w:vAlign w:val="bottom"/>
            <w:hideMark/>
          </w:tcPr>
          <w:p>
            <w:pPr>
              <w:jc w:val="right"/>
              <w:rPr>
                <w:b/>
                <w:bCs/>
                <w:noProof/>
                <w:color w:val="000000"/>
                <w:sz w:val="16"/>
                <w:szCs w:val="16"/>
              </w:rPr>
            </w:pPr>
            <w:r>
              <w:rPr>
                <w:b/>
                <w:noProof/>
                <w:color w:val="000000"/>
                <w:sz w:val="16"/>
              </w:rPr>
              <w:t>Общо</w:t>
            </w:r>
          </w:p>
        </w:tc>
        <w:tc>
          <w:tcPr>
            <w:tcW w:w="1366" w:type="dxa"/>
            <w:tcBorders>
              <w:top w:val="nil"/>
              <w:left w:val="nil"/>
              <w:bottom w:val="dotted"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161 285 084 808</w:t>
            </w:r>
          </w:p>
        </w:tc>
        <w:tc>
          <w:tcPr>
            <w:tcW w:w="1327" w:type="dxa"/>
            <w:tcBorders>
              <w:top w:val="nil"/>
              <w:left w:val="nil"/>
              <w:bottom w:val="dotted"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140 862 315 595</w:t>
            </w:r>
          </w:p>
        </w:tc>
        <w:tc>
          <w:tcPr>
            <w:tcW w:w="1134" w:type="dxa"/>
            <w:tcBorders>
              <w:top w:val="nil"/>
              <w:left w:val="nil"/>
              <w:bottom w:val="dotted"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 xml:space="preserve"> 75 772 000</w:t>
            </w:r>
          </w:p>
        </w:tc>
        <w:tc>
          <w:tcPr>
            <w:tcW w:w="1134" w:type="dxa"/>
            <w:tcBorders>
              <w:top w:val="nil"/>
              <w:left w:val="nil"/>
              <w:bottom w:val="dotted"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 xml:space="preserve">   </w:t>
            </w:r>
          </w:p>
        </w:tc>
        <w:tc>
          <w:tcPr>
            <w:tcW w:w="1418" w:type="dxa"/>
            <w:tcBorders>
              <w:top w:val="nil"/>
              <w:left w:val="nil"/>
              <w:bottom w:val="dotted"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161 360 856 808</w:t>
            </w:r>
          </w:p>
        </w:tc>
        <w:tc>
          <w:tcPr>
            <w:tcW w:w="1417" w:type="dxa"/>
            <w:tcBorders>
              <w:top w:val="nil"/>
              <w:left w:val="nil"/>
              <w:bottom w:val="dotted"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140 862 315 595</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000000" w:fill="D9D9D9"/>
            <w:vAlign w:val="bottom"/>
            <w:hideMark/>
          </w:tcPr>
          <w:p>
            <w:pPr>
              <w:jc w:val="right"/>
              <w:rPr>
                <w:b/>
                <w:bCs/>
                <w:i/>
                <w:iCs/>
                <w:noProof/>
                <w:color w:val="000000"/>
                <w:sz w:val="16"/>
                <w:szCs w:val="16"/>
              </w:rPr>
            </w:pPr>
            <w:r>
              <w:rPr>
                <w:b/>
                <w:i/>
                <w:noProof/>
                <w:color w:val="000000"/>
                <w:sz w:val="16"/>
              </w:rPr>
              <w:t>От които по Инструмента за гъвкавост</w:t>
            </w:r>
          </w:p>
        </w:tc>
        <w:tc>
          <w:tcPr>
            <w:tcW w:w="1366"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xml:space="preserve"> 83 285 595</w:t>
            </w:r>
          </w:p>
        </w:tc>
        <w:tc>
          <w:tcPr>
            <w:tcW w:w="1327"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xml:space="preserve"> 11 315 595</w:t>
            </w:r>
          </w:p>
        </w:tc>
        <w:tc>
          <w:tcPr>
            <w:tcW w:w="1134"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w:t>
            </w:r>
          </w:p>
        </w:tc>
        <w:tc>
          <w:tcPr>
            <w:tcW w:w="1134"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w:t>
            </w:r>
          </w:p>
        </w:tc>
        <w:tc>
          <w:tcPr>
            <w:tcW w:w="1418"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xml:space="preserve"> 83 285 595</w:t>
            </w:r>
          </w:p>
        </w:tc>
        <w:tc>
          <w:tcPr>
            <w:tcW w:w="1417"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xml:space="preserve"> 11 315 595</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000000" w:fill="D9D9D9"/>
            <w:vAlign w:val="bottom"/>
            <w:hideMark/>
          </w:tcPr>
          <w:p>
            <w:pPr>
              <w:jc w:val="right"/>
              <w:rPr>
                <w:b/>
                <w:bCs/>
                <w:i/>
                <w:iCs/>
                <w:noProof/>
                <w:color w:val="000000"/>
                <w:sz w:val="16"/>
                <w:szCs w:val="16"/>
              </w:rPr>
            </w:pPr>
            <w:r>
              <w:rPr>
                <w:b/>
                <w:i/>
                <w:noProof/>
                <w:color w:val="000000"/>
                <w:sz w:val="16"/>
              </w:rPr>
              <w:t>Таван</w:t>
            </w:r>
          </w:p>
        </w:tc>
        <w:tc>
          <w:tcPr>
            <w:tcW w:w="1366"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162 959 000 000</w:t>
            </w:r>
          </w:p>
        </w:tc>
        <w:tc>
          <w:tcPr>
            <w:tcW w:w="1327"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141 901 000 000</w:t>
            </w:r>
          </w:p>
        </w:tc>
        <w:tc>
          <w:tcPr>
            <w:tcW w:w="1134"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w:t>
            </w:r>
          </w:p>
        </w:tc>
        <w:tc>
          <w:tcPr>
            <w:tcW w:w="1134"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w:t>
            </w:r>
          </w:p>
        </w:tc>
        <w:tc>
          <w:tcPr>
            <w:tcW w:w="1418"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162 959 000 000</w:t>
            </w:r>
          </w:p>
        </w:tc>
        <w:tc>
          <w:tcPr>
            <w:tcW w:w="1417"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141 901 000 000</w:t>
            </w:r>
          </w:p>
        </w:tc>
      </w:tr>
      <w:tr>
        <w:trPr>
          <w:trHeight w:val="270"/>
        </w:trPr>
        <w:tc>
          <w:tcPr>
            <w:tcW w:w="2992" w:type="dxa"/>
            <w:gridSpan w:val="2"/>
            <w:tcBorders>
              <w:top w:val="dotted" w:sz="4" w:space="0" w:color="auto"/>
              <w:left w:val="single" w:sz="4" w:space="0" w:color="auto"/>
              <w:bottom w:val="nil"/>
              <w:right w:val="single" w:sz="4" w:space="0" w:color="000000"/>
            </w:tcBorders>
            <w:shd w:val="clear" w:color="000000" w:fill="D9D9D9"/>
            <w:vAlign w:val="bottom"/>
            <w:hideMark/>
          </w:tcPr>
          <w:p>
            <w:pPr>
              <w:jc w:val="right"/>
              <w:rPr>
                <w:b/>
                <w:bCs/>
                <w:i/>
                <w:iCs/>
                <w:noProof/>
                <w:color w:val="000000"/>
                <w:sz w:val="16"/>
                <w:szCs w:val="16"/>
              </w:rPr>
            </w:pPr>
            <w:r>
              <w:rPr>
                <w:b/>
                <w:i/>
                <w:noProof/>
                <w:color w:val="000000"/>
                <w:sz w:val="16"/>
              </w:rPr>
              <w:t>Марж</w:t>
            </w:r>
          </w:p>
        </w:tc>
        <w:tc>
          <w:tcPr>
            <w:tcW w:w="1366" w:type="dxa"/>
            <w:tcBorders>
              <w:top w:val="nil"/>
              <w:left w:val="nil"/>
              <w:bottom w:val="single"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1 757 200 787</w:t>
            </w:r>
          </w:p>
        </w:tc>
        <w:tc>
          <w:tcPr>
            <w:tcW w:w="1327" w:type="dxa"/>
            <w:tcBorders>
              <w:top w:val="nil"/>
              <w:left w:val="nil"/>
              <w:bottom w:val="single"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1 050 000 000</w:t>
            </w:r>
          </w:p>
        </w:tc>
        <w:tc>
          <w:tcPr>
            <w:tcW w:w="1134" w:type="dxa"/>
            <w:tcBorders>
              <w:top w:val="nil"/>
              <w:left w:val="nil"/>
              <w:bottom w:val="single"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w:t>
            </w:r>
          </w:p>
        </w:tc>
        <w:tc>
          <w:tcPr>
            <w:tcW w:w="1134" w:type="dxa"/>
            <w:tcBorders>
              <w:top w:val="nil"/>
              <w:left w:val="nil"/>
              <w:bottom w:val="single"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w:t>
            </w:r>
          </w:p>
        </w:tc>
        <w:tc>
          <w:tcPr>
            <w:tcW w:w="1418" w:type="dxa"/>
            <w:tcBorders>
              <w:top w:val="nil"/>
              <w:left w:val="nil"/>
              <w:bottom w:val="single"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1 681 428 787</w:t>
            </w:r>
          </w:p>
        </w:tc>
        <w:tc>
          <w:tcPr>
            <w:tcW w:w="1417" w:type="dxa"/>
            <w:tcBorders>
              <w:top w:val="nil"/>
              <w:left w:val="nil"/>
              <w:bottom w:val="single"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1 050 000 000</w:t>
            </w:r>
          </w:p>
        </w:tc>
      </w:tr>
      <w:tr>
        <w:trPr>
          <w:trHeight w:val="270"/>
        </w:trPr>
        <w:tc>
          <w:tcPr>
            <w:tcW w:w="376" w:type="dxa"/>
            <w:tcBorders>
              <w:top w:val="single" w:sz="4" w:space="0" w:color="auto"/>
              <w:left w:val="single" w:sz="4" w:space="0" w:color="auto"/>
              <w:bottom w:val="single" w:sz="4" w:space="0" w:color="auto"/>
              <w:right w:val="nil"/>
            </w:tcBorders>
            <w:shd w:val="clear" w:color="auto" w:fill="auto"/>
            <w:vAlign w:val="bottom"/>
            <w:hideMark/>
          </w:tcPr>
          <w:p>
            <w:pPr>
              <w:rPr>
                <w:noProof/>
                <w:color w:val="000000"/>
                <w:sz w:val="16"/>
                <w:szCs w:val="16"/>
              </w:rPr>
            </w:pPr>
            <w:r>
              <w:rPr>
                <w:noProof/>
                <w:color w:val="000000"/>
                <w:sz w:val="16"/>
              </w:rPr>
              <w:t> </w:t>
            </w:r>
          </w:p>
        </w:tc>
        <w:tc>
          <w:tcPr>
            <w:tcW w:w="2616" w:type="dxa"/>
            <w:tcBorders>
              <w:top w:val="single" w:sz="4" w:space="0" w:color="auto"/>
              <w:left w:val="nil"/>
              <w:bottom w:val="single" w:sz="4" w:space="0" w:color="auto"/>
              <w:right w:val="single" w:sz="4" w:space="0" w:color="auto"/>
            </w:tcBorders>
            <w:shd w:val="clear" w:color="auto" w:fill="auto"/>
            <w:vAlign w:val="bottom"/>
            <w:hideMark/>
          </w:tcPr>
          <w:p>
            <w:pPr>
              <w:rPr>
                <w:b/>
                <w:bCs/>
                <w:noProof/>
                <w:color w:val="000000"/>
                <w:sz w:val="16"/>
                <w:szCs w:val="16"/>
              </w:rPr>
            </w:pPr>
            <w:r>
              <w:rPr>
                <w:b/>
                <w:noProof/>
                <w:color w:val="000000"/>
                <w:sz w:val="16"/>
              </w:rPr>
              <w:t>Други специални инструменти</w:t>
            </w:r>
          </w:p>
        </w:tc>
        <w:tc>
          <w:tcPr>
            <w:tcW w:w="1366" w:type="dxa"/>
            <w:tcBorders>
              <w:top w:val="nil"/>
              <w:left w:val="nil"/>
              <w:bottom w:val="single"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581 870 850</w:t>
            </w:r>
          </w:p>
        </w:tc>
        <w:tc>
          <w:tcPr>
            <w:tcW w:w="1327" w:type="dxa"/>
            <w:tcBorders>
              <w:top w:val="nil"/>
              <w:left w:val="nil"/>
              <w:bottom w:val="single"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418 230 818</w:t>
            </w:r>
          </w:p>
        </w:tc>
        <w:tc>
          <w:tcPr>
            <w:tcW w:w="1134" w:type="dxa"/>
            <w:tcBorders>
              <w:top w:val="nil"/>
              <w:left w:val="nil"/>
              <w:bottom w:val="single"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581 870 850</w:t>
            </w:r>
          </w:p>
        </w:tc>
        <w:tc>
          <w:tcPr>
            <w:tcW w:w="1417" w:type="dxa"/>
            <w:tcBorders>
              <w:top w:val="nil"/>
              <w:left w:val="nil"/>
              <w:bottom w:val="single"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418 230 818</w:t>
            </w:r>
          </w:p>
        </w:tc>
      </w:tr>
      <w:tr>
        <w:trPr>
          <w:trHeight w:val="270"/>
        </w:trPr>
        <w:tc>
          <w:tcPr>
            <w:tcW w:w="2992" w:type="dxa"/>
            <w:gridSpan w:val="2"/>
            <w:tcBorders>
              <w:top w:val="nil"/>
              <w:left w:val="single" w:sz="4" w:space="0" w:color="auto"/>
              <w:bottom w:val="single" w:sz="4" w:space="0" w:color="auto"/>
              <w:right w:val="single" w:sz="4" w:space="0" w:color="000000"/>
            </w:tcBorders>
            <w:shd w:val="clear" w:color="000000" w:fill="D9D9D9"/>
            <w:vAlign w:val="bottom"/>
            <w:hideMark/>
          </w:tcPr>
          <w:p>
            <w:pPr>
              <w:jc w:val="right"/>
              <w:rPr>
                <w:b/>
                <w:bCs/>
                <w:noProof/>
                <w:color w:val="000000"/>
                <w:sz w:val="16"/>
                <w:szCs w:val="16"/>
              </w:rPr>
            </w:pPr>
            <w:r>
              <w:rPr>
                <w:b/>
                <w:noProof/>
                <w:color w:val="000000"/>
                <w:sz w:val="16"/>
              </w:rPr>
              <w:t>Всичко</w:t>
            </w:r>
          </w:p>
        </w:tc>
        <w:tc>
          <w:tcPr>
            <w:tcW w:w="1366" w:type="dxa"/>
            <w:tcBorders>
              <w:top w:val="nil"/>
              <w:left w:val="nil"/>
              <w:bottom w:val="single"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161 866 955 658</w:t>
            </w:r>
          </w:p>
        </w:tc>
        <w:tc>
          <w:tcPr>
            <w:tcW w:w="1327" w:type="dxa"/>
            <w:tcBorders>
              <w:top w:val="nil"/>
              <w:left w:val="nil"/>
              <w:bottom w:val="single"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141 280 546 413</w:t>
            </w:r>
          </w:p>
        </w:tc>
        <w:tc>
          <w:tcPr>
            <w:tcW w:w="1134" w:type="dxa"/>
            <w:tcBorders>
              <w:top w:val="nil"/>
              <w:left w:val="nil"/>
              <w:bottom w:val="single"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 xml:space="preserve"> 75 772 000</w:t>
            </w:r>
          </w:p>
        </w:tc>
        <w:tc>
          <w:tcPr>
            <w:tcW w:w="1134" w:type="dxa"/>
            <w:tcBorders>
              <w:top w:val="nil"/>
              <w:left w:val="nil"/>
              <w:bottom w:val="single"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 xml:space="preserve">   </w:t>
            </w:r>
          </w:p>
        </w:tc>
        <w:tc>
          <w:tcPr>
            <w:tcW w:w="1418" w:type="dxa"/>
            <w:tcBorders>
              <w:top w:val="nil"/>
              <w:left w:val="nil"/>
              <w:bottom w:val="single"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161 942 727 658</w:t>
            </w:r>
          </w:p>
        </w:tc>
        <w:tc>
          <w:tcPr>
            <w:tcW w:w="1417" w:type="dxa"/>
            <w:tcBorders>
              <w:top w:val="nil"/>
              <w:left w:val="nil"/>
              <w:bottom w:val="single"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141 280 546 413</w:t>
            </w:r>
          </w:p>
        </w:tc>
      </w:tr>
    </w:tbl>
    <w:p>
      <w:pPr>
        <w:spacing w:before="120" w:after="120"/>
        <w:jc w:val="both"/>
        <w:rPr>
          <w:noProof/>
        </w:rPr>
      </w:pPr>
    </w:p>
    <w:sectPr>
      <w:headerReference w:type="even" r:id="rId35"/>
      <w:headerReference w:type="default" r:id="rId36"/>
      <w:footerReference w:type="even" r:id="rId37"/>
      <w:footerReference w:type="default" r:id="rId38"/>
      <w:headerReference w:type="first" r:id="rId39"/>
      <w:footerReference w:type="first" r:id="rId40"/>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tab/>
      </w:r>
      <w:r>
        <w:rPr>
          <w:sz w:val="18"/>
        </w:rPr>
        <w:t>ОВ L 298, 26.10.2012 г., стр. 1.</w:t>
      </w:r>
    </w:p>
  </w:footnote>
  <w:footnote w:id="3">
    <w:p>
      <w:pPr>
        <w:pStyle w:val="FootnoteText"/>
      </w:pPr>
      <w:r>
        <w:rPr>
          <w:rStyle w:val="FootnoteReference"/>
        </w:rPr>
        <w:footnoteRef/>
      </w:r>
      <w:r>
        <w:tab/>
      </w:r>
      <w:r>
        <w:rPr>
          <w:sz w:val="18"/>
        </w:rPr>
        <w:t>ОВ L 69, 13.3.2015 г., стр. 1.</w:t>
      </w:r>
    </w:p>
  </w:footnote>
  <w:footnote w:id="4">
    <w:p>
      <w:pPr>
        <w:pStyle w:val="FootnoteText"/>
        <w:rPr>
          <w:sz w:val="18"/>
          <w:szCs w:val="18"/>
        </w:rPr>
      </w:pPr>
      <w:r>
        <w:rPr>
          <w:rStyle w:val="FootnoteReference"/>
          <w:sz w:val="18"/>
          <w:szCs w:val="18"/>
        </w:rPr>
        <w:footnoteRef/>
      </w:r>
      <w:r>
        <w:rPr>
          <w:sz w:val="18"/>
          <w:szCs w:val="18"/>
        </w:rPr>
        <w:t xml:space="preserve"> </w:t>
      </w:r>
      <w:r>
        <w:rPr>
          <w:sz w:val="18"/>
          <w:szCs w:val="18"/>
        </w:rPr>
        <w:tab/>
        <w:t>ОВ L XX, XX.XX.2015 г.</w:t>
      </w:r>
    </w:p>
  </w:footnote>
  <w:footnote w:id="5">
    <w:p>
      <w:pPr>
        <w:pStyle w:val="FootnoteText"/>
      </w:pPr>
      <w:r>
        <w:rPr>
          <w:rStyle w:val="FootnoteReference"/>
        </w:rPr>
        <w:footnoteRef/>
      </w:r>
      <w:r>
        <w:t xml:space="preserve"> </w:t>
      </w:r>
      <w:r>
        <w:tab/>
        <w:t>COM(2015) 11 final от 13.1.2015 г.</w:t>
      </w:r>
    </w:p>
  </w:footnote>
  <w:footnote w:id="6">
    <w:p>
      <w:pPr>
        <w:pStyle w:val="FootnoteText"/>
      </w:pPr>
      <w:r>
        <w:rPr>
          <w:rStyle w:val="FootnoteReference"/>
        </w:rPr>
        <w:footnoteRef/>
      </w:r>
      <w:r>
        <w:t xml:space="preserve"> </w:t>
      </w:r>
      <w:r>
        <w:tab/>
        <w:t>COM(2015) 160 final от 15.4.2015 г.</w:t>
      </w:r>
    </w:p>
  </w:footnote>
  <w:footnote w:id="7">
    <w:p>
      <w:pPr>
        <w:pStyle w:val="FootnoteText"/>
      </w:pPr>
      <w:r>
        <w:rPr>
          <w:rStyle w:val="FootnoteReference"/>
        </w:rPr>
        <w:footnoteRef/>
      </w:r>
      <w:r>
        <w:t xml:space="preserve"> </w:t>
      </w:r>
      <w:r>
        <w:tab/>
        <w:t>COM(2015) 161 final от 15.4.2015 г.</w:t>
      </w:r>
    </w:p>
  </w:footnote>
  <w:footnote w:id="8">
    <w:p>
      <w:pPr>
        <w:pStyle w:val="FootnoteText"/>
      </w:pPr>
      <w:r>
        <w:rPr>
          <w:rStyle w:val="FootnoteReference"/>
        </w:rPr>
        <w:footnoteRef/>
      </w:r>
      <w:r>
        <w:t xml:space="preserve"> </w:t>
      </w:r>
      <w:r>
        <w:tab/>
        <w:t>EUCO 18/15, 23.4.2015 г.</w:t>
      </w:r>
    </w:p>
  </w:footnote>
  <w:footnote w:id="9">
    <w:p>
      <w:pPr>
        <w:pStyle w:val="FootnoteText"/>
      </w:pPr>
      <w:r>
        <w:rPr>
          <w:rStyle w:val="FootnoteReference"/>
        </w:rPr>
        <w:footnoteRef/>
      </w:r>
      <w:r>
        <w:t xml:space="preserve"> </w:t>
      </w:r>
      <w:r>
        <w:tab/>
        <w:t>P8_TA-PROV-(2015)0176, 29.4.2015 г.</w:t>
      </w:r>
    </w:p>
  </w:footnote>
  <w:footnote w:id="10">
    <w:p>
      <w:pPr>
        <w:pStyle w:val="FootnoteText"/>
      </w:pPr>
      <w:r>
        <w:rPr>
          <w:rStyle w:val="FootnoteReference"/>
        </w:rPr>
        <w:footnoteRef/>
      </w:r>
      <w:r>
        <w:t xml:space="preserve"> </w:t>
      </w:r>
      <w:r>
        <w:tab/>
        <w:t>COM(2015) 240, 13.5.2015 г.</w:t>
      </w:r>
    </w:p>
  </w:footnote>
  <w:footnote w:id="11">
    <w:p>
      <w:pPr>
        <w:pStyle w:val="FootnoteText"/>
      </w:pPr>
      <w:r>
        <w:rPr>
          <w:rStyle w:val="FootnoteReference"/>
        </w:rPr>
        <w:footnoteRef/>
      </w:r>
      <w:r>
        <w:t xml:space="preserve"> </w:t>
      </w:r>
      <w:r>
        <w:tab/>
        <w:t xml:space="preserve">В съответствие с Решение № 574/2007/ЕО за създаване на Фонд за външните граници за периода от 2007 до 2013 г., въз основа на получената от държавите членки информация, при приключването на годишните им програми Комисията взема решение относно размера на разходите, които се признават за разходи за сметка на Фонда, и събира остатъка, който представлява разликата между окончателните признати разходи и вече изплатените на държавите членки суми.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448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ED833C0"/>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A2403CB"/>
    <w:multiLevelType w:val="hybridMultilevel"/>
    <w:tmpl w:val="8B06DF60"/>
    <w:lvl w:ilvl="0" w:tplc="0FE4063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8284234"/>
    <w:multiLevelType w:val="hybridMultilevel"/>
    <w:tmpl w:val="B1B622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nsid w:val="2F6F6245"/>
    <w:multiLevelType w:val="hybridMultilevel"/>
    <w:tmpl w:val="8842EE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6">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0">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nsid w:val="4AF131E8"/>
    <w:multiLevelType w:val="hybridMultilevel"/>
    <w:tmpl w:val="7EE22C9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0F627D1"/>
    <w:multiLevelType w:val="hybridMultilevel"/>
    <w:tmpl w:val="9D346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9E2343"/>
    <w:multiLevelType w:val="hybridMultilevel"/>
    <w:tmpl w:val="D89C5E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54FB55F2"/>
    <w:multiLevelType w:val="hybridMultilevel"/>
    <w:tmpl w:val="63DED26E"/>
    <w:lvl w:ilvl="0" w:tplc="34DC57B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D36DEC"/>
    <w:multiLevelType w:val="hybridMultilevel"/>
    <w:tmpl w:val="79644CE6"/>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9">
    <w:nsid w:val="6D38527D"/>
    <w:multiLevelType w:val="hybridMultilevel"/>
    <w:tmpl w:val="C0B8F2B8"/>
    <w:lvl w:ilvl="0" w:tplc="EB1C0EE4">
      <w:start w:val="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23216D"/>
    <w:multiLevelType w:val="hybridMultilevel"/>
    <w:tmpl w:val="F648ECEA"/>
    <w:lvl w:ilvl="0" w:tplc="5810F3C8">
      <w:start w:val="1"/>
      <w:numFmt w:val="bullet"/>
      <w:lvlText w:val=""/>
      <w:lvlJc w:val="left"/>
      <w:pPr>
        <w:tabs>
          <w:tab w:val="num" w:pos="720"/>
        </w:tabs>
        <w:ind w:left="720" w:hanging="360"/>
      </w:pPr>
      <w:rPr>
        <w:rFonts w:ascii="Symbol" w:hAnsi="Symbol" w:hint="default"/>
      </w:rPr>
    </w:lvl>
    <w:lvl w:ilvl="1" w:tplc="E45E7B3C" w:tentative="1">
      <w:start w:val="1"/>
      <w:numFmt w:val="bullet"/>
      <w:lvlText w:val="o"/>
      <w:lvlJc w:val="left"/>
      <w:pPr>
        <w:tabs>
          <w:tab w:val="num" w:pos="1440"/>
        </w:tabs>
        <w:ind w:left="1440" w:hanging="360"/>
      </w:pPr>
      <w:rPr>
        <w:rFonts w:ascii="Courier New" w:hAnsi="Courier New" w:cs="Courier New" w:hint="default"/>
      </w:rPr>
    </w:lvl>
    <w:lvl w:ilvl="2" w:tplc="46941928" w:tentative="1">
      <w:start w:val="1"/>
      <w:numFmt w:val="bullet"/>
      <w:lvlText w:val=""/>
      <w:lvlJc w:val="left"/>
      <w:pPr>
        <w:tabs>
          <w:tab w:val="num" w:pos="2160"/>
        </w:tabs>
        <w:ind w:left="2160" w:hanging="360"/>
      </w:pPr>
      <w:rPr>
        <w:rFonts w:ascii="Wingdings" w:hAnsi="Wingdings" w:hint="default"/>
      </w:rPr>
    </w:lvl>
    <w:lvl w:ilvl="3" w:tplc="9906EA66" w:tentative="1">
      <w:start w:val="1"/>
      <w:numFmt w:val="bullet"/>
      <w:lvlText w:val=""/>
      <w:lvlJc w:val="left"/>
      <w:pPr>
        <w:tabs>
          <w:tab w:val="num" w:pos="2880"/>
        </w:tabs>
        <w:ind w:left="2880" w:hanging="360"/>
      </w:pPr>
      <w:rPr>
        <w:rFonts w:ascii="Symbol" w:hAnsi="Symbol" w:hint="default"/>
      </w:rPr>
    </w:lvl>
    <w:lvl w:ilvl="4" w:tplc="F54297AE" w:tentative="1">
      <w:start w:val="1"/>
      <w:numFmt w:val="bullet"/>
      <w:lvlText w:val="o"/>
      <w:lvlJc w:val="left"/>
      <w:pPr>
        <w:tabs>
          <w:tab w:val="num" w:pos="3600"/>
        </w:tabs>
        <w:ind w:left="3600" w:hanging="360"/>
      </w:pPr>
      <w:rPr>
        <w:rFonts w:ascii="Courier New" w:hAnsi="Courier New" w:cs="Courier New" w:hint="default"/>
      </w:rPr>
    </w:lvl>
    <w:lvl w:ilvl="5" w:tplc="878EFA52" w:tentative="1">
      <w:start w:val="1"/>
      <w:numFmt w:val="bullet"/>
      <w:lvlText w:val=""/>
      <w:lvlJc w:val="left"/>
      <w:pPr>
        <w:tabs>
          <w:tab w:val="num" w:pos="4320"/>
        </w:tabs>
        <w:ind w:left="4320" w:hanging="360"/>
      </w:pPr>
      <w:rPr>
        <w:rFonts w:ascii="Wingdings" w:hAnsi="Wingdings" w:hint="default"/>
      </w:rPr>
    </w:lvl>
    <w:lvl w:ilvl="6" w:tplc="B0DEB76A" w:tentative="1">
      <w:start w:val="1"/>
      <w:numFmt w:val="bullet"/>
      <w:lvlText w:val=""/>
      <w:lvlJc w:val="left"/>
      <w:pPr>
        <w:tabs>
          <w:tab w:val="num" w:pos="5040"/>
        </w:tabs>
        <w:ind w:left="5040" w:hanging="360"/>
      </w:pPr>
      <w:rPr>
        <w:rFonts w:ascii="Symbol" w:hAnsi="Symbol" w:hint="default"/>
      </w:rPr>
    </w:lvl>
    <w:lvl w:ilvl="7" w:tplc="F0B2655E" w:tentative="1">
      <w:start w:val="1"/>
      <w:numFmt w:val="bullet"/>
      <w:lvlText w:val="o"/>
      <w:lvlJc w:val="left"/>
      <w:pPr>
        <w:tabs>
          <w:tab w:val="num" w:pos="5760"/>
        </w:tabs>
        <w:ind w:left="5760" w:hanging="360"/>
      </w:pPr>
      <w:rPr>
        <w:rFonts w:ascii="Courier New" w:hAnsi="Courier New" w:cs="Courier New" w:hint="default"/>
      </w:rPr>
    </w:lvl>
    <w:lvl w:ilvl="8" w:tplc="41F24686"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2"/>
  </w:num>
  <w:num w:numId="4">
    <w:abstractNumId w:val="19"/>
  </w:num>
  <w:num w:numId="5">
    <w:abstractNumId w:val="30"/>
  </w:num>
  <w:num w:numId="6">
    <w:abstractNumId w:val="19"/>
  </w:num>
  <w:num w:numId="7">
    <w:abstractNumId w:val="28"/>
  </w:num>
  <w:num w:numId="8">
    <w:abstractNumId w:val="18"/>
  </w:num>
  <w:num w:numId="9">
    <w:abstractNumId w:val="10"/>
  </w:num>
  <w:num w:numId="10">
    <w:abstractNumId w:val="16"/>
  </w:num>
  <w:num w:numId="11">
    <w:abstractNumId w:val="17"/>
  </w:num>
  <w:num w:numId="12">
    <w:abstractNumId w:val="5"/>
  </w:num>
  <w:num w:numId="13">
    <w:abstractNumId w:val="8"/>
  </w:num>
  <w:num w:numId="14">
    <w:abstractNumId w:val="11"/>
  </w:num>
  <w:num w:numId="15">
    <w:abstractNumId w:val="14"/>
  </w:num>
  <w:num w:numId="16">
    <w:abstractNumId w:val="20"/>
  </w:num>
  <w:num w:numId="17">
    <w:abstractNumId w:val="19"/>
  </w:num>
  <w:num w:numId="18">
    <w:abstractNumId w:val="26"/>
  </w:num>
  <w:num w:numId="19">
    <w:abstractNumId w:val="4"/>
  </w:num>
  <w:num w:numId="20">
    <w:abstractNumId w:val="13"/>
  </w:num>
  <w:num w:numId="21">
    <w:abstractNumId w:val="19"/>
  </w:num>
  <w:num w:numId="22">
    <w:abstractNumId w:val="19"/>
  </w:num>
  <w:num w:numId="23">
    <w:abstractNumId w:val="3"/>
  </w:num>
  <w:num w:numId="24">
    <w:abstractNumId w:val="29"/>
  </w:num>
  <w:num w:numId="25">
    <w:abstractNumId w:val="25"/>
  </w:num>
  <w:num w:numId="26">
    <w:abstractNumId w:val="0"/>
  </w:num>
  <w:num w:numId="27">
    <w:abstractNumId w:val="23"/>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7"/>
  </w:num>
  <w:num w:numId="39">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2"/>
  </w:num>
  <w:num w:numId="45">
    <w:abstractNumId w:val="21"/>
  </w:num>
  <w:num w:numId="46">
    <w:abstractNumId w:val="6"/>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0C6051A5E62B43848D42499F1B3BA7CE"/>
    <w:docVar w:name="LW_CROSSREFERENCE" w:val="&lt;UNUSED&gt;"/>
    <w:docVar w:name="LW_DocType" w:val="NORMAL"/>
    <w:docVar w:name="LW_EMISSION" w:val="13.5.2015"/>
    <w:docVar w:name="LW_EMISSION_ISODATE" w:val="2015-05-13"/>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41"/>
    <w:docVar w:name="LW_REF.INTERNE" w:val="&lt;UNUSED&gt;"/>
    <w:docVar w:name="LW_SOUS.TITRE.OBJ.CP" w:val="&lt;UNUSED&gt;"/>
    <w:docVar w:name="LW_SUPERTITRE" w:val="&lt;UNUSED&gt;"/>
    <w:docVar w:name="LW_TITRE.OBJ.CP" w:val="\u1054?\u1058?\u1043?\u1054?\u1042?\u1054?\u1056? \u1053?\u1040? \u1052?\u1048?\u1043?\u1056?\u1040?\u1062?\u1048?\u1054?\u1053?\u1053?\u1048?\u1071? \u1053?\u1040?\u1058?\u1048?\u1057?\u1050? "/>
    <w:docVar w:name="LW_TITRE.OBJ.CP_PREVIOUS" w:val="&lt;UNUSED&gt;"/>
    <w:docVar w:name="LW_TYPE.DOC.CP" w:val="\u1055?\u1056?\u1054?\u1045?\u1050?\u1058? \u1053?\u1040? \u1050?\u1054?\u1056?\u1048?\u1043?\u1048?\u1056?\u1040?\u1065? \u1041?\u1070?\u1044?\u1046?\u1045?\u1058? \u8470? 5_x000b_\u1050?\u1066?\u1052? \u1054?\u1041?\u1065?\u1048?\u1071? \u1041?\u1070?\u1044?\u1046?\u1045?\u1058? \u1047?\u1040? 2015 \u1043?."/>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uiPriority w:val="99"/>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semiHidden/>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18"/>
      </w:numPr>
      <w:spacing w:before="120" w:after="120"/>
      <w:jc w:val="both"/>
    </w:pPr>
  </w:style>
  <w:style w:type="paragraph" w:customStyle="1" w:styleId="ListNumberLevel2">
    <w:name w:val="List Number (Level 2)"/>
    <w:basedOn w:val="Normal"/>
    <w:pPr>
      <w:numPr>
        <w:ilvl w:val="1"/>
        <w:numId w:val="18"/>
      </w:numPr>
      <w:spacing w:before="120" w:after="120"/>
      <w:jc w:val="both"/>
    </w:pPr>
  </w:style>
  <w:style w:type="paragraph" w:customStyle="1" w:styleId="ListNumberLevel3">
    <w:name w:val="List Number (Level 3)"/>
    <w:basedOn w:val="Normal"/>
    <w:pPr>
      <w:numPr>
        <w:ilvl w:val="2"/>
        <w:numId w:val="18"/>
      </w:numPr>
      <w:spacing w:before="120" w:after="120"/>
      <w:jc w:val="both"/>
    </w:pPr>
  </w:style>
  <w:style w:type="paragraph" w:customStyle="1" w:styleId="ListNumberLevel4">
    <w:name w:val="List Number (Level 4)"/>
    <w:basedOn w:val="Normal"/>
    <w:pPr>
      <w:numPr>
        <w:ilvl w:val="3"/>
        <w:numId w:val="18"/>
      </w:numPr>
      <w:spacing w:before="120" w:after="12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35"/>
      </w:numPr>
      <w:spacing w:before="120" w:after="120"/>
      <w:jc w:val="both"/>
    </w:pPr>
    <w:rPr>
      <w:szCs w:val="22"/>
    </w:rPr>
  </w:style>
  <w:style w:type="paragraph" w:customStyle="1" w:styleId="Point1number">
    <w:name w:val="Point 1 (number)"/>
    <w:basedOn w:val="Normal"/>
    <w:pPr>
      <w:numPr>
        <w:ilvl w:val="2"/>
        <w:numId w:val="35"/>
      </w:numPr>
      <w:spacing w:before="120" w:after="120"/>
      <w:jc w:val="both"/>
    </w:pPr>
    <w:rPr>
      <w:szCs w:val="22"/>
    </w:rPr>
  </w:style>
  <w:style w:type="paragraph" w:customStyle="1" w:styleId="Point2number">
    <w:name w:val="Point 2 (number)"/>
    <w:basedOn w:val="Normal"/>
    <w:pPr>
      <w:numPr>
        <w:ilvl w:val="4"/>
        <w:numId w:val="35"/>
      </w:numPr>
      <w:spacing w:before="120" w:after="120"/>
      <w:jc w:val="both"/>
    </w:pPr>
    <w:rPr>
      <w:szCs w:val="22"/>
    </w:rPr>
  </w:style>
  <w:style w:type="paragraph" w:customStyle="1" w:styleId="Point3number">
    <w:name w:val="Point 3 (number)"/>
    <w:basedOn w:val="Normal"/>
    <w:pPr>
      <w:numPr>
        <w:ilvl w:val="6"/>
        <w:numId w:val="35"/>
      </w:numPr>
      <w:spacing w:before="120" w:after="120"/>
      <w:jc w:val="both"/>
    </w:pPr>
    <w:rPr>
      <w:szCs w:val="22"/>
    </w:rPr>
  </w:style>
  <w:style w:type="paragraph" w:customStyle="1" w:styleId="Point0letter">
    <w:name w:val="Point 0 (letter)"/>
    <w:basedOn w:val="Normal"/>
    <w:pPr>
      <w:numPr>
        <w:ilvl w:val="1"/>
        <w:numId w:val="35"/>
      </w:numPr>
      <w:spacing w:before="120" w:after="120"/>
      <w:jc w:val="both"/>
    </w:pPr>
    <w:rPr>
      <w:szCs w:val="22"/>
    </w:rPr>
  </w:style>
  <w:style w:type="paragraph" w:customStyle="1" w:styleId="Point1letter">
    <w:name w:val="Point 1 (letter)"/>
    <w:basedOn w:val="Normal"/>
    <w:pPr>
      <w:numPr>
        <w:ilvl w:val="3"/>
        <w:numId w:val="35"/>
      </w:numPr>
      <w:spacing w:before="120" w:after="120"/>
      <w:jc w:val="both"/>
    </w:pPr>
    <w:rPr>
      <w:szCs w:val="22"/>
    </w:rPr>
  </w:style>
  <w:style w:type="paragraph" w:customStyle="1" w:styleId="Point2letter">
    <w:name w:val="Point 2 (letter)"/>
    <w:basedOn w:val="Normal"/>
    <w:pPr>
      <w:numPr>
        <w:ilvl w:val="5"/>
        <w:numId w:val="35"/>
      </w:numPr>
      <w:spacing w:before="120" w:after="120"/>
      <w:jc w:val="both"/>
    </w:pPr>
    <w:rPr>
      <w:szCs w:val="22"/>
    </w:rPr>
  </w:style>
  <w:style w:type="paragraph" w:customStyle="1" w:styleId="Point3letter">
    <w:name w:val="Point 3 (letter)"/>
    <w:basedOn w:val="Normal"/>
    <w:pPr>
      <w:numPr>
        <w:ilvl w:val="7"/>
        <w:numId w:val="35"/>
      </w:numPr>
      <w:spacing w:before="120" w:after="120"/>
      <w:jc w:val="both"/>
    </w:pPr>
    <w:rPr>
      <w:szCs w:val="22"/>
    </w:rPr>
  </w:style>
  <w:style w:type="paragraph" w:customStyle="1" w:styleId="Point4letter">
    <w:name w:val="Point 4 (letter)"/>
    <w:basedOn w:val="Normal"/>
    <w:pPr>
      <w:numPr>
        <w:ilvl w:val="8"/>
        <w:numId w:val="35"/>
      </w:numPr>
      <w:spacing w:before="120" w:after="120"/>
      <w:jc w:val="both"/>
    </w:pPr>
    <w:rPr>
      <w:szCs w:val="22"/>
    </w:rPr>
  </w:style>
  <w:style w:type="paragraph" w:customStyle="1" w:styleId="Tiret2">
    <w:name w:val="Tiret 2"/>
    <w:basedOn w:val="Normal"/>
    <w:pPr>
      <w:numPr>
        <w:numId w:val="3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budget/www/index-bg.htm"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93361-191C-4AE5-AEAA-6B518607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2814</Words>
  <Characters>14356</Characters>
  <Application>Microsoft Office Word</Application>
  <DocSecurity>0</DocSecurity>
  <Lines>624</Lines>
  <Paragraphs>330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16840</CharactersWithSpaces>
  <SharedDoc>false</SharedDoc>
  <HLinks>
    <vt:vector size="48" baseType="variant">
      <vt:variant>
        <vt:i4>1572927</vt:i4>
      </vt:variant>
      <vt:variant>
        <vt:i4>41</vt:i4>
      </vt:variant>
      <vt:variant>
        <vt:i4>0</vt:i4>
      </vt:variant>
      <vt:variant>
        <vt:i4>5</vt:i4>
      </vt:variant>
      <vt:variant>
        <vt:lpwstr/>
      </vt:variant>
      <vt:variant>
        <vt:lpwstr>_Toc418618202</vt:lpwstr>
      </vt:variant>
      <vt:variant>
        <vt:i4>1572927</vt:i4>
      </vt:variant>
      <vt:variant>
        <vt:i4>35</vt:i4>
      </vt:variant>
      <vt:variant>
        <vt:i4>0</vt:i4>
      </vt:variant>
      <vt:variant>
        <vt:i4>5</vt:i4>
      </vt:variant>
      <vt:variant>
        <vt:lpwstr/>
      </vt:variant>
      <vt:variant>
        <vt:lpwstr>_Toc418618201</vt:lpwstr>
      </vt:variant>
      <vt:variant>
        <vt:i4>1572927</vt:i4>
      </vt:variant>
      <vt:variant>
        <vt:i4>29</vt:i4>
      </vt:variant>
      <vt:variant>
        <vt:i4>0</vt:i4>
      </vt:variant>
      <vt:variant>
        <vt:i4>5</vt:i4>
      </vt:variant>
      <vt:variant>
        <vt:lpwstr/>
      </vt:variant>
      <vt:variant>
        <vt:lpwstr>_Toc418618200</vt:lpwstr>
      </vt:variant>
      <vt:variant>
        <vt:i4>1114172</vt:i4>
      </vt:variant>
      <vt:variant>
        <vt:i4>23</vt:i4>
      </vt:variant>
      <vt:variant>
        <vt:i4>0</vt:i4>
      </vt:variant>
      <vt:variant>
        <vt:i4>5</vt:i4>
      </vt:variant>
      <vt:variant>
        <vt:lpwstr/>
      </vt:variant>
      <vt:variant>
        <vt:lpwstr>_Toc418618199</vt:lpwstr>
      </vt:variant>
      <vt:variant>
        <vt:i4>1114172</vt:i4>
      </vt:variant>
      <vt:variant>
        <vt:i4>17</vt:i4>
      </vt:variant>
      <vt:variant>
        <vt:i4>0</vt:i4>
      </vt:variant>
      <vt:variant>
        <vt:i4>5</vt:i4>
      </vt:variant>
      <vt:variant>
        <vt:lpwstr/>
      </vt:variant>
      <vt:variant>
        <vt:lpwstr>_Toc418618198</vt:lpwstr>
      </vt:variant>
      <vt:variant>
        <vt:i4>1114172</vt:i4>
      </vt:variant>
      <vt:variant>
        <vt:i4>11</vt:i4>
      </vt:variant>
      <vt:variant>
        <vt:i4>0</vt:i4>
      </vt:variant>
      <vt:variant>
        <vt:i4>5</vt:i4>
      </vt:variant>
      <vt:variant>
        <vt:lpwstr/>
      </vt:variant>
      <vt:variant>
        <vt:lpwstr>_Toc418618197</vt:lpwstr>
      </vt:variant>
      <vt:variant>
        <vt:i4>1114172</vt:i4>
      </vt:variant>
      <vt:variant>
        <vt:i4>5</vt:i4>
      </vt:variant>
      <vt:variant>
        <vt:i4>0</vt:i4>
      </vt:variant>
      <vt:variant>
        <vt:i4>5</vt:i4>
      </vt:variant>
      <vt:variant>
        <vt:lpwstr/>
      </vt:variant>
      <vt:variant>
        <vt:lpwstr>_Toc418618196</vt:lpwstr>
      </vt: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35</cp:revision>
  <cp:lastPrinted>2015-05-06T07:40:00Z</cp:lastPrinted>
  <dcterms:created xsi:type="dcterms:W3CDTF">2015-05-12T13:07:00Z</dcterms:created>
  <dcterms:modified xsi:type="dcterms:W3CDTF">2015-05-20T08:08:00Z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